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pacing w:line="576" w:lineRule="exact"/>
        <w:ind w:right="0"/>
        <w:jc w:val="left"/>
        <w:textAlignment w:val="auto"/>
        <w:outlineLvl w:val="9"/>
        <w:rPr>
          <w:rFonts w:hint="eastAsia" w:ascii="黑体" w:hAnsi="黑体" w:eastAsia="黑体" w:cs="黑体"/>
          <w:color w:val="auto"/>
          <w:sz w:val="32"/>
          <w:szCs w:val="32"/>
          <w:lang w:val="en-US" w:eastAsia="zh-CN"/>
        </w:rPr>
      </w:pPr>
      <w:bookmarkStart w:id="0" w:name="_GoBack"/>
      <w:bookmarkEnd w:id="0"/>
    </w:p>
    <w:p>
      <w:pPr>
        <w:widowControl w:val="0"/>
        <w:wordWrap/>
        <w:adjustRightInd/>
        <w:spacing w:line="576" w:lineRule="exact"/>
        <w:ind w:right="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pacing w:line="576"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湘乡市</w:t>
      </w:r>
      <w:r>
        <w:rPr>
          <w:rFonts w:hint="eastAsia" w:ascii="方正小标宋简体" w:hAnsi="方正小标宋简体" w:eastAsia="方正小标宋简体" w:cs="方正小标宋简体"/>
          <w:color w:val="auto"/>
          <w:sz w:val="44"/>
          <w:szCs w:val="44"/>
        </w:rPr>
        <w:t>被征地农民社会保障实施办法</w:t>
      </w:r>
    </w:p>
    <w:p>
      <w:pPr>
        <w:pStyle w:val="2"/>
        <w:jc w:val="center"/>
        <w:rPr>
          <w:rFonts w:hint="eastAsia" w:ascii="方正小标宋简体" w:hAnsi="方正小标宋简体" w:eastAsia="方正小标宋简体" w:cs="方正小标宋简体"/>
          <w:lang w:val="en-US" w:eastAsia="zh-CN"/>
        </w:rPr>
      </w:pPr>
      <w:r>
        <w:rPr>
          <w:rFonts w:hint="eastAsia" w:ascii="楷体" w:hAnsi="楷体" w:eastAsia="楷体" w:cs="楷体"/>
          <w:b/>
          <w:bCs/>
          <w:color w:val="auto"/>
          <w:sz w:val="44"/>
          <w:szCs w:val="44"/>
          <w:lang w:val="en-US" w:eastAsia="zh-CN"/>
        </w:rPr>
        <w:t>(征求意见稿)</w:t>
      </w:r>
    </w:p>
    <w:p>
      <w:pPr>
        <w:pStyle w:val="2"/>
        <w:keepNext w:val="0"/>
        <w:keepLines w:val="0"/>
        <w:pageBreakBefore w:val="0"/>
        <w:widowControl w:val="0"/>
        <w:kinsoku/>
        <w:wordWrap/>
        <w:topLinePunct w:val="0"/>
        <w:autoSpaceDE/>
        <w:autoSpaceDN/>
        <w:bidi w:val="0"/>
        <w:adjustRightInd/>
        <w:spacing w:line="576" w:lineRule="exact"/>
        <w:rPr>
          <w:rFonts w:hint="eastAsia"/>
          <w:sz w:val="32"/>
          <w:szCs w:val="32"/>
          <w:lang w:eastAsia="zh-CN"/>
        </w:rPr>
      </w:pPr>
    </w:p>
    <w:p>
      <w:pPr>
        <w:keepNext w:val="0"/>
        <w:keepLines w:val="0"/>
        <w:pageBreakBefore w:val="0"/>
        <w:widowControl w:val="0"/>
        <w:kinsoku/>
        <w:wordWrap/>
        <w:overflowPunct/>
        <w:topLinePunct w:val="0"/>
        <w:autoSpaceDE/>
        <w:autoSpaceDN/>
        <w:bidi w:val="0"/>
        <w:adjustRightInd/>
        <w:spacing w:line="576"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第一章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总</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则</w:t>
      </w:r>
    </w:p>
    <w:p>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第一条</w:t>
      </w:r>
      <w:r>
        <w:rPr>
          <w:rFonts w:hint="eastAsia" w:ascii="仿宋_GB2312" w:hAnsi="仿宋_GB2312" w:eastAsia="仿宋_GB2312" w:cs="仿宋_GB2312"/>
          <w:color w:val="auto"/>
          <w:sz w:val="32"/>
          <w:szCs w:val="32"/>
        </w:rPr>
        <w:t xml:space="preserve"> 为妥善处理被征地农民社会保障问题，维护被征地农民社会保障对象（以下简称被征地农民）合法权益，根据《中华人民共和国社会保险法》《</w:t>
      </w:r>
      <w:r>
        <w:rPr>
          <w:rFonts w:hint="eastAsia" w:ascii="仿宋_GB2312" w:hAnsi="仿宋_GB2312" w:eastAsia="仿宋_GB2312" w:cs="仿宋_GB2312"/>
          <w:color w:val="auto"/>
          <w:sz w:val="32"/>
          <w:szCs w:val="32"/>
          <w:lang w:eastAsia="zh-CN"/>
        </w:rPr>
        <w:t>湖南省人力资源和社会保障厅</w:t>
      </w:r>
      <w:r>
        <w:rPr>
          <w:rFonts w:hint="eastAsia" w:ascii="仿宋_GB2312" w:hAnsi="仿宋_GB2312" w:eastAsia="仿宋_GB2312" w:cs="仿宋_GB2312"/>
          <w:color w:val="auto"/>
          <w:sz w:val="32"/>
          <w:szCs w:val="32"/>
          <w:lang w:val="en-US" w:eastAsia="zh-CN"/>
        </w:rPr>
        <w:t xml:space="preserve"> 湖南省自然资源厅 湖南省财政厅 湖南省公安厅 湖南省农业农村厅 湖南省审计厅 国家税务总局湖南省税务局关于进一步做好被征地农民社会保障工作的通知</w:t>
      </w:r>
      <w:r>
        <w:rPr>
          <w:rFonts w:hint="eastAsia" w:ascii="仿宋_GB2312" w:hAnsi="仿宋_GB2312" w:eastAsia="仿宋_GB2312" w:cs="仿宋_GB2312"/>
          <w:color w:val="auto"/>
          <w:sz w:val="32"/>
          <w:szCs w:val="32"/>
        </w:rPr>
        <w:t>》(湘人社规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2023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1号)《</w:t>
      </w:r>
      <w:r>
        <w:rPr>
          <w:rFonts w:hint="eastAsia" w:ascii="仿宋_GB2312" w:hAnsi="仿宋_GB2312" w:eastAsia="仿宋_GB2312" w:cs="仿宋_GB2312"/>
          <w:color w:val="auto"/>
          <w:sz w:val="32"/>
          <w:szCs w:val="32"/>
          <w:lang w:eastAsia="zh-CN"/>
        </w:rPr>
        <w:t>湘潭市人力资源和社会保障局</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湘潭市</w:t>
      </w:r>
      <w:r>
        <w:rPr>
          <w:rFonts w:hint="eastAsia" w:ascii="仿宋_GB2312" w:hAnsi="仿宋_GB2312" w:eastAsia="仿宋_GB2312" w:cs="仿宋_GB2312"/>
          <w:color w:val="auto"/>
          <w:sz w:val="32"/>
          <w:szCs w:val="32"/>
          <w:lang w:val="en-US" w:eastAsia="zh-CN"/>
        </w:rPr>
        <w:t xml:space="preserve">自然资源和规划局 </w:t>
      </w:r>
      <w:r>
        <w:rPr>
          <w:rFonts w:hint="eastAsia" w:ascii="仿宋_GB2312" w:hAnsi="仿宋_GB2312" w:eastAsia="仿宋_GB2312" w:cs="仿宋_GB2312"/>
          <w:color w:val="auto"/>
          <w:sz w:val="32"/>
          <w:szCs w:val="32"/>
          <w:lang w:eastAsia="zh-CN"/>
        </w:rPr>
        <w:t>湘潭市</w:t>
      </w:r>
      <w:r>
        <w:rPr>
          <w:rFonts w:hint="eastAsia" w:ascii="仿宋_GB2312" w:hAnsi="仿宋_GB2312" w:eastAsia="仿宋_GB2312" w:cs="仿宋_GB2312"/>
          <w:color w:val="auto"/>
          <w:sz w:val="32"/>
          <w:szCs w:val="32"/>
          <w:lang w:val="en-US" w:eastAsia="zh-CN"/>
        </w:rPr>
        <w:t xml:space="preserve">财政局 </w:t>
      </w:r>
      <w:r>
        <w:rPr>
          <w:rFonts w:hint="eastAsia" w:ascii="仿宋_GB2312" w:hAnsi="仿宋_GB2312" w:eastAsia="仿宋_GB2312" w:cs="仿宋_GB2312"/>
          <w:color w:val="auto"/>
          <w:sz w:val="32"/>
          <w:szCs w:val="32"/>
          <w:lang w:eastAsia="zh-CN"/>
        </w:rPr>
        <w:t>湘潭市</w:t>
      </w:r>
      <w:r>
        <w:rPr>
          <w:rFonts w:hint="eastAsia" w:ascii="仿宋_GB2312" w:hAnsi="仿宋_GB2312" w:eastAsia="仿宋_GB2312" w:cs="仿宋_GB2312"/>
          <w:color w:val="auto"/>
          <w:sz w:val="32"/>
          <w:szCs w:val="32"/>
          <w:lang w:val="en-US" w:eastAsia="zh-CN"/>
        </w:rPr>
        <w:t xml:space="preserve">公安局 </w:t>
      </w:r>
      <w:r>
        <w:rPr>
          <w:rFonts w:hint="eastAsia" w:ascii="仿宋_GB2312" w:hAnsi="仿宋_GB2312" w:eastAsia="仿宋_GB2312" w:cs="仿宋_GB2312"/>
          <w:color w:val="auto"/>
          <w:sz w:val="32"/>
          <w:szCs w:val="32"/>
          <w:lang w:eastAsia="zh-CN"/>
        </w:rPr>
        <w:t>湘潭市</w:t>
      </w:r>
      <w:r>
        <w:rPr>
          <w:rFonts w:hint="eastAsia" w:ascii="仿宋_GB2312" w:hAnsi="仿宋_GB2312" w:eastAsia="仿宋_GB2312" w:cs="仿宋_GB2312"/>
          <w:color w:val="auto"/>
          <w:sz w:val="32"/>
          <w:szCs w:val="32"/>
          <w:lang w:val="en-US" w:eastAsia="zh-CN"/>
        </w:rPr>
        <w:t xml:space="preserve">农业农村局 </w:t>
      </w:r>
      <w:r>
        <w:rPr>
          <w:rFonts w:hint="eastAsia" w:ascii="仿宋_GB2312" w:hAnsi="仿宋_GB2312" w:eastAsia="仿宋_GB2312" w:cs="仿宋_GB2312"/>
          <w:color w:val="auto"/>
          <w:sz w:val="32"/>
          <w:szCs w:val="32"/>
          <w:lang w:eastAsia="zh-CN"/>
        </w:rPr>
        <w:t>湘潭市</w:t>
      </w:r>
      <w:r>
        <w:rPr>
          <w:rFonts w:hint="eastAsia" w:ascii="仿宋_GB2312" w:hAnsi="仿宋_GB2312" w:eastAsia="仿宋_GB2312" w:cs="仿宋_GB2312"/>
          <w:color w:val="auto"/>
          <w:sz w:val="32"/>
          <w:szCs w:val="32"/>
          <w:lang w:val="en-US" w:eastAsia="zh-CN"/>
        </w:rPr>
        <w:t>审计局 国家税务总局</w:t>
      </w:r>
      <w:r>
        <w:rPr>
          <w:rFonts w:hint="eastAsia" w:ascii="仿宋_GB2312" w:hAnsi="仿宋_GB2312" w:eastAsia="仿宋_GB2312" w:cs="仿宋_GB2312"/>
          <w:color w:val="auto"/>
          <w:sz w:val="32"/>
          <w:szCs w:val="32"/>
          <w:lang w:eastAsia="zh-CN"/>
        </w:rPr>
        <w:t>湘潭市</w:t>
      </w:r>
      <w:r>
        <w:rPr>
          <w:rFonts w:hint="eastAsia" w:ascii="仿宋_GB2312" w:hAnsi="仿宋_GB2312" w:eastAsia="仿宋_GB2312" w:cs="仿宋_GB2312"/>
          <w:color w:val="auto"/>
          <w:sz w:val="32"/>
          <w:szCs w:val="32"/>
          <w:lang w:val="en-US" w:eastAsia="zh-CN"/>
        </w:rPr>
        <w:t>税务局 湘潭市优化人居环境事务中心关于湘潭市城区被征地农民社会保障工作实施办法的通知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潭</w:t>
      </w:r>
      <w:r>
        <w:rPr>
          <w:rFonts w:hint="eastAsia" w:ascii="仿宋_GB2312" w:hAnsi="仿宋_GB2312" w:eastAsia="仿宋_GB2312" w:cs="仿宋_GB2312"/>
          <w:color w:val="auto"/>
          <w:sz w:val="32"/>
          <w:szCs w:val="32"/>
        </w:rPr>
        <w:t>人社</w:t>
      </w:r>
      <w:r>
        <w:rPr>
          <w:rFonts w:hint="eastAsia" w:ascii="仿宋_GB2312" w:hAnsi="仿宋_GB2312" w:eastAsia="仿宋_GB2312" w:cs="仿宋_GB2312"/>
          <w:color w:val="auto"/>
          <w:sz w:val="32"/>
          <w:szCs w:val="32"/>
          <w:lang w:eastAsia="zh-CN"/>
        </w:rPr>
        <w:t>发〔</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号)精神，结合湘</w:t>
      </w:r>
      <w:r>
        <w:rPr>
          <w:rFonts w:hint="eastAsia" w:ascii="仿宋_GB2312" w:hAnsi="仿宋_GB2312" w:eastAsia="仿宋_GB2312" w:cs="仿宋_GB2312"/>
          <w:color w:val="auto"/>
          <w:sz w:val="32"/>
          <w:szCs w:val="32"/>
          <w:lang w:eastAsia="zh-CN"/>
        </w:rPr>
        <w:t>乡</w:t>
      </w:r>
      <w:r>
        <w:rPr>
          <w:rFonts w:hint="eastAsia" w:ascii="仿宋_GB2312" w:hAnsi="仿宋_GB2312" w:eastAsia="仿宋_GB2312" w:cs="仿宋_GB2312"/>
          <w:color w:val="auto"/>
          <w:sz w:val="32"/>
          <w:szCs w:val="32"/>
        </w:rPr>
        <w:t>实际，制定本实施办法。</w:t>
      </w:r>
    </w:p>
    <w:p>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二</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我市被征地农民社会保障工作遵循以下原则</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rPr>
        <w:t>属地管理，分级负责。</w:t>
      </w:r>
      <w:r>
        <w:rPr>
          <w:rFonts w:hint="eastAsia" w:ascii="仿宋_GB2312" w:hAnsi="仿宋_GB2312" w:eastAsia="仿宋_GB2312" w:cs="仿宋_GB2312"/>
          <w:sz w:val="32"/>
          <w:szCs w:val="32"/>
        </w:rPr>
        <w:t>遵循“当期可承受、未来可持续”和“谁征地、谁负责、谁处理”的基本原则，按照分级负责的要求，切实履行</w:t>
      </w:r>
      <w:r>
        <w:rPr>
          <w:rFonts w:hint="eastAsia" w:ascii="仿宋_GB2312" w:hAnsi="仿宋_GB2312" w:eastAsia="仿宋_GB2312" w:cs="仿宋_GB2312"/>
          <w:sz w:val="32"/>
          <w:szCs w:val="32"/>
          <w:lang w:eastAsia="zh-CN"/>
        </w:rPr>
        <w:t>好</w:t>
      </w:r>
      <w:r>
        <w:rPr>
          <w:rFonts w:hint="eastAsia" w:ascii="仿宋_GB2312" w:hAnsi="仿宋_GB2312" w:eastAsia="仿宋_GB2312" w:cs="仿宋_GB2312"/>
          <w:sz w:val="32"/>
          <w:szCs w:val="32"/>
        </w:rPr>
        <w:t>被征地农民社会保障工作的主体责任。</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应保尽保，维护权益。</w:t>
      </w:r>
      <w:r>
        <w:rPr>
          <w:rFonts w:hint="eastAsia" w:ascii="仿宋_GB2312" w:hAnsi="仿宋_GB2312" w:eastAsia="仿宋_GB2312" w:cs="仿宋_GB2312"/>
          <w:sz w:val="32"/>
          <w:szCs w:val="32"/>
        </w:rPr>
        <w:t>根据“全民参保”行动要求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及时将被征地农民纳入基本养老保险，全面落实被征地农民社保补贴，全力维护被征地农民权益，确保被征地农民当前生活有改善、长远生计有保障。</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先保后征，专款专用。</w:t>
      </w:r>
      <w:r>
        <w:rPr>
          <w:rFonts w:hint="eastAsia" w:ascii="仿宋_GB2312" w:hAnsi="仿宋_GB2312" w:eastAsia="仿宋_GB2312" w:cs="仿宋_GB2312"/>
          <w:sz w:val="32"/>
          <w:szCs w:val="32"/>
        </w:rPr>
        <w:t>按照先落实资金、后批准征地的原则，多渠道筹集被征地农民社会保障资金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被征地农民社会保障资金严格实行“收支两条线”管理，做到专款专用，严禁截留、挤占、挪用、转借。</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四）防范风险，守住底线。</w:t>
      </w:r>
      <w:r>
        <w:rPr>
          <w:rFonts w:hint="eastAsia" w:ascii="仿宋_GB2312" w:hAnsi="仿宋_GB2312" w:eastAsia="仿宋_GB2312" w:cs="仿宋_GB2312"/>
          <w:sz w:val="32"/>
          <w:szCs w:val="32"/>
          <w:lang w:val="en-US" w:eastAsia="zh-CN"/>
        </w:rPr>
        <w:t>及时分析研判被征地农民社会保障领域存在的突出矛盾困难、风险隐患，坚持底线思维，增强忧患意识，加强应对处置，做到防范风险、引导预期、兜牢底线、确保稳定。</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pacing w:line="540" w:lineRule="exact"/>
        <w:ind w:left="0" w:leftChars="0"/>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第二章 被征地农民社会保障对象认定</w:t>
      </w:r>
    </w:p>
    <w:p>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textAlignment w:val="auto"/>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eastAsia="zh-CN"/>
        </w:rPr>
        <w:t>三</w:t>
      </w:r>
      <w:r>
        <w:rPr>
          <w:rFonts w:hint="eastAsia" w:ascii="仿宋" w:hAnsi="仿宋" w:eastAsia="仿宋" w:cs="仿宋"/>
          <w:b/>
          <w:bCs/>
          <w:color w:val="auto"/>
          <w:sz w:val="32"/>
          <w:szCs w:val="32"/>
        </w:rPr>
        <w:t>条</w:t>
      </w:r>
      <w:r>
        <w:rPr>
          <w:rFonts w:hint="eastAsia" w:ascii="仿宋" w:hAnsi="仿宋" w:eastAsia="仿宋" w:cs="仿宋"/>
          <w:color w:val="auto"/>
          <w:sz w:val="32"/>
          <w:szCs w:val="32"/>
          <w:lang w:val="en-US" w:eastAsia="zh-CN"/>
        </w:rPr>
        <w:t xml:space="preserve"> </w:t>
      </w:r>
      <w:r>
        <w:rPr>
          <w:rFonts w:hint="default" w:ascii="Times New Roman" w:hAnsi="Times New Roman" w:eastAsia="仿宋_GB2312" w:cs="Times New Roman"/>
          <w:color w:val="000000" w:themeColor="text1"/>
          <w:sz w:val="32"/>
          <w:szCs w:val="32"/>
          <w:u w:val="none"/>
          <w14:textFill>
            <w14:solidFill>
              <w14:schemeClr w14:val="tx1"/>
            </w14:solidFill>
          </w14:textFill>
        </w:rPr>
        <w:t>因政府统一征收农村集体土地而导致失去全部或大部分土地（被征地后家庭人均耕地面积不足0.3亩），在征地时享有农村集体土地承包权</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(指全额或均等享有被征土地的征地补偿款分配权)</w:t>
      </w:r>
      <w:r>
        <w:rPr>
          <w:rFonts w:hint="default" w:ascii="Times New Roman" w:hAnsi="Times New Roman" w:eastAsia="仿宋_GB2312" w:cs="Times New Roman"/>
          <w:color w:val="000000" w:themeColor="text1"/>
          <w:sz w:val="32"/>
          <w:szCs w:val="32"/>
          <w:u w:val="none"/>
          <w14:textFill>
            <w14:solidFill>
              <w14:schemeClr w14:val="tx1"/>
            </w14:solidFill>
          </w14:textFill>
        </w:rPr>
        <w:t>、年满16周岁</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（含）</w:t>
      </w:r>
      <w:r>
        <w:rPr>
          <w:rFonts w:hint="default" w:ascii="Times New Roman" w:hAnsi="Times New Roman" w:eastAsia="仿宋_GB2312" w:cs="Times New Roman"/>
          <w:color w:val="000000" w:themeColor="text1"/>
          <w:sz w:val="32"/>
          <w:szCs w:val="32"/>
          <w:u w:val="none"/>
          <w14:textFill>
            <w14:solidFill>
              <w14:schemeClr w14:val="tx1"/>
            </w14:solidFill>
          </w14:textFill>
        </w:rPr>
        <w:t>且为当地集体经济组织成员的人员</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14:textFill>
            <w14:solidFill>
              <w14:schemeClr w14:val="tx1"/>
            </w14:solidFill>
          </w14:textFill>
        </w:rPr>
        <w:t>应纳入被征地农民社会保障对象认定范围：</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（一）</w:t>
      </w:r>
      <w:r>
        <w:rPr>
          <w:rFonts w:hint="default" w:ascii="Times New Roman" w:hAnsi="Times New Roman" w:eastAsia="仿宋_GB2312" w:cs="Times New Roman"/>
          <w:color w:val="000000" w:themeColor="text1"/>
          <w:sz w:val="32"/>
          <w:szCs w:val="32"/>
          <w:u w:val="none"/>
          <w14:textFill>
            <w14:solidFill>
              <w14:schemeClr w14:val="tx1"/>
            </w14:solidFill>
          </w14:textFill>
        </w:rPr>
        <w:t>依法享有农村集体土地承包经营权并承担相应义务的人员；</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32"/>
          <w:szCs w:val="32"/>
          <w:u w:val="none"/>
          <w:lang w:eastAsia="zh-CN"/>
          <w14:textFill>
            <w14:solidFill>
              <w14:schemeClr w14:val="tx1"/>
            </w14:solidFill>
          </w14:textFill>
        </w:rPr>
        <w:t>（二）</w:t>
      </w:r>
      <w: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t>入学符合前项规定条件的在校大中专学</w:t>
      </w:r>
      <w:r>
        <w:rPr>
          <w:rFonts w:hint="eastAsia" w:ascii="Times New Roman" w:hAnsi="Times New Roman" w:eastAsia="仿宋_GB2312" w:cs="Times New Roman"/>
          <w:b w:val="0"/>
          <w:bCs w:val="0"/>
          <w:color w:val="000000" w:themeColor="text1"/>
          <w:sz w:val="32"/>
          <w:szCs w:val="32"/>
          <w:u w:val="none"/>
          <w:lang w:eastAsia="zh-CN"/>
          <w14:textFill>
            <w14:solidFill>
              <w14:schemeClr w14:val="tx1"/>
            </w14:solidFill>
          </w14:textFill>
        </w:rPr>
        <w:t>生以及符合退役后回原籍安置条件的义务兵及下士、中士；</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（三）</w:t>
      </w:r>
      <w:r>
        <w:rPr>
          <w:rFonts w:hint="default" w:ascii="Times New Roman" w:hAnsi="Times New Roman" w:eastAsia="仿宋_GB2312" w:cs="Times New Roman"/>
          <w:color w:val="000000" w:themeColor="text1"/>
          <w:sz w:val="32"/>
          <w:szCs w:val="32"/>
          <w:u w:val="none"/>
          <w14:textFill>
            <w14:solidFill>
              <w14:schemeClr w14:val="tx1"/>
            </w14:solidFill>
          </w14:textFill>
        </w:rPr>
        <w:t>父母一方为集体经济组织成员，本人符合当地集体经济组织成员条件的人员；</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（四）</w:t>
      </w:r>
      <w:r>
        <w:rPr>
          <w:rFonts w:hint="default" w:ascii="Times New Roman" w:hAnsi="Times New Roman" w:eastAsia="仿宋_GB2312" w:cs="Times New Roman"/>
          <w:color w:val="000000" w:themeColor="text1"/>
          <w:sz w:val="32"/>
          <w:szCs w:val="32"/>
          <w:u w:val="none"/>
          <w14:textFill>
            <w14:solidFill>
              <w14:schemeClr w14:val="tx1"/>
            </w14:solidFill>
          </w14:textFill>
        </w:rPr>
        <w:t>其他情形。在不违反国家现行有关法律、法规前提下，由农村集体经济组织按照民主决策的程序确定，经审核、公示无异议的人员。</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 w:hAnsi="仿宋" w:eastAsia="仿宋" w:cs="仿宋"/>
          <w:b/>
          <w:bCs/>
          <w:color w:val="auto"/>
          <w:sz w:val="32"/>
          <w:szCs w:val="32"/>
          <w:lang w:val="en-US" w:eastAsia="zh-CN"/>
        </w:rPr>
        <w:t>第四条</w:t>
      </w:r>
      <w:r>
        <w:rPr>
          <w:rFonts w:hint="eastAsia" w:ascii="仿宋_GB2312" w:hAnsi="仿宋_GB2312" w:eastAsia="仿宋_GB2312" w:cs="仿宋_GB2312"/>
          <w:sz w:val="32"/>
          <w:szCs w:val="32"/>
          <w:lang w:val="en-US" w:eastAsia="zh-CN"/>
        </w:rPr>
        <w:t xml:space="preserve"> 下列人员不纳入被征地农民社会保障对象认定范围：</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b w:val="0"/>
          <w:bCs w:val="0"/>
          <w:sz w:val="32"/>
          <w:szCs w:val="32"/>
          <w:lang w:val="en-US" w:eastAsia="zh-CN"/>
        </w:rPr>
        <w:t>已纳入被征地农民社会保障范围的人员；</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（二）已按原国有集体企业职工身份及其特定政策（包括但不限于按特殊工种办理提前退休、女性按50周岁办理正常退休手续、按城镇小集体企业人员方式参保等情形）参加养老保险的人员；</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none"/>
          <w:lang w:val="en-US" w:eastAsia="zh-CN"/>
        </w:rPr>
        <w:t>（三）</w:t>
      </w:r>
      <w:r>
        <w:rPr>
          <w:rFonts w:hint="eastAsia" w:ascii="仿宋_GB2312" w:hAnsi="仿宋_GB2312" w:eastAsia="仿宋_GB2312" w:cs="仿宋_GB2312"/>
          <w:color w:val="auto"/>
          <w:sz w:val="32"/>
          <w:szCs w:val="32"/>
          <w:lang w:val="en-US" w:eastAsia="zh-CN"/>
        </w:rPr>
        <w:t>已被机关事业单位按规定程序招考招录为机关事业单位在编人员，以及享受机关事业单位退休待遇人员。</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20" w:lineRule="exact"/>
        <w:ind w:left="0" w:leftChars="0" w:right="0" w:righ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第五条</w:t>
      </w:r>
      <w:r>
        <w:rPr>
          <w:rFonts w:hint="eastAsia" w:ascii="仿宋_GB2312" w:hAnsi="仿宋_GB2312" w:eastAsia="仿宋_GB2312" w:cs="仿宋_GB2312"/>
          <w:color w:val="auto"/>
          <w:sz w:val="32"/>
          <w:szCs w:val="32"/>
          <w:lang w:val="en-US" w:eastAsia="zh-CN"/>
        </w:rPr>
        <w:t xml:space="preserve"> 被征地农民社会保障对象认定</w:t>
      </w:r>
      <w:r>
        <w:rPr>
          <w:rFonts w:hint="default" w:ascii="仿宋_GB2312" w:hAnsi="仿宋_GB2312" w:eastAsia="仿宋_GB2312" w:cs="仿宋_GB2312"/>
          <w:color w:val="auto"/>
          <w:sz w:val="32"/>
          <w:szCs w:val="32"/>
          <w:lang w:val="en-US" w:eastAsia="zh-CN"/>
        </w:rPr>
        <w:t>按</w:t>
      </w:r>
      <w:r>
        <w:rPr>
          <w:rFonts w:hint="eastAsia" w:ascii="仿宋_GB2312" w:hAnsi="仿宋_GB2312" w:eastAsia="仿宋_GB2312" w:cs="仿宋_GB2312"/>
          <w:color w:val="auto"/>
          <w:sz w:val="32"/>
          <w:szCs w:val="32"/>
          <w:lang w:val="en-US" w:eastAsia="zh-CN"/>
        </w:rPr>
        <w:t>以下</w:t>
      </w:r>
      <w:r>
        <w:rPr>
          <w:rFonts w:hint="default" w:ascii="仿宋_GB2312" w:hAnsi="仿宋_GB2312" w:eastAsia="仿宋_GB2312" w:cs="仿宋_GB2312"/>
          <w:color w:val="auto"/>
          <w:sz w:val="32"/>
          <w:szCs w:val="32"/>
          <w:lang w:val="en-US" w:eastAsia="zh-CN"/>
        </w:rPr>
        <w:t>程序进行</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20" w:lineRule="exact"/>
        <w:ind w:left="0" w:leftChars="0" w:right="0" w:righ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b/>
          <w:bCs/>
          <w:sz w:val="32"/>
          <w:szCs w:val="32"/>
          <w:lang w:val="en-US" w:eastAsia="zh-CN"/>
        </w:rPr>
        <w:t>（一）申报。</w:t>
      </w:r>
      <w:r>
        <w:rPr>
          <w:rFonts w:hint="eastAsia" w:ascii="仿宋_GB2312" w:hAnsi="仿宋_GB2312" w:eastAsia="仿宋_GB2312" w:cs="仿宋_GB2312"/>
          <w:color w:val="auto"/>
          <w:sz w:val="32"/>
          <w:szCs w:val="32"/>
          <w:lang w:val="en-US" w:eastAsia="zh-CN"/>
        </w:rPr>
        <w:t>《征收土地预公告》发布后，本人向所在村（社区）提出申请，填写《被征地农民社会保障对象认定表》，并提供居民身份证和居民户口簿内页原件及复印件，土地承包经营权证原件及复印件等相关资料。</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20" w:lineRule="exact"/>
        <w:ind w:left="0" w:leftChars="0" w:right="0" w:righ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b/>
          <w:bCs/>
          <w:sz w:val="32"/>
          <w:szCs w:val="32"/>
          <w:lang w:val="en-US" w:eastAsia="zh-CN"/>
        </w:rPr>
        <w:t>（二）初审。</w:t>
      </w:r>
      <w:r>
        <w:rPr>
          <w:rFonts w:hint="eastAsia" w:ascii="仿宋_GB2312" w:hAnsi="仿宋_GB2312" w:eastAsia="仿宋_GB2312" w:cs="仿宋_GB2312"/>
          <w:color w:val="auto"/>
          <w:sz w:val="32"/>
          <w:szCs w:val="32"/>
          <w:lang w:val="en-US" w:eastAsia="zh-CN"/>
        </w:rPr>
        <w:t>土地丈量面积登记后，所在村（社区）进行讨论、初审。复印资料需要初审人签字，形成《被征地农民社会保障对象认定花名册》。</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20" w:lineRule="exact"/>
        <w:ind w:left="0" w:leftChars="0" w:right="0" w:righ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b/>
          <w:bCs/>
          <w:sz w:val="32"/>
          <w:szCs w:val="32"/>
          <w:lang w:val="en-US" w:eastAsia="zh-CN"/>
        </w:rPr>
        <w:t>（三）第一轮公示。</w:t>
      </w:r>
      <w:r>
        <w:rPr>
          <w:rFonts w:hint="eastAsia" w:ascii="仿宋_GB2312" w:hAnsi="仿宋_GB2312" w:eastAsia="仿宋_GB2312" w:cs="仿宋_GB2312"/>
          <w:color w:val="auto"/>
          <w:sz w:val="32"/>
          <w:szCs w:val="32"/>
          <w:lang w:val="en-US" w:eastAsia="zh-CN"/>
        </w:rPr>
        <w:t>《被征地农民社会保障对象认定花名册》在村集体显著位置张榜公示，公示期为7天。公示无异议后，由不少于10名被征地村民代表在花名册上签字证明，并将申请人员的申报资料汇集成册，连同征地的相关资料（征地补偿安置协议、房屋拆迁协议、征地补偿安置方案、征地补偿款的分配方案等）一并报所在乡镇人民政府（街道办事处）。</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b/>
          <w:bCs/>
          <w:sz w:val="32"/>
          <w:szCs w:val="32"/>
          <w:lang w:val="en-US" w:eastAsia="zh-CN"/>
        </w:rPr>
        <w:t>（四）复审。</w:t>
      </w:r>
      <w:r>
        <w:rPr>
          <w:rFonts w:hint="eastAsia" w:ascii="仿宋_GB2312" w:hAnsi="仿宋_GB2312" w:eastAsia="仿宋_GB2312" w:cs="仿宋_GB2312"/>
          <w:color w:val="auto"/>
          <w:sz w:val="32"/>
          <w:szCs w:val="32"/>
          <w:lang w:val="en-US" w:eastAsia="zh-CN"/>
        </w:rPr>
        <w:t>土地补偿协议签订后，由各乡镇人民政府（街道办事处）牵头，组织自然资源、农业农村、派出所等部门对被征地农民身份进行复审。</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楷体" w:hAnsi="楷体" w:eastAsia="楷体" w:cs="楷体"/>
          <w:b/>
          <w:bCs/>
          <w:sz w:val="32"/>
          <w:szCs w:val="32"/>
          <w:lang w:val="en-US" w:eastAsia="zh-CN"/>
        </w:rPr>
        <w:t>（五）会审。</w:t>
      </w:r>
      <w:r>
        <w:rPr>
          <w:rFonts w:hint="eastAsia" w:ascii="仿宋_GB2312" w:hAnsi="仿宋_GB2312" w:eastAsia="仿宋_GB2312" w:cs="仿宋_GB2312"/>
          <w:color w:val="auto"/>
          <w:sz w:val="32"/>
          <w:szCs w:val="32"/>
          <w:lang w:val="en-US" w:eastAsia="zh-CN"/>
        </w:rPr>
        <w:t>复审后将《被征地农民社会保障对象认定花名册》及相关资料报市</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优化人居环境事务中心，组织自然资源、农业农村、公安等部门对资料进行联合会审。</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楷体" w:hAnsi="楷体" w:eastAsia="楷体" w:cs="楷体"/>
          <w:b/>
          <w:bCs/>
          <w:sz w:val="32"/>
          <w:szCs w:val="32"/>
          <w:lang w:val="en-US" w:eastAsia="zh-CN"/>
        </w:rPr>
        <w:t>（六）第二轮公示。</w:t>
      </w:r>
      <w:r>
        <w:rPr>
          <w:rFonts w:hint="eastAsia" w:ascii="仿宋_GB2312" w:hAnsi="仿宋_GB2312" w:eastAsia="仿宋_GB2312" w:cs="仿宋_GB2312"/>
          <w:color w:val="auto"/>
          <w:sz w:val="32"/>
          <w:szCs w:val="32"/>
          <w:lang w:val="en-US" w:eastAsia="zh-CN"/>
        </w:rPr>
        <w:t>会审后将《被征地农民社会保障对</w:t>
      </w:r>
      <w:r>
        <w:rPr>
          <w:rFonts w:hint="eastAsia" w:ascii="仿宋_GB2312" w:hAnsi="仿宋_GB2312" w:eastAsia="仿宋_GB2312" w:cs="仿宋_GB2312"/>
          <w:b w:val="0"/>
          <w:bCs w:val="0"/>
          <w:color w:val="auto"/>
          <w:sz w:val="32"/>
          <w:szCs w:val="32"/>
          <w:lang w:val="en-US" w:eastAsia="zh-CN"/>
        </w:rPr>
        <w:t>象认定花名册》在市级政府门户网站和所在村集体进行第二轮公示，公示期为7天，应当设立举报电话，对举报和提出异议的进行核查，有弄虚作假、伪造资料、恶意举报等情况，依法进行处理。</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楷体" w:hAnsi="楷体" w:eastAsia="楷体" w:cs="楷体"/>
          <w:b/>
          <w:bCs/>
          <w:sz w:val="32"/>
          <w:szCs w:val="32"/>
          <w:lang w:val="en-US" w:eastAsia="zh-CN"/>
        </w:rPr>
        <w:t>（七）审定。</w:t>
      </w:r>
      <w:r>
        <w:rPr>
          <w:rFonts w:hint="eastAsia" w:ascii="仿宋_GB2312" w:hAnsi="仿宋_GB2312" w:eastAsia="仿宋_GB2312" w:cs="仿宋_GB2312"/>
          <w:color w:val="auto"/>
          <w:sz w:val="32"/>
          <w:szCs w:val="32"/>
          <w:lang w:val="en-US" w:eastAsia="zh-CN"/>
        </w:rPr>
        <w:t>第二轮公示无异议后，市征拆联席会议对被</w:t>
      </w:r>
      <w:r>
        <w:rPr>
          <w:rFonts w:hint="eastAsia" w:ascii="仿宋_GB2312" w:hAnsi="仿宋_GB2312" w:eastAsia="仿宋_GB2312" w:cs="仿宋_GB2312"/>
          <w:b w:val="0"/>
          <w:bCs w:val="0"/>
          <w:color w:val="auto"/>
          <w:sz w:val="32"/>
          <w:szCs w:val="32"/>
          <w:lang w:val="en-US" w:eastAsia="zh-CN"/>
        </w:rPr>
        <w:t>征地农民社会保障对象予以审定。将《被征地农民社会保障对象认定花名册》作为被征地农民社会保障对象享受养老保险缴费补贴的依据。</w:t>
      </w:r>
    </w:p>
    <w:p>
      <w:pPr>
        <w:keepNext w:val="0"/>
        <w:keepLines w:val="0"/>
        <w:pageBreakBefore w:val="0"/>
        <w:widowControl w:val="0"/>
        <w:numPr>
          <w:ilvl w:val="0"/>
          <w:numId w:val="0"/>
        </w:numPr>
        <w:shd w:val="clear" w:color="auto" w:fill="auto"/>
        <w:kinsoku/>
        <w:wordWrap/>
        <w:overflowPunct/>
        <w:topLinePunct w:val="0"/>
        <w:autoSpaceDE/>
        <w:autoSpaceDN/>
        <w:bidi w:val="0"/>
        <w:adjustRightInd/>
        <w:spacing w:line="540" w:lineRule="exact"/>
        <w:ind w:left="0" w:leftChars="0" w:right="0" w:rightChars="0" w:firstLine="643" w:firstLineChars="200"/>
        <w:jc w:val="both"/>
        <w:textAlignment w:val="auto"/>
        <w:rPr>
          <w:rFonts w:hint="eastAsia"/>
          <w:color w:val="auto"/>
          <w:lang w:val="en-US" w:eastAsia="zh-CN"/>
        </w:rPr>
      </w:pPr>
      <w:r>
        <w:rPr>
          <w:rFonts w:hint="eastAsia" w:ascii="仿宋_GB2312" w:hAnsi="仿宋_GB2312" w:eastAsia="仿宋_GB2312" w:cs="仿宋_GB2312"/>
          <w:b/>
          <w:bCs/>
          <w:color w:val="auto"/>
          <w:sz w:val="32"/>
          <w:szCs w:val="32"/>
          <w:lang w:val="en-US" w:eastAsia="zh-CN"/>
        </w:rPr>
        <w:t>第六条</w:t>
      </w:r>
      <w:r>
        <w:rPr>
          <w:rFonts w:hint="eastAsia" w:ascii="仿宋_GB2312" w:hAnsi="仿宋_GB2312" w:eastAsia="仿宋_GB2312" w:cs="仿宋_GB2312"/>
          <w:color w:val="auto"/>
          <w:sz w:val="32"/>
          <w:szCs w:val="32"/>
          <w:lang w:val="en-US" w:eastAsia="zh-CN"/>
        </w:rPr>
        <w:t xml:space="preserve"> </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被征地农民社会保障对象年龄的认定以《征收土地公告》发布之日为准。</w:t>
      </w:r>
      <w:r>
        <w:rPr>
          <w:rFonts w:hint="eastAsia" w:ascii="仿宋_GB2312" w:hAnsi="仿宋_GB2312" w:eastAsia="仿宋_GB2312" w:cs="仿宋_GB2312"/>
          <w:b w:val="0"/>
          <w:bCs w:val="0"/>
          <w:color w:val="auto"/>
          <w:sz w:val="32"/>
          <w:szCs w:val="32"/>
          <w:lang w:val="en-US" w:eastAsia="zh-CN"/>
        </w:rPr>
        <w:t>被征地农民社会保障对象《征收土地预公告》发布时因未满16周岁未进行认定，但</w:t>
      </w:r>
      <w:r>
        <w:rPr>
          <w:rFonts w:hint="eastAsia" w:ascii="仿宋_GB2312" w:hAnsi="仿宋_GB2312" w:eastAsia="仿宋_GB2312" w:cs="仿宋_GB2312"/>
          <w:color w:val="auto"/>
          <w:sz w:val="32"/>
          <w:szCs w:val="32"/>
          <w:lang w:val="en-US" w:eastAsia="zh-CN"/>
        </w:rPr>
        <w:t>《征收土地公告》发布时已年满</w:t>
      </w:r>
      <w:r>
        <w:rPr>
          <w:rFonts w:hint="eastAsia" w:ascii="仿宋_GB2312" w:hAnsi="仿宋_GB2312" w:eastAsia="仿宋_GB2312" w:cs="仿宋_GB2312"/>
          <w:b w:val="0"/>
          <w:bCs w:val="0"/>
          <w:color w:val="auto"/>
          <w:sz w:val="32"/>
          <w:szCs w:val="32"/>
          <w:lang w:val="en-US" w:eastAsia="zh-CN"/>
        </w:rPr>
        <w:t>16周岁且符合纳入被征地农民社会保障对象认定范围的，严格按照本办法第五条规定程序进行补充认定。</w:t>
      </w:r>
    </w:p>
    <w:p>
      <w:pPr>
        <w:pStyle w:val="2"/>
        <w:keepNext w:val="0"/>
        <w:keepLines w:val="0"/>
        <w:pageBreakBefore w:val="0"/>
        <w:widowControl w:val="0"/>
        <w:kinsoku/>
        <w:wordWrap/>
        <w:topLinePunct w:val="0"/>
        <w:autoSpaceDE/>
        <w:autoSpaceDN/>
        <w:bidi w:val="0"/>
        <w:adjustRightInd/>
        <w:spacing w:line="540" w:lineRule="exact"/>
        <w:ind w:left="0" w:leftChars="0"/>
        <w:rPr>
          <w:rFonts w:hint="eastAsia" w:ascii="仿宋_GB2312" w:hAnsi="仿宋_GB2312" w:eastAsia="仿宋_GB2312" w:cs="仿宋_GB2312"/>
          <w:color w:val="FF0000"/>
          <w:kern w:val="2"/>
          <w:sz w:val="32"/>
          <w:szCs w:val="32"/>
          <w:lang w:val="en-US" w:eastAsia="zh-CN" w:bidi="ar-SA"/>
        </w:rPr>
      </w:pPr>
      <w:r>
        <w:rPr>
          <w:rFonts w:hint="eastAsia" w:ascii="仿宋_GB2312" w:hAnsi="仿宋_GB2312" w:eastAsia="仿宋_GB2312" w:cs="仿宋_GB2312"/>
          <w:color w:val="FF0000"/>
          <w:kern w:val="2"/>
          <w:sz w:val="32"/>
          <w:szCs w:val="32"/>
          <w:lang w:val="en-US" w:eastAsia="zh-CN" w:bidi="ar-SA"/>
        </w:rPr>
        <w:t xml:space="preserve">   </w:t>
      </w:r>
      <w:r>
        <w:rPr>
          <w:rFonts w:hint="eastAsia" w:ascii="仿宋_GB2312" w:hAnsi="仿宋_GB2312" w:eastAsia="仿宋_GB2312" w:cs="仿宋_GB2312"/>
          <w:b w:val="0"/>
          <w:bCs w:val="0"/>
          <w:color w:val="FF0000"/>
          <w:kern w:val="2"/>
          <w:sz w:val="32"/>
          <w:szCs w:val="32"/>
          <w:lang w:val="en-US" w:eastAsia="zh-CN" w:bidi="ar-SA"/>
        </w:rPr>
        <w:t xml:space="preserve"> </w:t>
      </w:r>
    </w:p>
    <w:p>
      <w:pPr>
        <w:keepNext w:val="0"/>
        <w:keepLines w:val="0"/>
        <w:pageBreakBefore w:val="0"/>
        <w:widowControl w:val="0"/>
        <w:numPr>
          <w:ilvl w:val="0"/>
          <w:numId w:val="1"/>
        </w:numPr>
        <w:kinsoku/>
        <w:wordWrap/>
        <w:overflowPunct/>
        <w:topLinePunct w:val="0"/>
        <w:autoSpaceDE/>
        <w:autoSpaceDN/>
        <w:bidi w:val="0"/>
        <w:adjustRightInd/>
        <w:spacing w:line="540" w:lineRule="exact"/>
        <w:ind w:left="0" w:leftChars="0"/>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 参保缴费补贴</w:t>
      </w:r>
    </w:p>
    <w:p>
      <w:pPr>
        <w:pStyle w:val="2"/>
        <w:keepNext w:val="0"/>
        <w:keepLines w:val="0"/>
        <w:pageBreakBefore w:val="0"/>
        <w:widowControl w:val="0"/>
        <w:kinsoku/>
        <w:wordWrap/>
        <w:topLinePunct w:val="0"/>
        <w:autoSpaceDE/>
        <w:autoSpaceDN/>
        <w:bidi w:val="0"/>
        <w:adjustRightInd/>
        <w:spacing w:line="540" w:lineRule="exact"/>
        <w:ind w:left="0" w:leftChars="0" w:firstLine="643" w:firstLineChars="20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第七条</w:t>
      </w:r>
      <w:r>
        <w:rPr>
          <w:rFonts w:hint="eastAsia" w:ascii="仿宋_GB2312" w:hAnsi="仿宋_GB2312" w:eastAsia="仿宋_GB2312" w:cs="仿宋_GB2312"/>
          <w:b w:val="0"/>
          <w:bCs w:val="0"/>
          <w:color w:val="auto"/>
          <w:kern w:val="2"/>
          <w:sz w:val="32"/>
          <w:szCs w:val="32"/>
          <w:lang w:val="en-US" w:eastAsia="zh-CN" w:bidi="ar-SA"/>
        </w:rPr>
        <w:t xml:space="preserve"> 以征地公告项目为实施单位，在发布《征收土地公告》且项目征收完成（全部腾房交地）后30个工作日内，补贴发放机构为</w:t>
      </w:r>
      <w:r>
        <w:rPr>
          <w:rFonts w:hint="eastAsia" w:ascii="仿宋_GB2312" w:hAnsi="仿宋_GB2312" w:eastAsia="仿宋_GB2312" w:cs="仿宋_GB2312"/>
          <w:color w:val="auto"/>
          <w:sz w:val="32"/>
          <w:szCs w:val="32"/>
          <w:lang w:val="en-US" w:eastAsia="zh-CN"/>
        </w:rPr>
        <w:t>被征地农民</w:t>
      </w:r>
      <w:r>
        <w:rPr>
          <w:rFonts w:hint="eastAsia" w:ascii="仿宋_GB2312" w:hAnsi="仿宋_GB2312" w:eastAsia="仿宋_GB2312" w:cs="仿宋_GB2312"/>
          <w:b w:val="0"/>
          <w:bCs w:val="0"/>
          <w:color w:val="auto"/>
          <w:sz w:val="32"/>
          <w:szCs w:val="32"/>
          <w:lang w:val="en-US" w:eastAsia="zh-CN"/>
        </w:rPr>
        <w:t>社会保障对象办理养老保险补贴登记手续。</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eastAsia="zh-CN"/>
        </w:rPr>
        <w:t>八</w:t>
      </w:r>
      <w:r>
        <w:rPr>
          <w:rFonts w:hint="eastAsia" w:ascii="仿宋" w:hAnsi="仿宋" w:eastAsia="仿宋" w:cs="仿宋"/>
          <w:b/>
          <w:bCs/>
          <w:color w:val="auto"/>
          <w:sz w:val="32"/>
          <w:szCs w:val="32"/>
        </w:rPr>
        <w:t xml:space="preserve">条 </w:t>
      </w:r>
      <w:r>
        <w:rPr>
          <w:rFonts w:hint="eastAsia" w:ascii="Times New Roman" w:hAnsi="Times New Roman" w:eastAsia="仿宋_GB2312" w:cs="Times New Roman"/>
          <w:color w:val="000000" w:themeColor="text1"/>
          <w:sz w:val="32"/>
          <w:szCs w:val="32"/>
          <w:u w:val="none"/>
          <w14:textFill>
            <w14:solidFill>
              <w14:schemeClr w14:val="tx1"/>
            </w14:solidFill>
          </w14:textFill>
        </w:rPr>
        <w:t>积极引导被征地农民参保缴费</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未达到法定退休年龄的被征地农民，由其自主选择参加企业职工养老保险，严格按规定逐年缴费，逐年领取养老保险缴费补贴；或选择参加城乡居民基本养老保险，养老保险缴费补贴一次性计入个人账户，一经选择补贴方式不变更。</w:t>
      </w:r>
      <w:r>
        <w:rPr>
          <w:rFonts w:hint="eastAsia" w:ascii="Times New Roman" w:hAnsi="Times New Roman" w:eastAsia="仿宋_GB2312" w:cs="Times New Roman"/>
          <w:color w:val="000000" w:themeColor="text1"/>
          <w:sz w:val="32"/>
          <w:szCs w:val="32"/>
          <w:u w:val="none"/>
          <w14:textFill>
            <w14:solidFill>
              <w14:schemeClr w14:val="tx1"/>
            </w14:solidFill>
          </w14:textFill>
        </w:rPr>
        <w:t>已超过法定退休年龄的被征地农民</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社会保障对象</w:t>
      </w:r>
      <w:r>
        <w:rPr>
          <w:rFonts w:hint="eastAsia" w:ascii="Times New Roman" w:hAnsi="Times New Roman" w:eastAsia="仿宋_GB2312" w:cs="Times New Roman"/>
          <w:color w:val="000000" w:themeColor="text1"/>
          <w:sz w:val="32"/>
          <w:szCs w:val="32"/>
          <w:u w:val="none"/>
          <w14:textFill>
            <w14:solidFill>
              <w14:schemeClr w14:val="tx1"/>
            </w14:solidFill>
          </w14:textFill>
        </w:rPr>
        <w:t>，按规定纳入城乡居民</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基本</w:t>
      </w:r>
      <w:r>
        <w:rPr>
          <w:rFonts w:hint="eastAsia" w:ascii="Times New Roman" w:hAnsi="Times New Roman" w:eastAsia="仿宋_GB2312" w:cs="Times New Roman"/>
          <w:color w:val="000000" w:themeColor="text1"/>
          <w:sz w:val="32"/>
          <w:szCs w:val="32"/>
          <w:u w:val="none"/>
          <w14:textFill>
            <w14:solidFill>
              <w14:schemeClr w14:val="tx1"/>
            </w14:solidFill>
          </w14:textFill>
        </w:rPr>
        <w:t>养老保险，不得以违规一次性补缴方式纳入企业职工养老保险。</w:t>
      </w:r>
    </w:p>
    <w:p>
      <w:pPr>
        <w:pStyle w:val="2"/>
        <w:keepNext w:val="0"/>
        <w:keepLines w:val="0"/>
        <w:pageBreakBefore w:val="0"/>
        <w:widowControl w:val="0"/>
        <w:kinsoku/>
        <w:wordWrap/>
        <w:overflowPunct/>
        <w:topLinePunct w:val="0"/>
        <w:autoSpaceDE/>
        <w:autoSpaceDN/>
        <w:bidi w:val="0"/>
        <w:adjustRightInd/>
        <w:snapToGrid w:val="0"/>
        <w:spacing w:line="540" w:lineRule="exact"/>
        <w:ind w:left="0" w:leftChars="0"/>
        <w:jc w:val="both"/>
        <w:textAlignment w:val="auto"/>
        <w:rPr>
          <w:rFonts w:hint="eastAsia" w:ascii="仿宋_GB2312" w:hAnsi="仿宋_GB2312" w:eastAsia="仿宋_GB2312" w:cs="仿宋_GB2312"/>
          <w:lang w:val="en-US"/>
        </w:rPr>
      </w:pPr>
      <w:r>
        <w:rPr>
          <w:rFonts w:hint="eastAsia" w:ascii="仿宋" w:hAnsi="仿宋" w:eastAsia="仿宋" w:cs="仿宋"/>
          <w:sz w:val="32"/>
          <w:szCs w:val="32"/>
          <w:lang w:val="en-US" w:eastAsia="zh-CN"/>
        </w:rPr>
        <w:t xml:space="preserve">    </w:t>
      </w:r>
      <w:r>
        <w:rPr>
          <w:rFonts w:hint="eastAsia" w:ascii="仿宋_GB2312" w:hAnsi="仿宋_GB2312" w:eastAsia="仿宋_GB2312" w:cs="仿宋_GB2312"/>
          <w:b/>
          <w:bCs/>
          <w:sz w:val="32"/>
          <w:szCs w:val="32"/>
          <w:lang w:val="en-US" w:eastAsia="zh-CN"/>
        </w:rPr>
        <w:t>第九条</w:t>
      </w:r>
      <w:r>
        <w:rPr>
          <w:rFonts w:hint="eastAsia" w:ascii="仿宋_GB2312" w:hAnsi="仿宋_GB2312" w:eastAsia="仿宋_GB2312" w:cs="仿宋_GB2312"/>
          <w:sz w:val="32"/>
          <w:szCs w:val="32"/>
          <w:lang w:val="en-US" w:eastAsia="zh-CN"/>
        </w:rPr>
        <w:t xml:space="preserve"> 经认定为被征地农民社会保障对象的人员，每年由乡镇人民政府（街道办事处）组织集中申报，补贴发放机构及时为其落实养老保险缴费补贴。  </w:t>
      </w:r>
    </w:p>
    <w:p>
      <w:pPr>
        <w:keepNext w:val="0"/>
        <w:keepLines w:val="0"/>
        <w:pageBreakBefore w:val="0"/>
        <w:widowControl w:val="0"/>
        <w:kinsoku/>
        <w:wordWrap/>
        <w:topLinePunct w:val="0"/>
        <w:autoSpaceDE/>
        <w:autoSpaceDN/>
        <w:bidi w:val="0"/>
        <w:adjustRightInd/>
        <w:spacing w:line="540" w:lineRule="exact"/>
        <w:ind w:left="0"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被征地农民</w:t>
      </w:r>
      <w:r>
        <w:rPr>
          <w:rFonts w:hint="eastAsia" w:ascii="仿宋_GB2312" w:hAnsi="仿宋_GB2312" w:eastAsia="仿宋_GB2312" w:cs="仿宋_GB2312"/>
          <w:color w:val="auto"/>
          <w:sz w:val="32"/>
          <w:szCs w:val="32"/>
          <w:lang w:eastAsia="zh-CN"/>
        </w:rPr>
        <w:t>参加企业职工</w:t>
      </w:r>
      <w:r>
        <w:rPr>
          <w:rFonts w:hint="eastAsia" w:ascii="仿宋_GB2312" w:hAnsi="仿宋_GB2312" w:eastAsia="仿宋_GB2312" w:cs="仿宋_GB2312"/>
          <w:color w:val="auto"/>
          <w:sz w:val="32"/>
          <w:szCs w:val="32"/>
        </w:rPr>
        <w:t>基本养老保险</w:t>
      </w:r>
      <w:r>
        <w:rPr>
          <w:rFonts w:hint="eastAsia" w:ascii="仿宋_GB2312" w:hAnsi="仿宋_GB2312" w:eastAsia="仿宋_GB2312" w:cs="仿宋_GB2312"/>
          <w:color w:val="auto"/>
          <w:sz w:val="32"/>
          <w:szCs w:val="32"/>
          <w:lang w:eastAsia="zh-CN"/>
        </w:rPr>
        <w:t>的缴费补贴标准</w:t>
      </w:r>
      <w:r>
        <w:rPr>
          <w:rFonts w:hint="eastAsia" w:ascii="仿宋_GB2312" w:hAnsi="仿宋_GB2312" w:eastAsia="仿宋_GB2312" w:cs="仿宋_GB2312"/>
          <w:color w:val="auto"/>
          <w:sz w:val="32"/>
          <w:szCs w:val="32"/>
          <w:lang w:val="en-US" w:eastAsia="zh-CN"/>
        </w:rPr>
        <w:t>=被征地农民社会保障对象认定当年全省职工基本养老保险缴费基准值的60%</w:t>
      </w:r>
      <w:r>
        <w:rPr>
          <w:rFonts w:hint="eastAsia" w:ascii="仿宋_GB2312" w:hAnsi="仿宋_GB2312" w:eastAsia="仿宋_GB2312" w:cs="仿宋_GB2312"/>
          <w:color w:val="auto"/>
          <w:sz w:val="32"/>
          <w:szCs w:val="32"/>
          <w:lang w:eastAsia="zh-CN"/>
        </w:rPr>
        <w:t>×20%×</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（二）被征地农民参加企业职工基本养老保险的缴费补贴年限：以《征收土地公告》发布之日为节点，年满16</w:t>
      </w:r>
      <w:r>
        <w:rPr>
          <w:rFonts w:hint="eastAsia" w:ascii="仿宋_GB2312" w:hAnsi="仿宋_GB2312" w:eastAsia="仿宋_GB2312" w:cs="仿宋_GB2312"/>
          <w:color w:val="auto"/>
          <w:sz w:val="32"/>
          <w:szCs w:val="32"/>
          <w:u w:val="none"/>
        </w:rPr>
        <w:t>周岁</w:t>
      </w:r>
      <w:r>
        <w:rPr>
          <w:rFonts w:hint="eastAsia" w:ascii="仿宋_GB2312" w:hAnsi="仿宋_GB2312" w:eastAsia="仿宋_GB2312" w:cs="仿宋_GB2312"/>
          <w:b w:val="0"/>
          <w:bCs w:val="0"/>
          <w:color w:val="auto"/>
          <w:kern w:val="2"/>
          <w:sz w:val="32"/>
          <w:szCs w:val="32"/>
          <w:lang w:val="en-US" w:eastAsia="zh-CN" w:bidi="ar-SA"/>
        </w:rPr>
        <w:t>17</w:t>
      </w:r>
      <w:r>
        <w:rPr>
          <w:rFonts w:hint="eastAsia" w:ascii="仿宋_GB2312" w:hAnsi="仿宋_GB2312" w:eastAsia="仿宋_GB2312" w:cs="仿宋_GB2312"/>
          <w:color w:val="auto"/>
          <w:sz w:val="32"/>
          <w:szCs w:val="32"/>
          <w:u w:val="none"/>
          <w:lang w:val="en-US" w:eastAsia="zh-CN"/>
        </w:rPr>
        <w:t>周岁补贴</w:t>
      </w:r>
      <w:r>
        <w:rPr>
          <w:rFonts w:hint="eastAsia" w:ascii="仿宋_GB2312" w:hAnsi="仿宋_GB2312" w:eastAsia="仿宋_GB2312" w:cs="仿宋_GB2312"/>
          <w:b w:val="0"/>
          <w:bCs w:val="0"/>
          <w:color w:val="auto"/>
          <w:kern w:val="2"/>
          <w:sz w:val="32"/>
          <w:szCs w:val="32"/>
          <w:lang w:val="en-US" w:eastAsia="zh-CN" w:bidi="ar-SA"/>
        </w:rPr>
        <w:t>1年，18周岁补贴2年，19周岁补贴3年。20周岁至40周岁补贴4年。年满40周岁的人员，每增大5周岁，均加补1年(不够5周岁的也加补1年)。年满60周岁的人员补贴8年，之上，每增大3周岁，均加补1年(不够3周岁的也加补1年)，最长补贴12年。</w:t>
      </w:r>
    </w:p>
    <w:p>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仿宋" w:hAnsi="仿宋" w:eastAsia="仿宋" w:cs="仿宋"/>
          <w:b/>
          <w:bCs/>
          <w:color w:val="auto"/>
          <w:sz w:val="32"/>
          <w:szCs w:val="32"/>
          <w:lang w:val="en-US" w:eastAsia="zh-CN"/>
        </w:rPr>
        <w:t>（三）</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未达法定退休年龄且选择参加企业职工养老保险的，按照“先缴后补”的原则，当年缴费后，</w:t>
      </w:r>
      <w:r>
        <w:rPr>
          <w:rFonts w:hint="eastAsia"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依程序按已认</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定的养老保险缴费补贴标准给予补贴，因缴费基数提高增加的缴费金额由被征地农民个人承担。</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养老保险缴费补贴年限届满前符合企业职工养老保险待遇领取条件的，养老保险缴费补贴余额一次性发放给本人。养老保险缴费补贴年限期满前死亡的，养老保险缴费补贴余额一次性发放给继承人。养老保险缴费补贴年限届满后，缴费年限不足国家规定的领取基本养老保险待遇最低年限的，个人应继续缴费。</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达法定退休年龄时累计缴费年限不足15年，不符合企业职工养老保险待遇领取条件的，个人可延长缴费至国家规定的领取企业职工养老保险待遇最低年限。延长缴费期间，可按规定领取补贴年限内的养老保险缴费补贴。</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四）未达法定退休年龄且选择参加城乡居民养老保险的，养老保险缴费补贴标准、年限与参加企业职工养老保险相同，养老保险缴费补贴一次性计入其城乡居民养老保险个人账户，增加个人账户储存额，个人应逐年缴纳城乡居民养老保险费。</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（五）已达到法定退休年龄，且认定为被征地农民社会保障对象时已经领取基本养老保险待遇的分为以下两种情况：</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已经领取企业职工养老保险待遇的，养老保险缴费补贴一次性发放给本人，原享受的企业职工养老保险待遇不变。</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已经领取城乡居民养老保险待遇的，养老保险缴费补贴一次性计入其城乡居民养老保险个人账户后，从次月起增发个人账户养老金，增发金额=养老保险缴费补贴金额</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÷139</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（计发系数为</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139</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六）经认定为被征地农民社会保障对象的现役军人凭借军队后勤（联勤）机关财务部门出具的军人养老保险登记证明或其他相关证明资料可按年领取养老保险缴费补贴，也可在退役后凭借相关证明资料一次性领取服役期间的养老保险缴费补贴。</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textAlignment w:val="auto"/>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（七）被征地农民社会保障对象认定后录用为国家机关事业单位在编工作人员的，从录用后缴纳机关事业单位养老保险当月起不再享受被征地农民养老保险缴费补贴。</w:t>
      </w:r>
    </w:p>
    <w:p>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u w:val="none"/>
          <w:lang w:val="en-US" w:eastAsia="zh-CN"/>
          <w14:textFill>
            <w14:solidFill>
              <w14:schemeClr w14:val="tx1"/>
            </w14:solidFill>
          </w14:textFill>
        </w:rPr>
        <w:t>第十条</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经国家认定为不符合条件一次性缴费纳入企业职工基本养老保险的被征地农民，其发放待遇增加的地方财政支出责任原则上由一般公共预算承担，具体核定和分担办法按国家有关规定执行。对未达到法定退休年龄的不符合条件一次性补缴被征地农民，可在其退休前，将已一次性补缴的养老保险费，改为按月正常缴费，逐月正常缴费的基数差按照“谁征地、谁负责”的原则，由相应层级政府承担。</w:t>
      </w:r>
    </w:p>
    <w:p>
      <w:pPr>
        <w:keepNext w:val="0"/>
        <w:keepLines w:val="0"/>
        <w:pageBreakBefore w:val="0"/>
        <w:widowControl w:val="0"/>
        <w:kinsoku/>
        <w:wordWrap/>
        <w:overflowPunct/>
        <w:topLinePunct w:val="0"/>
        <w:autoSpaceDE/>
        <w:autoSpaceDN/>
        <w:bidi w:val="0"/>
        <w:adjustRightInd/>
        <w:spacing w:line="540" w:lineRule="exact"/>
        <w:ind w:left="0" w:leftChars="0"/>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pacing w:line="540" w:lineRule="exact"/>
        <w:ind w:left="0" w:leftChars="0"/>
        <w:jc w:val="center"/>
        <w:textAlignment w:val="auto"/>
        <w:rPr>
          <w:rFonts w:hint="eastAsia" w:ascii="仿宋" w:hAnsi="仿宋" w:eastAsia="仿宋" w:cs="仿宋"/>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资金来源和管理</w:t>
      </w:r>
    </w:p>
    <w:p>
      <w:pPr>
        <w:keepNext w:val="0"/>
        <w:keepLines w:val="0"/>
        <w:pageBreakBefore w:val="0"/>
        <w:widowControl w:val="0"/>
        <w:kinsoku/>
        <w:wordWrap/>
        <w:topLinePunct w:val="0"/>
        <w:autoSpaceDE/>
        <w:autoSpaceDN/>
        <w:bidi w:val="0"/>
        <w:adjustRightInd/>
        <w:spacing w:line="540" w:lineRule="exact"/>
        <w:ind w:left="0" w:leftChars="0" w:firstLine="643" w:firstLineChars="200"/>
        <w:rPr>
          <w:rFonts w:hint="eastAsia" w:ascii="仿宋_GB2312" w:hAnsi="仿宋_GB2312" w:eastAsia="仿宋_GB2312" w:cs="仿宋_GB2312"/>
          <w:color w:val="auto"/>
          <w:sz w:val="32"/>
          <w:szCs w:val="32"/>
        </w:rPr>
      </w:pPr>
      <w:r>
        <w:rPr>
          <w:rFonts w:hint="eastAsia" w:ascii="仿宋" w:hAnsi="仿宋" w:eastAsia="仿宋" w:cs="仿宋"/>
          <w:b/>
          <w:bCs/>
          <w:color w:val="auto"/>
          <w:sz w:val="32"/>
          <w:szCs w:val="32"/>
        </w:rPr>
        <w:t>第</w:t>
      </w:r>
      <w:r>
        <w:rPr>
          <w:rFonts w:hint="eastAsia" w:ascii="仿宋" w:hAnsi="仿宋" w:eastAsia="仿宋" w:cs="仿宋"/>
          <w:b/>
          <w:bCs/>
          <w:color w:val="auto"/>
          <w:sz w:val="32"/>
          <w:szCs w:val="32"/>
          <w:lang w:eastAsia="zh-CN"/>
        </w:rPr>
        <w:t>十一</w:t>
      </w:r>
      <w:r>
        <w:rPr>
          <w:rFonts w:hint="eastAsia" w:ascii="仿宋" w:hAnsi="仿宋" w:eastAsia="仿宋" w:cs="仿宋"/>
          <w:b/>
          <w:bCs/>
          <w:color w:val="auto"/>
          <w:sz w:val="32"/>
          <w:szCs w:val="32"/>
        </w:rPr>
        <w:t>条</w:t>
      </w:r>
      <w:r>
        <w:rPr>
          <w:rFonts w:hint="eastAsia" w:ascii="仿宋_GB2312" w:hAnsi="仿宋_GB2312" w:eastAsia="仿宋_GB2312" w:cs="仿宋_GB2312"/>
          <w:color w:val="auto"/>
          <w:sz w:val="32"/>
          <w:szCs w:val="32"/>
        </w:rPr>
        <w:t xml:space="preserve"> 被征地农民社会保障资金采取以下方式筹集:</w:t>
      </w:r>
    </w:p>
    <w:p>
      <w:pPr>
        <w:keepNext w:val="0"/>
        <w:keepLines w:val="0"/>
        <w:pageBreakBefore w:val="0"/>
        <w:widowControl w:val="0"/>
        <w:kinsoku/>
        <w:wordWrap/>
        <w:topLinePunct w:val="0"/>
        <w:autoSpaceDE/>
        <w:autoSpaceDN/>
        <w:bidi w:val="0"/>
        <w:adjustRightInd/>
        <w:spacing w:line="540" w:lineRule="exact"/>
        <w:ind w:left="0" w:leftChars="0"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（一）征地时按征地</w:t>
      </w:r>
      <w:r>
        <w:rPr>
          <w:rFonts w:hint="eastAsia" w:ascii="仿宋_GB2312" w:hAnsi="仿宋_GB2312" w:eastAsia="仿宋_GB2312" w:cs="仿宋_GB2312"/>
          <w:b w:val="0"/>
          <w:bCs w:val="0"/>
          <w:color w:val="auto"/>
          <w:sz w:val="32"/>
          <w:szCs w:val="32"/>
          <w:lang w:eastAsia="zh-CN"/>
        </w:rPr>
        <w:t>面积</w:t>
      </w:r>
      <w:r>
        <w:rPr>
          <w:rFonts w:hint="eastAsia" w:ascii="仿宋_GB2312" w:hAnsi="仿宋_GB2312" w:eastAsia="仿宋_GB2312" w:cs="仿宋_GB2312"/>
          <w:b w:val="0"/>
          <w:bCs w:val="0"/>
          <w:color w:val="auto"/>
          <w:sz w:val="32"/>
          <w:szCs w:val="32"/>
          <w:lang w:val="en-US" w:eastAsia="zh-CN"/>
        </w:rPr>
        <w:t>120</w:t>
      </w:r>
      <w:r>
        <w:rPr>
          <w:rFonts w:hint="eastAsia" w:ascii="仿宋_GB2312" w:hAnsi="仿宋_GB2312" w:eastAsia="仿宋_GB2312" w:cs="仿宋_GB2312"/>
          <w:b w:val="0"/>
          <w:bCs w:val="0"/>
          <w:color w:val="auto"/>
          <w:sz w:val="32"/>
          <w:szCs w:val="32"/>
          <w:lang w:eastAsia="zh-CN"/>
        </w:rPr>
        <w:t>元/平</w:t>
      </w:r>
      <w:r>
        <w:rPr>
          <w:rFonts w:hint="eastAsia" w:ascii="仿宋_GB2312" w:hAnsi="仿宋_GB2312" w:eastAsia="仿宋_GB2312" w:cs="仿宋_GB2312"/>
          <w:color w:val="auto"/>
          <w:sz w:val="32"/>
          <w:szCs w:val="32"/>
          <w:lang w:eastAsia="zh-CN"/>
        </w:rPr>
        <w:t>方米的标准向用地单位征收被征地农民社会保障费用；</w:t>
      </w:r>
    </w:p>
    <w:p>
      <w:pPr>
        <w:keepNext w:val="0"/>
        <w:keepLines w:val="0"/>
        <w:pageBreakBefore w:val="0"/>
        <w:widowControl w:val="0"/>
        <w:kinsoku/>
        <w:wordWrap/>
        <w:topLinePunct w:val="0"/>
        <w:autoSpaceDE/>
        <w:autoSpaceDN/>
        <w:bidi w:val="0"/>
        <w:adjustRightInd/>
        <w:spacing w:line="540" w:lineRule="exact"/>
        <w:ind w:left="0" w:leftChars="0"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征地时从农村集体经济组织被征土地的征地补偿费中提取10%</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topLinePunct w:val="0"/>
        <w:autoSpaceDE/>
        <w:autoSpaceDN/>
        <w:bidi w:val="0"/>
        <w:adjustRightInd/>
        <w:spacing w:line="540" w:lineRule="exact"/>
        <w:ind w:left="0" w:leftChars="0"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（三）被征地农民社会保障资金</w:t>
      </w:r>
      <w:r>
        <w:rPr>
          <w:rFonts w:hint="eastAsia" w:ascii="仿宋_GB2312" w:hAnsi="仿宋_GB2312" w:eastAsia="仿宋_GB2312" w:cs="仿宋_GB2312"/>
          <w:color w:val="auto"/>
          <w:sz w:val="32"/>
          <w:szCs w:val="32"/>
        </w:rPr>
        <w:t>的利息及其增值收入</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topLinePunct w:val="0"/>
        <w:autoSpaceDE/>
        <w:autoSpaceDN/>
        <w:bidi w:val="0"/>
        <w:adjustRightInd/>
        <w:spacing w:line="54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其他可用于被征地农民社会保障的资金。</w:t>
      </w:r>
    </w:p>
    <w:p>
      <w:pPr>
        <w:keepNext w:val="0"/>
        <w:keepLines w:val="0"/>
        <w:pageBreakBefore w:val="0"/>
        <w:widowControl w:val="0"/>
        <w:kinsoku/>
        <w:wordWrap/>
        <w:topLinePunct w:val="0"/>
        <w:autoSpaceDE/>
        <w:autoSpaceDN/>
        <w:bidi w:val="0"/>
        <w:adjustRightInd/>
        <w:spacing w:line="5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以上资金来源仍不足以支付被征地农民社会保障资金支出的，由本级政府予以解决。</w:t>
      </w:r>
    </w:p>
    <w:p>
      <w:pPr>
        <w:keepNext w:val="0"/>
        <w:keepLines w:val="0"/>
        <w:pageBreakBefore w:val="0"/>
        <w:widowControl w:val="0"/>
        <w:kinsoku/>
        <w:wordWrap/>
        <w:topLinePunct w:val="0"/>
        <w:autoSpaceDE/>
        <w:autoSpaceDN/>
        <w:bidi w:val="0"/>
        <w:adjustRightInd/>
        <w:spacing w:line="540" w:lineRule="exact"/>
        <w:ind w:left="0" w:leftChars="0"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第十二条</w:t>
      </w:r>
      <w:r>
        <w:rPr>
          <w:rFonts w:hint="eastAsia" w:ascii="仿宋_GB2312" w:hAnsi="仿宋_GB2312" w:eastAsia="仿宋_GB2312" w:cs="仿宋_GB2312"/>
          <w:color w:val="auto"/>
          <w:sz w:val="32"/>
          <w:szCs w:val="32"/>
          <w:lang w:val="en-US" w:eastAsia="zh-CN"/>
        </w:rPr>
        <w:t xml:space="preserve"> 建立被征地农民社会保障标准的动态调整机制，参照区片综合地价，结合当地征地补偿标准、职工平均工资和当地最低生活保障标准调整情况，及时合理调整用地单位缴纳标准。</w:t>
      </w:r>
    </w:p>
    <w:p>
      <w:pPr>
        <w:keepNext w:val="0"/>
        <w:keepLines w:val="0"/>
        <w:pageBreakBefore w:val="0"/>
        <w:widowControl w:val="0"/>
        <w:kinsoku/>
        <w:wordWrap/>
        <w:topLinePunct w:val="0"/>
        <w:autoSpaceDE/>
        <w:autoSpaceDN/>
        <w:bidi w:val="0"/>
        <w:adjustRightInd/>
        <w:spacing w:line="540" w:lineRule="exact"/>
        <w:ind w:left="0" w:leftChars="0" w:firstLine="643"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第十三条</w:t>
      </w:r>
      <w:r>
        <w:rPr>
          <w:rFonts w:hint="eastAsia" w:ascii="仿宋_GB2312" w:hAnsi="仿宋_GB2312" w:eastAsia="仿宋_GB2312" w:cs="仿宋_GB2312"/>
          <w:color w:val="auto"/>
          <w:sz w:val="32"/>
          <w:szCs w:val="32"/>
          <w:lang w:val="en-US" w:eastAsia="zh-CN"/>
        </w:rPr>
        <w:t xml:space="preserve"> 被征地农民社会保障资金实施湘乡市级统筹。</w:t>
      </w:r>
    </w:p>
    <w:p>
      <w:pPr>
        <w:keepNext w:val="0"/>
        <w:keepLines w:val="0"/>
        <w:pageBreakBefore w:val="0"/>
        <w:widowControl w:val="0"/>
        <w:kinsoku/>
        <w:wordWrap/>
        <w:topLinePunct w:val="0"/>
        <w:autoSpaceDE/>
        <w:autoSpaceDN/>
        <w:bidi w:val="0"/>
        <w:adjustRightInd/>
        <w:spacing w:line="540" w:lineRule="exact"/>
        <w:ind w:left="0" w:leftChars="0"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第十四条</w:t>
      </w:r>
      <w:r>
        <w:rPr>
          <w:rFonts w:hint="eastAsia" w:ascii="仿宋_GB2312" w:hAnsi="仿宋_GB2312" w:eastAsia="仿宋_GB2312" w:cs="仿宋_GB2312"/>
          <w:color w:val="auto"/>
          <w:sz w:val="32"/>
          <w:szCs w:val="32"/>
        </w:rPr>
        <w:t xml:space="preserve"> 被征地农民社会保障资金的开支项目</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topLinePunct w:val="0"/>
        <w:autoSpaceDE/>
        <w:autoSpaceDN/>
        <w:bidi w:val="0"/>
        <w:adjustRightInd/>
        <w:spacing w:line="540" w:lineRule="exact"/>
        <w:ind w:left="0" w:leftChars="0"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被征地农民参加社会保险的缴费补贴支出</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topLinePunct w:val="0"/>
        <w:autoSpaceDE/>
        <w:autoSpaceDN/>
        <w:bidi w:val="0"/>
        <w:adjustRightInd/>
        <w:spacing w:line="54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应当从被征地农民社会保障资金列支的其他支出。</w:t>
      </w:r>
    </w:p>
    <w:p>
      <w:pPr>
        <w:keepNext w:val="0"/>
        <w:keepLines w:val="0"/>
        <w:pageBreakBefore w:val="0"/>
        <w:widowControl w:val="0"/>
        <w:kinsoku/>
        <w:wordWrap/>
        <w:topLinePunct w:val="0"/>
        <w:autoSpaceDE/>
        <w:autoSpaceDN/>
        <w:bidi w:val="0"/>
        <w:adjustRightInd/>
        <w:spacing w:line="540" w:lineRule="exact"/>
        <w:ind w:left="0" w:leftChars="0"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第十五条</w:t>
      </w:r>
      <w:r>
        <w:rPr>
          <w:rFonts w:hint="eastAsia" w:ascii="仿宋_GB2312" w:hAnsi="仿宋_GB2312" w:eastAsia="仿宋_GB2312" w:cs="仿宋_GB2312"/>
          <w:color w:val="auto"/>
          <w:sz w:val="32"/>
          <w:szCs w:val="32"/>
          <w:lang w:val="en-US" w:eastAsia="zh-CN"/>
        </w:rPr>
        <w:t xml:space="preserve"> </w:t>
      </w:r>
      <w:r>
        <w:rPr>
          <w:rFonts w:hint="default" w:ascii="仿宋_GB2312" w:hAnsi="仿宋_GB2312" w:eastAsia="仿宋_GB2312" w:cs="仿宋_GB2312"/>
          <w:color w:val="auto"/>
          <w:sz w:val="32"/>
          <w:szCs w:val="32"/>
          <w:lang w:val="en-US" w:eastAsia="zh-CN"/>
        </w:rPr>
        <w:t>用地单位缴纳的</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从征地补偿费计提的被征地农民社会保障资金，纳入被征地农民社会保障</w:t>
      </w:r>
      <w:r>
        <w:rPr>
          <w:rFonts w:hint="eastAsia" w:ascii="仿宋_GB2312" w:hAnsi="仿宋_GB2312" w:eastAsia="仿宋_GB2312" w:cs="仿宋_GB2312"/>
          <w:color w:val="auto"/>
          <w:sz w:val="32"/>
          <w:szCs w:val="32"/>
          <w:lang w:val="en-US" w:eastAsia="zh-CN"/>
        </w:rPr>
        <w:t>资金</w:t>
      </w:r>
      <w:r>
        <w:rPr>
          <w:rFonts w:hint="default" w:ascii="仿宋_GB2312" w:hAnsi="仿宋_GB2312" w:eastAsia="仿宋_GB2312" w:cs="仿宋_GB2312"/>
          <w:color w:val="auto"/>
          <w:sz w:val="32"/>
          <w:szCs w:val="32"/>
          <w:lang w:val="en-US" w:eastAsia="zh-CN"/>
        </w:rPr>
        <w:t>财政专户，严格实行收支两条线管理</w:t>
      </w:r>
      <w:r>
        <w:rPr>
          <w:rFonts w:hint="eastAsia" w:ascii="仿宋_GB2312" w:hAnsi="仿宋_GB2312" w:eastAsia="仿宋_GB2312" w:cs="仿宋_GB2312"/>
          <w:color w:val="auto"/>
          <w:sz w:val="32"/>
          <w:szCs w:val="32"/>
          <w:lang w:val="en-US" w:eastAsia="zh-CN"/>
        </w:rPr>
        <w:t>。被征地农民社会保障资金单独建账、单独核算、</w:t>
      </w:r>
      <w:r>
        <w:rPr>
          <w:rFonts w:hint="default" w:ascii="仿宋_GB2312" w:hAnsi="仿宋_GB2312" w:eastAsia="仿宋_GB2312" w:cs="仿宋_GB2312"/>
          <w:color w:val="auto"/>
          <w:sz w:val="32"/>
          <w:szCs w:val="32"/>
          <w:lang w:val="en-US" w:eastAsia="zh-CN"/>
        </w:rPr>
        <w:t>专款专用，</w:t>
      </w:r>
      <w:r>
        <w:rPr>
          <w:rFonts w:hint="eastAsia" w:ascii="仿宋_GB2312" w:hAnsi="仿宋_GB2312" w:eastAsia="仿宋_GB2312" w:cs="仿宋_GB2312"/>
          <w:color w:val="auto"/>
          <w:sz w:val="32"/>
          <w:szCs w:val="32"/>
          <w:lang w:val="en-US" w:eastAsia="zh-CN"/>
        </w:rPr>
        <w:t>任何单位和个人不得以任何理由减免、缓缴，不得</w:t>
      </w:r>
      <w:r>
        <w:rPr>
          <w:rFonts w:hint="default" w:ascii="仿宋_GB2312" w:hAnsi="仿宋_GB2312" w:eastAsia="仿宋_GB2312" w:cs="仿宋_GB2312"/>
          <w:color w:val="auto"/>
          <w:sz w:val="32"/>
          <w:szCs w:val="32"/>
          <w:lang w:val="en-US" w:eastAsia="zh-CN"/>
        </w:rPr>
        <w:t>截留、挤占、挪用、转借或擅自将资金用于任何形式的直接投资。</w:t>
      </w:r>
    </w:p>
    <w:p>
      <w:pPr>
        <w:keepNext w:val="0"/>
        <w:keepLines w:val="0"/>
        <w:pageBreakBefore w:val="0"/>
        <w:widowControl w:val="0"/>
        <w:kinsoku/>
        <w:wordWrap/>
        <w:topLinePunct w:val="0"/>
        <w:autoSpaceDE/>
        <w:autoSpaceDN/>
        <w:bidi w:val="0"/>
        <w:adjustRightInd/>
        <w:spacing w:line="540" w:lineRule="exact"/>
        <w:ind w:left="0" w:leftChars="0"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第十六条 </w:t>
      </w:r>
      <w:r>
        <w:rPr>
          <w:rFonts w:hint="eastAsia" w:ascii="仿宋_GB2312" w:hAnsi="仿宋_GB2312" w:eastAsia="仿宋_GB2312" w:cs="仿宋_GB2312"/>
          <w:color w:val="auto"/>
          <w:sz w:val="32"/>
          <w:szCs w:val="32"/>
          <w:lang w:val="en-US" w:eastAsia="zh-CN"/>
        </w:rPr>
        <w:t>对于拒不按规定清缴社会保障费的用地单位，依法列为失信联合惩戒对象予以惩戒。对于伪造证件或以其他手段骗取、冒领本办法规定的社会保障补贴资金的，由补贴发放机构负责追回；构成犯罪的，依法追究刑事责任。</w:t>
      </w:r>
    </w:p>
    <w:p>
      <w:pPr>
        <w:keepNext w:val="0"/>
        <w:keepLines w:val="0"/>
        <w:pageBreakBefore w:val="0"/>
        <w:widowControl w:val="0"/>
        <w:kinsoku/>
        <w:wordWrap/>
        <w:topLinePunct w:val="0"/>
        <w:autoSpaceDE/>
        <w:autoSpaceDN/>
        <w:bidi w:val="0"/>
        <w:adjustRightInd/>
        <w:spacing w:line="54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eastAsia="zh-CN"/>
        </w:rPr>
        <w:t>五</w:t>
      </w:r>
      <w:r>
        <w:rPr>
          <w:rFonts w:hint="eastAsia" w:ascii="黑体" w:hAnsi="黑体" w:eastAsia="黑体" w:cs="黑体"/>
          <w:color w:val="auto"/>
          <w:sz w:val="32"/>
          <w:szCs w:val="32"/>
        </w:rPr>
        <w:t>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组织实施</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七</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被征地农民社会保障工作按属地管理原则，由市人民政府组织实施。各级人民政府是被征地农民社会保障工作的责任主体，被征地农民社会保障工作实行政府“一把手”负责制。</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十八</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lang w:val="en-US" w:eastAsia="zh-CN"/>
        </w:rPr>
        <w:t xml:space="preserve"> 被征地农民社会保障工作中遇到的特殊问题，由征拆</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联席会议负责组织研究解决。</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十九</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lang w:val="en-US" w:eastAsia="zh-CN"/>
        </w:rPr>
        <w:t xml:space="preserve"> 各部门按照职责分工，共同做好</w:t>
      </w:r>
      <w:r>
        <w:rPr>
          <w:rFonts w:hint="eastAsia" w:ascii="仿宋_GB2312" w:hAnsi="仿宋_GB2312" w:eastAsia="仿宋_GB2312" w:cs="仿宋_GB2312"/>
          <w:color w:val="auto"/>
          <w:sz w:val="32"/>
          <w:szCs w:val="32"/>
          <w:u w:val="none"/>
        </w:rPr>
        <w:t>被征地农</w:t>
      </w:r>
      <w:r>
        <w:rPr>
          <w:rFonts w:hint="eastAsia" w:ascii="仿宋_GB2312" w:hAnsi="仿宋_GB2312" w:eastAsia="仿宋_GB2312" w:cs="仿宋_GB2312"/>
          <w:color w:val="auto"/>
          <w:kern w:val="2"/>
          <w:sz w:val="32"/>
          <w:szCs w:val="32"/>
          <w:u w:val="none"/>
          <w:lang w:val="en-US" w:eastAsia="zh-CN" w:bidi="ar-SA"/>
        </w:rPr>
        <w:t>民社会保障</w:t>
      </w:r>
      <w:r>
        <w:rPr>
          <w:rFonts w:hint="eastAsia" w:ascii="仿宋_GB2312" w:hAnsi="仿宋_GB2312" w:eastAsia="仿宋_GB2312" w:cs="仿宋_GB2312"/>
          <w:color w:val="auto"/>
          <w:sz w:val="32"/>
          <w:szCs w:val="32"/>
          <w:lang w:val="en-US" w:eastAsia="zh-CN"/>
        </w:rPr>
        <w:t>工作。</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jc w:val="both"/>
        <w:textAlignment w:val="baseline"/>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被征地农民所在乡镇人民政府（街道办事处）是被征地农民社会保障工作的责任主体，负责被征地社会保障对象的复审，以及相关手续的办理。</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jc w:val="both"/>
        <w:textAlignment w:val="baseline"/>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被征地农民所在村民（居民）委员会负责被征地社会保障对象的初审，配合乡镇人民政府（街道办事处）开展相关具体工作。</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firstLineChars="200"/>
        <w:jc w:val="both"/>
        <w:textAlignment w:val="baseline"/>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u w:val="none"/>
          <w:lang w:val="en-US" w:eastAsia="zh-CN" w:bidi="ar-SA"/>
        </w:rPr>
        <w:t>人力资源社会保障部门（社保中心）负责被征地农民基本养老保险的参保、待遇、养老保险费补贴发放工作。</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firstLineChars="200"/>
        <w:jc w:val="both"/>
        <w:textAlignment w:val="baseline"/>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自然资源部门负责被征地农民社会保障资金的征收和解缴。</w:t>
      </w:r>
    </w:p>
    <w:p>
      <w:pPr>
        <w:pStyle w:val="2"/>
        <w:keepNext w:val="0"/>
        <w:keepLines w:val="0"/>
        <w:pageBreakBefore w:val="0"/>
        <w:widowControl w:val="0"/>
        <w:kinsoku/>
        <w:wordWrap/>
        <w:overflowPunct/>
        <w:topLinePunct w:val="0"/>
        <w:autoSpaceDE/>
        <w:autoSpaceDN/>
        <w:bidi w:val="0"/>
        <w:adjustRightInd/>
        <w:snapToGrid w:val="0"/>
        <w:spacing w:line="54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优化人居环境事务中心负责按征地补偿费的10%提留被征地农民社会保障费，并</w:t>
      </w:r>
      <w:r>
        <w:rPr>
          <w:rFonts w:hint="eastAsia" w:ascii="仿宋_GB2312" w:hAnsi="仿宋_GB2312" w:eastAsia="仿宋_GB2312" w:cs="仿宋_GB2312"/>
          <w:b w:val="0"/>
          <w:bCs w:val="0"/>
          <w:color w:val="auto"/>
          <w:sz w:val="32"/>
          <w:szCs w:val="32"/>
          <w:lang w:val="en-US" w:eastAsia="zh-CN"/>
        </w:rPr>
        <w:t>及时解缴；牵头做好被征地农民社会保障对象身份认定工作。</w:t>
      </w:r>
    </w:p>
    <w:p>
      <w:pPr>
        <w:pStyle w:val="2"/>
        <w:keepNext w:val="0"/>
        <w:keepLines w:val="0"/>
        <w:pageBreakBefore w:val="0"/>
        <w:widowControl w:val="0"/>
        <w:kinsoku/>
        <w:wordWrap/>
        <w:overflowPunct/>
        <w:topLinePunct w:val="0"/>
        <w:autoSpaceDE/>
        <w:autoSpaceDN/>
        <w:bidi w:val="0"/>
        <w:adjustRightInd/>
        <w:snapToGrid w:val="0"/>
        <w:spacing w:line="540" w:lineRule="exact"/>
        <w:ind w:left="0" w:leftChars="0" w:firstLine="640" w:firstLineChars="200"/>
        <w:jc w:val="both"/>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财政部门负责按规定划拨和管理被征地农民社会保障资金。</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firstLineChars="200"/>
        <w:jc w:val="both"/>
        <w:textAlignment w:val="baseline"/>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农业农村部门负责被征地农民承包地人均面积核定和集体经济组织成员身份确认工作。</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firstLineChars="200"/>
        <w:jc w:val="both"/>
        <w:textAlignment w:val="baseline"/>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公安部门负责被征地农民居民身份证和居民户口簿信息确认工作。</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firstLineChars="200"/>
        <w:jc w:val="both"/>
        <w:textAlignment w:val="baseline"/>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税务部门负责征收被征地农民缴纳的社会保险费。</w:t>
      </w:r>
    </w:p>
    <w:p>
      <w:pPr>
        <w:keepNext w:val="0"/>
        <w:keepLines w:val="0"/>
        <w:pageBreakBefore w:val="0"/>
        <w:widowControl w:val="0"/>
        <w:kinsoku/>
        <w:wordWrap/>
        <w:overflowPunct w:val="0"/>
        <w:topLinePunct w:val="0"/>
        <w:autoSpaceDE/>
        <w:autoSpaceDN/>
        <w:bidi w:val="0"/>
        <w:adjustRightInd/>
        <w:snapToGrid/>
        <w:spacing w:line="540" w:lineRule="exact"/>
        <w:ind w:left="0" w:leftChars="0" w:firstLine="640" w:firstLineChars="200"/>
        <w:jc w:val="both"/>
        <w:textAlignment w:val="baseline"/>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rPr>
        <w:t>审计部门</w:t>
      </w:r>
      <w:r>
        <w:rPr>
          <w:rFonts w:hint="eastAsia" w:ascii="仿宋_GB2312" w:hAnsi="仿宋_GB2312" w:eastAsia="仿宋_GB2312" w:cs="仿宋_GB2312"/>
          <w:color w:val="auto"/>
          <w:sz w:val="32"/>
          <w:szCs w:val="32"/>
          <w:u w:val="none"/>
          <w:lang w:eastAsia="zh-CN"/>
        </w:rPr>
        <w:t>依法</w:t>
      </w:r>
      <w:r>
        <w:rPr>
          <w:rFonts w:hint="eastAsia" w:ascii="仿宋_GB2312" w:hAnsi="仿宋_GB2312" w:eastAsia="仿宋_GB2312" w:cs="仿宋_GB2312"/>
          <w:color w:val="auto"/>
          <w:sz w:val="32"/>
          <w:szCs w:val="32"/>
          <w:u w:val="none"/>
        </w:rPr>
        <w:t>加强对被征地农民</w:t>
      </w:r>
      <w:r>
        <w:rPr>
          <w:rFonts w:hint="eastAsia" w:ascii="仿宋_GB2312" w:hAnsi="仿宋_GB2312" w:eastAsia="仿宋_GB2312" w:cs="仿宋_GB2312"/>
          <w:color w:val="auto"/>
          <w:sz w:val="32"/>
          <w:szCs w:val="32"/>
          <w:u w:val="none"/>
          <w:lang w:eastAsia="zh-CN"/>
        </w:rPr>
        <w:t>社会保障工作的审计监督</w:t>
      </w:r>
      <w:r>
        <w:rPr>
          <w:rFonts w:hint="eastAsia" w:ascii="仿宋_GB2312" w:hAnsi="仿宋_GB2312" w:eastAsia="仿宋_GB2312" w:cs="仿宋_GB2312"/>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firstLine="640" w:firstLineChars="200"/>
        <w:jc w:val="both"/>
        <w:textAlignment w:val="baseline"/>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凡涉及被征地农民社会保障工作的相关职能部门按各自职责落实到位，</w:t>
      </w:r>
      <w:r>
        <w:rPr>
          <w:rFonts w:hint="eastAsia" w:ascii="仿宋_GB2312" w:hAnsi="仿宋_GB2312" w:eastAsia="仿宋_GB2312" w:cs="仿宋_GB2312"/>
          <w:color w:val="auto"/>
          <w:sz w:val="32"/>
          <w:szCs w:val="32"/>
          <w:u w:val="none"/>
        </w:rPr>
        <w:t>因</w:t>
      </w:r>
      <w:r>
        <w:rPr>
          <w:rFonts w:hint="eastAsia" w:ascii="仿宋_GB2312" w:hAnsi="仿宋_GB2312" w:eastAsia="仿宋_GB2312" w:cs="仿宋_GB2312"/>
          <w:color w:val="auto"/>
          <w:sz w:val="32"/>
          <w:szCs w:val="32"/>
          <w:u w:val="none"/>
          <w:lang w:val="en-US" w:eastAsia="zh-CN"/>
        </w:rPr>
        <w:t>部门</w:t>
      </w:r>
      <w:r>
        <w:rPr>
          <w:rFonts w:hint="eastAsia" w:ascii="仿宋_GB2312" w:hAnsi="仿宋_GB2312" w:eastAsia="仿宋_GB2312" w:cs="仿宋_GB2312"/>
          <w:color w:val="auto"/>
          <w:sz w:val="32"/>
          <w:szCs w:val="32"/>
          <w:u w:val="none"/>
        </w:rPr>
        <w:t>履职尽责不到位影响被征地农民权益</w:t>
      </w:r>
      <w:r>
        <w:rPr>
          <w:rFonts w:hint="eastAsia" w:ascii="仿宋_GB2312" w:hAnsi="仿宋_GB2312" w:eastAsia="仿宋_GB2312" w:cs="仿宋_GB2312"/>
          <w:color w:val="auto"/>
          <w:sz w:val="32"/>
          <w:szCs w:val="32"/>
          <w:u w:val="none"/>
          <w:lang w:val="en-US" w:eastAsia="zh-CN"/>
        </w:rPr>
        <w:t>的，</w:t>
      </w:r>
      <w:r>
        <w:rPr>
          <w:rFonts w:hint="eastAsia" w:ascii="仿宋_GB2312" w:hAnsi="仿宋_GB2312" w:eastAsia="仿宋_GB2312" w:cs="仿宋_GB2312"/>
          <w:color w:val="auto"/>
          <w:sz w:val="32"/>
          <w:szCs w:val="32"/>
          <w:u w:val="none"/>
        </w:rPr>
        <w:t>严格按规定追究相关部门及个人责任。</w:t>
      </w:r>
    </w:p>
    <w:p>
      <w:pPr>
        <w:keepNext w:val="0"/>
        <w:keepLines w:val="0"/>
        <w:pageBreakBefore w:val="0"/>
        <w:widowControl w:val="0"/>
        <w:kinsoku/>
        <w:wordWrap/>
        <w:topLinePunct w:val="0"/>
        <w:autoSpaceDE/>
        <w:autoSpaceDN/>
        <w:bidi w:val="0"/>
        <w:adjustRightInd/>
        <w:spacing w:line="540" w:lineRule="exact"/>
        <w:ind w:left="0" w:leftChars="0"/>
        <w:jc w:val="center"/>
        <w:rPr>
          <w:rFonts w:hint="eastAsia" w:ascii="黑体" w:hAnsi="黑体" w:eastAsia="黑体" w:cs="黑体"/>
          <w:color w:val="auto"/>
          <w:sz w:val="32"/>
          <w:szCs w:val="32"/>
        </w:rPr>
      </w:pPr>
    </w:p>
    <w:p>
      <w:pPr>
        <w:keepNext w:val="0"/>
        <w:keepLines w:val="0"/>
        <w:pageBreakBefore w:val="0"/>
        <w:widowControl w:val="0"/>
        <w:kinsoku/>
        <w:wordWrap/>
        <w:topLinePunct w:val="0"/>
        <w:autoSpaceDE/>
        <w:autoSpaceDN/>
        <w:bidi w:val="0"/>
        <w:adjustRightInd/>
        <w:spacing w:line="540" w:lineRule="exact"/>
        <w:ind w:left="0" w:leftChars="0"/>
        <w:jc w:val="center"/>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附</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则</w:t>
      </w:r>
    </w:p>
    <w:p>
      <w:pPr>
        <w:keepNext w:val="0"/>
        <w:keepLines w:val="0"/>
        <w:pageBreakBefore w:val="0"/>
        <w:widowControl w:val="0"/>
        <w:kinsoku/>
        <w:wordWrap/>
        <w:overflowPunct/>
        <w:topLinePunct w:val="0"/>
        <w:autoSpaceDE/>
        <w:autoSpaceDN/>
        <w:bidi w:val="0"/>
        <w:adjustRightInd/>
        <w:spacing w:line="540" w:lineRule="exact"/>
        <w:ind w:left="0" w:leftChars="0" w:firstLine="643" w:firstLineChars="200"/>
        <w:textAlignment w:val="auto"/>
        <w:rPr>
          <w:rFonts w:hint="eastAsia" w:ascii="仿宋_GB2312" w:hAnsi="仿宋_GB2312" w:eastAsia="仿宋_GB2312" w:cs="仿宋_GB2312"/>
          <w:color w:val="000000" w:themeColor="text1"/>
          <w:sz w:val="32"/>
          <w:szCs w:val="32"/>
          <w:u w:val="none"/>
          <w:lang w:eastAsia="zh-CN"/>
          <w14:textFill>
            <w14:solidFill>
              <w14:schemeClr w14:val="tx1"/>
            </w14:solidFill>
          </w14:textFill>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二十</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本办法实施前按照湘乡政办发〔2020〕15号符合条件未落实被征地农民社会保障工作的村组，其被征地农民社会保障对象身份认定仍按湘乡政办发〔2020〕15号规定执行，社保补贴方式及标准按照本办法的规定执</w:t>
      </w:r>
      <w:r>
        <w:rPr>
          <w:rFonts w:hint="eastAsia" w:ascii="仿宋_GB2312" w:hAnsi="仿宋_GB2312" w:eastAsia="仿宋_GB2312" w:cs="仿宋_GB2312"/>
          <w:color w:val="000000" w:themeColor="text1"/>
          <w:sz w:val="32"/>
          <w:szCs w:val="32"/>
          <w:u w:val="none"/>
          <w14:textFill>
            <w14:solidFill>
              <w14:schemeClr w14:val="tx1"/>
            </w14:solidFill>
          </w14:textFill>
        </w:rPr>
        <w:t>行</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p>
    <w:p>
      <w:pPr>
        <w:pStyle w:val="2"/>
        <w:keepNext w:val="0"/>
        <w:keepLines w:val="0"/>
        <w:pageBreakBefore w:val="0"/>
        <w:widowControl w:val="0"/>
        <w:kinsoku/>
        <w:wordWrap/>
        <w:overflowPunct/>
        <w:topLinePunct w:val="0"/>
        <w:autoSpaceDE/>
        <w:autoSpaceDN/>
        <w:bidi w:val="0"/>
        <w:adjustRightInd/>
        <w:spacing w:line="540" w:lineRule="exact"/>
        <w:ind w:left="0" w:leftChars="0" w:firstLine="643"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b/>
          <w:bCs/>
          <w:color w:val="auto"/>
          <w:kern w:val="2"/>
          <w:sz w:val="32"/>
          <w:szCs w:val="32"/>
          <w:lang w:val="en-US" w:eastAsia="zh-CN" w:bidi="ar-SA"/>
        </w:rPr>
        <w:t xml:space="preserve">第二十一条 </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本办法实施前已落实社会保障工作的村组，被征地农民未及时申请养老保险缴费补贴，养老保险补贴金额按所在村组当时纳入的标准执行，医疗保险不再享受补贴。</w:t>
      </w:r>
    </w:p>
    <w:p>
      <w:pPr>
        <w:numPr>
          <w:ilvl w:val="0"/>
          <w:numId w:val="0"/>
        </w:numPr>
        <w:ind w:firstLine="643" w:firstLineChars="200"/>
        <w:jc w:val="left"/>
        <w:rPr>
          <w:rFonts w:hint="eastAsia" w:ascii="仿宋_GB2312" w:hAnsi="仿宋_GB2312" w:eastAsia="仿宋_GB2312" w:cs="仿宋_GB2312"/>
          <w:sz w:val="32"/>
          <w:szCs w:val="32"/>
          <w:lang w:val="en-US" w:eastAsia="zh-CN"/>
        </w:rPr>
        <w:sectPr>
          <w:headerReference r:id="rId3" w:type="default"/>
          <w:footerReference r:id="rId4" w:type="default"/>
          <w:pgSz w:w="11906" w:h="16838"/>
          <w:pgMar w:top="1440" w:right="1800" w:bottom="1440" w:left="1800" w:header="851" w:footer="992" w:gutter="0"/>
          <w:pgNumType w:fmt="decimal"/>
          <w:cols w:space="720" w:num="1"/>
          <w:rtlGutter w:val="0"/>
          <w:docGrid w:type="lines" w:linePitch="312" w:charSpace="0"/>
        </w:sectPr>
      </w:pPr>
      <w:r>
        <w:rPr>
          <w:rFonts w:hint="eastAsia" w:ascii="仿宋_GB2312" w:hAnsi="仿宋_GB2312" w:eastAsia="仿宋_GB2312" w:cs="仿宋_GB2312"/>
          <w:b/>
          <w:bCs/>
          <w:color w:val="auto"/>
          <w:sz w:val="32"/>
          <w:szCs w:val="32"/>
          <w:lang w:eastAsia="zh-CN"/>
        </w:rPr>
        <w:t>第二十二条</w:t>
      </w:r>
      <w:r>
        <w:rPr>
          <w:rFonts w:hint="eastAsia" w:ascii="仿宋_GB2312" w:hAnsi="仿宋_GB2312" w:eastAsia="仿宋_GB2312" w:cs="仿宋_GB2312"/>
          <w:color w:val="auto"/>
          <w:sz w:val="32"/>
          <w:szCs w:val="32"/>
          <w:lang w:val="en-US" w:eastAsia="zh-CN"/>
        </w:rPr>
        <w:t xml:space="preserve"> 如上级出台新的被征地农民社会保障政策，按上级规定执行。</w:t>
      </w:r>
      <w:r>
        <w:rPr>
          <w:rFonts w:hint="eastAsia" w:ascii="仿宋_GB2312" w:hAnsi="仿宋_GB2312" w:eastAsia="仿宋_GB2312" w:cs="仿宋_GB2312"/>
          <w:color w:val="auto"/>
          <w:sz w:val="32"/>
          <w:szCs w:val="32"/>
        </w:rPr>
        <w:t>本办法自20</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日起</w:t>
      </w:r>
      <w:r>
        <w:rPr>
          <w:rFonts w:hint="eastAsia" w:ascii="仿宋_GB2312" w:hAnsi="仿宋_GB2312" w:eastAsia="仿宋_GB2312" w:cs="仿宋_GB2312"/>
          <w:color w:val="auto"/>
          <w:sz w:val="32"/>
          <w:szCs w:val="32"/>
          <w:lang w:eastAsia="zh-CN"/>
        </w:rPr>
        <w:t>实施，</w:t>
      </w:r>
      <w:r>
        <w:rPr>
          <w:rFonts w:hint="eastAsia" w:ascii="仿宋_GB2312" w:hAnsi="仿宋_GB2312" w:eastAsia="仿宋_GB2312" w:cs="仿宋_GB2312"/>
          <w:color w:val="auto"/>
          <w:sz w:val="32"/>
          <w:szCs w:val="32"/>
        </w:rPr>
        <w:t>有效期5年。</w:t>
      </w:r>
    </w:p>
    <w:p>
      <w:pPr>
        <w:pStyle w:val="5"/>
        <w:rPr>
          <w:rFonts w:hint="eastAsia"/>
          <w:lang w:val="en-US" w:eastAsia="zh-CN"/>
        </w:rPr>
      </w:pPr>
    </w:p>
    <w:sectPr>
      <w:footerReference r:id="rId5" w:type="default"/>
      <w:pgSz w:w="11906" w:h="16838"/>
      <w:pgMar w:top="1440" w:right="1800" w:bottom="1440" w:left="1800"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黑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Quad Arrow 30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Quad Arrow 307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ql5uc8AAAAFAQAADwAAAAAAAAABACAAAAAiAAAAZHJzL2Rvd25yZXYueG1sUEsBAhQAFAAA&#10;AAgAh07iQKXHzh2/AQAAnQMAAA4AAAAAAAAAAQAgAAAAHgEAAGRycy9lMm9Eb2MueG1sUEsFBgAA&#10;AAAGAAYAWQEAAE8FA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黑体"/>
        <w:kern w:val="2"/>
        <w:sz w:val="18"/>
        <w:szCs w:val="24"/>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- 10 -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A7YyYLEAQAAjwMAAA4AAAAAAAAAAQAgAAAAHwEAAGRycy9lMm9Eb2MueG1s&#10;UEsFBgAAAAAGAAYAWQEAAFU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- 10 -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0CF847"/>
    <w:multiLevelType w:val="singleLevel"/>
    <w:tmpl w:val="180CF847"/>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2N2RkMzgyYmY3MTg3NzAwODZhZjgxMDY1ZjU4MjMifQ=="/>
  </w:docVars>
  <w:rsids>
    <w:rsidRoot w:val="461A4348"/>
    <w:rsid w:val="032D26F1"/>
    <w:rsid w:val="067C2890"/>
    <w:rsid w:val="0BC65752"/>
    <w:rsid w:val="0E1A314B"/>
    <w:rsid w:val="0ECA44EE"/>
    <w:rsid w:val="133249BF"/>
    <w:rsid w:val="142E67E6"/>
    <w:rsid w:val="1C1C4F1A"/>
    <w:rsid w:val="1CD4055C"/>
    <w:rsid w:val="1F810BA3"/>
    <w:rsid w:val="1FBB3882"/>
    <w:rsid w:val="21FD52AF"/>
    <w:rsid w:val="24262DDA"/>
    <w:rsid w:val="26B25C74"/>
    <w:rsid w:val="273E5B72"/>
    <w:rsid w:val="2BB03572"/>
    <w:rsid w:val="2C762AEF"/>
    <w:rsid w:val="2E2B44BD"/>
    <w:rsid w:val="2F7D3BEE"/>
    <w:rsid w:val="30982D0A"/>
    <w:rsid w:val="34676FA3"/>
    <w:rsid w:val="364B30C9"/>
    <w:rsid w:val="37725F67"/>
    <w:rsid w:val="37BB23B5"/>
    <w:rsid w:val="39395969"/>
    <w:rsid w:val="397D4347"/>
    <w:rsid w:val="3B4E10AA"/>
    <w:rsid w:val="3C617103"/>
    <w:rsid w:val="3D827BF5"/>
    <w:rsid w:val="3F752EAD"/>
    <w:rsid w:val="3FBB501D"/>
    <w:rsid w:val="42F00DEC"/>
    <w:rsid w:val="44020D16"/>
    <w:rsid w:val="44F52586"/>
    <w:rsid w:val="44F83D21"/>
    <w:rsid w:val="46080CC4"/>
    <w:rsid w:val="461A4348"/>
    <w:rsid w:val="46FF389F"/>
    <w:rsid w:val="4B3C1B7C"/>
    <w:rsid w:val="4EBDC578"/>
    <w:rsid w:val="4F111E0D"/>
    <w:rsid w:val="512E46B6"/>
    <w:rsid w:val="51BD7139"/>
    <w:rsid w:val="52BF79CB"/>
    <w:rsid w:val="54203DA1"/>
    <w:rsid w:val="577F96C3"/>
    <w:rsid w:val="57B37EE6"/>
    <w:rsid w:val="57FEDF8E"/>
    <w:rsid w:val="58F20784"/>
    <w:rsid w:val="59EE2876"/>
    <w:rsid w:val="5BFD2169"/>
    <w:rsid w:val="5D981000"/>
    <w:rsid w:val="5EEF90C1"/>
    <w:rsid w:val="5FE43B66"/>
    <w:rsid w:val="63F35398"/>
    <w:rsid w:val="65553DE0"/>
    <w:rsid w:val="66452A5A"/>
    <w:rsid w:val="665B7AA9"/>
    <w:rsid w:val="67380715"/>
    <w:rsid w:val="676D041F"/>
    <w:rsid w:val="6A696B49"/>
    <w:rsid w:val="6AC86865"/>
    <w:rsid w:val="6C0A3B4F"/>
    <w:rsid w:val="6EFB3550"/>
    <w:rsid w:val="6FAD8D13"/>
    <w:rsid w:val="709B0AC0"/>
    <w:rsid w:val="70C6102E"/>
    <w:rsid w:val="7B7B5CE0"/>
    <w:rsid w:val="7BFF57DD"/>
    <w:rsid w:val="7BFFC24C"/>
    <w:rsid w:val="7C9FB119"/>
    <w:rsid w:val="7DA63EE4"/>
    <w:rsid w:val="7EF5111E"/>
    <w:rsid w:val="7EFF3B45"/>
    <w:rsid w:val="7F3177DE"/>
    <w:rsid w:val="7F3E5FA9"/>
    <w:rsid w:val="7F4F0F11"/>
    <w:rsid w:val="7F8F3AA0"/>
    <w:rsid w:val="8BF732D9"/>
    <w:rsid w:val="B7EE595B"/>
    <w:rsid w:val="BB677BFA"/>
    <w:rsid w:val="BDBFEA9B"/>
    <w:rsid w:val="BF7FFB01"/>
    <w:rsid w:val="BFEFACB8"/>
    <w:rsid w:val="CCCF5921"/>
    <w:rsid w:val="CF7B47F3"/>
    <w:rsid w:val="DDB746A0"/>
    <w:rsid w:val="DF7D53CB"/>
    <w:rsid w:val="DFF56A0A"/>
    <w:rsid w:val="DFFDF2E9"/>
    <w:rsid w:val="F7E98A14"/>
    <w:rsid w:val="FBDA530F"/>
    <w:rsid w:val="FBEF3994"/>
    <w:rsid w:val="FCFA3312"/>
    <w:rsid w:val="FE3DBE4B"/>
    <w:rsid w:val="FEBF69E5"/>
    <w:rsid w:val="FEFF240E"/>
    <w:rsid w:val="FF7F05C1"/>
    <w:rsid w:val="FFDF35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footnote text"/>
    <w:basedOn w:val="1"/>
    <w:next w:val="3"/>
    <w:autoRedefine/>
    <w:qFormat/>
    <w:uiPriority w:val="0"/>
    <w:pPr>
      <w:snapToGrid w:val="0"/>
      <w:jc w:val="left"/>
    </w:pPr>
    <w:rPr>
      <w:sz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index 5"/>
    <w:basedOn w:val="1"/>
    <w:next w:val="1"/>
    <w:autoRedefine/>
    <w:qFormat/>
    <w:uiPriority w:val="0"/>
    <w:pPr>
      <w:ind w:left="1680"/>
    </w:pPr>
  </w:style>
  <w:style w:type="paragraph" w:styleId="5">
    <w:name w:val="Body Text"/>
    <w:basedOn w:val="1"/>
    <w:next w:val="6"/>
    <w:autoRedefine/>
    <w:qFormat/>
    <w:uiPriority w:val="0"/>
    <w:pPr>
      <w:spacing w:line="592" w:lineRule="exact"/>
    </w:pPr>
    <w:rPr>
      <w:rFonts w:eastAsia="仿宋_GB2312"/>
      <w:sz w:val="32"/>
    </w:rPr>
  </w:style>
  <w:style w:type="paragraph" w:styleId="6">
    <w:name w:val="footer"/>
    <w:basedOn w:val="1"/>
    <w:next w:val="4"/>
    <w:autoRedefine/>
    <w:qFormat/>
    <w:uiPriority w:val="0"/>
    <w:pPr>
      <w:tabs>
        <w:tab w:val="center" w:pos="4153"/>
        <w:tab w:val="right" w:pos="8306"/>
      </w:tabs>
      <w:snapToGrid w:val="0"/>
      <w:jc w:val="left"/>
    </w:pPr>
    <w:rPr>
      <w:sz w:val="18"/>
    </w:rPr>
  </w:style>
  <w:style w:type="paragraph" w:styleId="7">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8">
    <w:name w:val="Title"/>
    <w:basedOn w:val="1"/>
    <w:next w:val="1"/>
    <w:autoRedefine/>
    <w:qFormat/>
    <w:uiPriority w:val="0"/>
    <w:pPr>
      <w:spacing w:before="240" w:after="60"/>
      <w:jc w:val="center"/>
      <w:outlineLvl w:val="0"/>
    </w:pPr>
    <w:rPr>
      <w:rFonts w:ascii="Cambria" w:hAnsi="Cambria"/>
      <w:b/>
      <w:bCs/>
      <w:sz w:val="32"/>
      <w:szCs w:val="32"/>
    </w:rPr>
  </w:style>
  <w:style w:type="paragraph" w:customStyle="1" w:styleId="11">
    <w:name w:val="p16"/>
    <w:basedOn w:val="1"/>
    <w:autoRedefine/>
    <w:qFormat/>
    <w:uiPriority w:val="0"/>
    <w:pPr>
      <w:widowControl/>
    </w:pPr>
    <w:rPr>
      <w:kern w:val="0"/>
    </w:rPr>
  </w:style>
  <w:style w:type="paragraph" w:customStyle="1" w:styleId="12">
    <w:name w:val="p17"/>
    <w:basedOn w:val="1"/>
    <w:autoRedefine/>
    <w:qFormat/>
    <w:uiPriority w:val="0"/>
    <w:pPr>
      <w:widowControl/>
    </w:pPr>
  </w:style>
  <w:style w:type="paragraph" w:customStyle="1" w:styleId="13">
    <w:name w:val="UserStyle_5"/>
    <w:basedOn w:val="1"/>
    <w:next w:val="1"/>
    <w:autoRedefine/>
    <w:qFormat/>
    <w:uiPriority w:val="0"/>
    <w:pPr>
      <w:ind w:left="1680"/>
    </w:pPr>
  </w:style>
  <w:style w:type="character" w:customStyle="1" w:styleId="14">
    <w:name w:val="font11"/>
    <w:basedOn w:val="10"/>
    <w:autoRedefine/>
    <w:qFormat/>
    <w:uiPriority w:val="0"/>
    <w:rPr>
      <w:rFonts w:hint="eastAsia" w:ascii="宋体" w:hAnsi="宋体" w:eastAsia="宋体" w:cs="宋体"/>
      <w:color w:val="000000"/>
      <w:sz w:val="24"/>
      <w:szCs w:val="24"/>
      <w:u w:val="none"/>
    </w:rPr>
  </w:style>
  <w:style w:type="character" w:customStyle="1" w:styleId="15">
    <w:name w:val="font31"/>
    <w:basedOn w:val="10"/>
    <w:autoRedefine/>
    <w:qFormat/>
    <w:uiPriority w:val="0"/>
    <w:rPr>
      <w:rFonts w:hint="eastAsia" w:ascii="仿宋_GB2312" w:eastAsia="仿宋_GB2312" w:cs="仿宋_GB2312"/>
      <w:color w:val="000000"/>
      <w:sz w:val="24"/>
      <w:szCs w:val="24"/>
      <w:u w:val="none"/>
    </w:rPr>
  </w:style>
  <w:style w:type="character" w:customStyle="1" w:styleId="16">
    <w:name w:val="font01"/>
    <w:basedOn w:val="10"/>
    <w:autoRedefine/>
    <w:qFormat/>
    <w:uiPriority w:val="0"/>
    <w:rPr>
      <w:rFonts w:hint="eastAsia" w:ascii="宋体" w:hAnsi="宋体" w:eastAsia="宋体" w:cs="宋体"/>
      <w:color w:val="000000"/>
      <w:sz w:val="24"/>
      <w:szCs w:val="24"/>
      <w:u w:val="none"/>
    </w:rPr>
  </w:style>
  <w:style w:type="character" w:customStyle="1" w:styleId="17">
    <w:name w:val="font21"/>
    <w:basedOn w:val="10"/>
    <w:autoRedefine/>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2023-11-05T18:30:00Z</dcterms:created>
  <dc:creator>0</dc:creator>
  <cp:lastModifiedBy>杨成</cp:lastModifiedBy>
  <cp:lastPrinted>2024-03-15T01:07:00Z</cp:lastPrinted>
  <dcterms:modified xsi:type="dcterms:W3CDTF">2024-04-02T08:02:17Z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3CFDA37D4CC24691BC04693E33DAA5C7_13</vt:lpwstr>
  </property>
</Properties>
</file>