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600" w:lineRule="exact"/>
        <w:jc w:val="both"/>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XXDR-2022-02001</w:t>
      </w:r>
    </w:p>
    <w:p>
      <w:pPr>
        <w:pStyle w:val="2"/>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after="0" w:line="1100" w:lineRule="exact"/>
        <w:ind w:right="1747" w:rightChars="794"/>
        <w:jc w:val="distribute"/>
        <w:textAlignment w:val="auto"/>
        <w:outlineLvl w:val="9"/>
        <w:rPr>
          <w:rFonts w:hint="eastAsia" w:ascii="方正小标宋_GBK" w:hAnsi="方正小标宋_GBK" w:eastAsia="方正小标宋_GBK" w:cs="方正小标宋_GBK"/>
          <w:color w:val="auto"/>
          <w:spacing w:val="-34"/>
          <w:w w:val="60"/>
          <w:sz w:val="100"/>
          <w:szCs w:val="100"/>
          <w:lang w:eastAsia="zh-CN"/>
        </w:rPr>
      </w:pPr>
      <w:r>
        <w:rPr>
          <w:rFonts w:hint="eastAsia" w:ascii="方正小标宋_GBK" w:hAnsi="方正小标宋_GBK" w:eastAsia="方正小标宋_GBK" w:cs="方正小标宋_GBK"/>
          <w:color w:val="auto"/>
          <w:spacing w:val="0"/>
          <w:w w:val="85"/>
          <w:sz w:val="96"/>
          <w:szCs w:val="96"/>
        </w:rPr>
        <mc:AlternateContent>
          <mc:Choice Requires="wps">
            <w:drawing>
              <wp:anchor distT="0" distB="0" distL="114300" distR="114300" simplePos="0" relativeHeight="251659264" behindDoc="0" locked="0" layoutInCell="1" allowOverlap="1">
                <wp:simplePos x="0" y="0"/>
                <wp:positionH relativeFrom="column">
                  <wp:posOffset>4531995</wp:posOffset>
                </wp:positionH>
                <wp:positionV relativeFrom="paragraph">
                  <wp:posOffset>76200</wp:posOffset>
                </wp:positionV>
                <wp:extent cx="1075055" cy="1171575"/>
                <wp:effectExtent l="0" t="0" r="0" b="0"/>
                <wp:wrapNone/>
                <wp:docPr id="3" name="文本框 3"/>
                <wp:cNvGraphicFramePr/>
                <a:graphic xmlns:a="http://schemas.openxmlformats.org/drawingml/2006/main">
                  <a:graphicData uri="http://schemas.microsoft.com/office/word/2010/wordprocessingShape">
                    <wps:wsp>
                      <wps:cNvSpPr txBox="1"/>
                      <wps:spPr>
                        <a:xfrm>
                          <a:off x="5970905" y="3808730"/>
                          <a:ext cx="1693545" cy="1171575"/>
                        </a:xfrm>
                        <a:prstGeom prst="rect">
                          <a:avLst/>
                        </a:prstGeom>
                        <a:noFill/>
                        <a:ln w="6350">
                          <a:noFill/>
                        </a:ln>
                        <a:effectLst/>
                      </wps:spPr>
                      <wps:txbx>
                        <w:txbxContent>
                          <w:p>
                            <w:pPr>
                              <w:keepNext w:val="0"/>
                              <w:keepLines w:val="0"/>
                              <w:pageBreakBefore w:val="0"/>
                              <w:widowControl w:val="0"/>
                              <w:kinsoku/>
                              <w:wordWrap/>
                              <w:overflowPunct/>
                              <w:topLinePunct w:val="0"/>
                              <w:autoSpaceDE/>
                              <w:autoSpaceDN/>
                              <w:bidi w:val="0"/>
                              <w:adjustRightInd/>
                              <w:snapToGrid/>
                              <w:spacing w:line="1600" w:lineRule="exact"/>
                              <w:ind w:right="64" w:rightChars="29"/>
                              <w:jc w:val="center"/>
                              <w:textAlignment w:val="auto"/>
                              <w:outlineLvl w:val="9"/>
                              <w:rPr>
                                <w:rFonts w:hint="eastAsia" w:ascii="方正小标宋_GBK" w:hAnsi="方正小标宋_GBK" w:eastAsia="方正小标宋_GBK" w:cs="方正小标宋_GBK"/>
                                <w:color w:val="FF0000"/>
                                <w:spacing w:val="-28"/>
                                <w:w w:val="63"/>
                                <w:sz w:val="120"/>
                                <w:szCs w:val="120"/>
                                <w:lang w:eastAsia="zh-CN"/>
                              </w:rPr>
                            </w:pPr>
                            <w:r>
                              <w:rPr>
                                <w:rFonts w:hint="eastAsia" w:ascii="方正小标宋_GBK" w:hAnsi="方正小标宋_GBK" w:eastAsia="方正小标宋_GBK" w:cs="方正小标宋_GBK"/>
                                <w:color w:val="auto"/>
                                <w:spacing w:val="-28"/>
                                <w:w w:val="63"/>
                                <w:sz w:val="126"/>
                                <w:szCs w:val="126"/>
                                <w:lang w:eastAsia="zh-CN"/>
                              </w:rPr>
                              <w:t>文件</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356.85pt;margin-top:6pt;height:92.25pt;width:84.65pt;z-index:251659264;mso-width-relative:page;mso-height-relative:page;" filled="f" stroked="f" coordsize="21600,21600" o:gfxdata="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gnOSPYAAAACgEAAA8AAAAAAAAAAQAgAAAA&#10;IgAAAGRycy9kb3ducmV2LnhtbFBLAQIUABQAAAAIAIdO4kCG0hUkRAIAAHEEAAAOAAAAAAAAAAEA&#10;IAAAACcBAABkcnMvZTJvRG9jLnhtbFBLBQYAAAAABgAGAFkBAADdBQAAAAA=&#10;">
                <v:fill on="f" focussize="0,0"/>
                <v:stroke on="f" weight="0.5pt"/>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1600" w:lineRule="exact"/>
                        <w:ind w:right="64" w:rightChars="29"/>
                        <w:jc w:val="center"/>
                        <w:textAlignment w:val="auto"/>
                        <w:outlineLvl w:val="9"/>
                        <w:rPr>
                          <w:rFonts w:hint="eastAsia" w:ascii="方正小标宋_GBK" w:hAnsi="方正小标宋_GBK" w:eastAsia="方正小标宋_GBK" w:cs="方正小标宋_GBK"/>
                          <w:color w:val="FF0000"/>
                          <w:spacing w:val="-28"/>
                          <w:w w:val="63"/>
                          <w:sz w:val="120"/>
                          <w:szCs w:val="120"/>
                          <w:lang w:eastAsia="zh-CN"/>
                        </w:rPr>
                      </w:pPr>
                      <w:r>
                        <w:rPr>
                          <w:rFonts w:hint="eastAsia" w:ascii="方正小标宋_GBK" w:hAnsi="方正小标宋_GBK" w:eastAsia="方正小标宋_GBK" w:cs="方正小标宋_GBK"/>
                          <w:color w:val="auto"/>
                          <w:spacing w:val="-28"/>
                          <w:w w:val="63"/>
                          <w:sz w:val="126"/>
                          <w:szCs w:val="126"/>
                          <w:lang w:eastAsia="zh-CN"/>
                        </w:rPr>
                        <w:t>文件</w:t>
                      </w:r>
                    </w:p>
                  </w:txbxContent>
                </v:textbox>
              </v:shape>
            </w:pict>
          </mc:Fallback>
        </mc:AlternateContent>
      </w:r>
      <w:r>
        <w:rPr>
          <w:rFonts w:hint="eastAsia" w:ascii="方正小标宋_GBK" w:hAnsi="方正小标宋_GBK" w:eastAsia="方正小标宋_GBK" w:cs="方正小标宋_GBK"/>
          <w:color w:val="auto"/>
          <w:spacing w:val="-17"/>
          <w:w w:val="82"/>
          <w:sz w:val="96"/>
          <w:szCs w:val="96"/>
          <w:lang w:val="en-US" w:eastAsia="zh-CN"/>
        </w:rPr>
        <w:t>湘乡市发展和改革局</w:t>
      </w:r>
    </w:p>
    <w:p>
      <w:pPr>
        <w:keepNext w:val="0"/>
        <w:keepLines w:val="0"/>
        <w:pageBreakBefore w:val="0"/>
        <w:widowControl w:val="0"/>
        <w:kinsoku/>
        <w:wordWrap/>
        <w:overflowPunct/>
        <w:topLinePunct w:val="0"/>
        <w:autoSpaceDE/>
        <w:autoSpaceDN/>
        <w:bidi w:val="0"/>
        <w:adjustRightInd/>
        <w:snapToGrid/>
        <w:spacing w:after="0" w:line="1100" w:lineRule="exact"/>
        <w:ind w:right="1747" w:rightChars="794"/>
        <w:jc w:val="distribute"/>
        <w:textAlignment w:val="auto"/>
        <w:outlineLvl w:val="9"/>
        <w:rPr>
          <w:rFonts w:hint="eastAsia" w:ascii="方正小标宋_GBK" w:hAnsi="方正小标宋_GBK" w:eastAsia="方正小标宋_GBK" w:cs="方正小标宋_GBK"/>
          <w:color w:val="auto"/>
          <w:spacing w:val="-34"/>
          <w:w w:val="60"/>
          <w:sz w:val="100"/>
          <w:szCs w:val="100"/>
          <w:lang w:eastAsia="zh-CN"/>
        </w:rPr>
      </w:pPr>
      <w:r>
        <w:rPr>
          <w:rFonts w:hint="eastAsia" w:ascii="方正小标宋_GBK" w:hAnsi="方正小标宋_GBK" w:eastAsia="方正小标宋_GBK" w:cs="方正小标宋_GBK"/>
          <w:color w:val="auto"/>
          <w:spacing w:val="-34"/>
          <w:w w:val="60"/>
          <w:sz w:val="100"/>
          <w:szCs w:val="100"/>
          <w:lang w:eastAsia="zh-CN"/>
        </w:rPr>
        <w:t>湘乡市科技和工业信息化</w:t>
      </w:r>
      <w:bookmarkStart w:id="31" w:name="_GoBack"/>
      <w:bookmarkEnd w:id="31"/>
      <w:r>
        <w:rPr>
          <w:rFonts w:hint="eastAsia" w:ascii="方正小标宋_GBK" w:hAnsi="方正小标宋_GBK" w:eastAsia="方正小标宋_GBK" w:cs="方正小标宋_GBK"/>
          <w:color w:val="auto"/>
          <w:spacing w:val="-34"/>
          <w:w w:val="60"/>
          <w:sz w:val="100"/>
          <w:szCs w:val="100"/>
          <w:lang w:eastAsia="zh-CN"/>
        </w:rPr>
        <w:t>局</w:t>
      </w:r>
    </w:p>
    <w:p>
      <w:pPr>
        <w:spacing w:line="600" w:lineRule="exact"/>
        <w:rPr>
          <w:rFonts w:hint="eastAsia"/>
          <w:color w:val="auto"/>
        </w:rPr>
      </w:pPr>
    </w:p>
    <w:p>
      <w:pPr>
        <w:spacing w:line="240" w:lineRule="exact"/>
        <w:jc w:val="center"/>
        <w:rPr>
          <w:rFonts w:hint="eastAsia" w:ascii="方正小标宋_GBK" w:hAnsi="黑体" w:eastAsia="方正小标宋_GBK"/>
          <w:color w:val="auto"/>
          <w:w w:val="90"/>
          <w:sz w:val="40"/>
          <w:szCs w:val="40"/>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0" w:firstLineChars="0"/>
        <w:jc w:val="center"/>
        <w:textAlignment w:val="auto"/>
        <w:rPr>
          <w:rFonts w:hint="eastAsia" w:ascii="方正仿宋_GBK" w:hAnsi="方正仿宋_GBK" w:eastAsia="方正仿宋_GBK" w:cs="方正仿宋_GBK"/>
          <w:bCs/>
          <w:color w:val="auto"/>
          <w:sz w:val="32"/>
          <w:szCs w:val="32"/>
          <w:lang w:val="en-US" w:eastAsia="zh-CN"/>
        </w:rPr>
      </w:pPr>
      <w:r>
        <w:rPr>
          <w:rFonts w:hint="eastAsia" w:ascii="方正仿宋_GBK" w:hAnsi="方正仿宋_GBK" w:eastAsia="方正仿宋_GBK" w:cs="方正仿宋_GBK"/>
          <w:color w:val="auto"/>
          <w:sz w:val="32"/>
          <w:szCs w:val="32"/>
        </w:rPr>
        <w:t>湘乡发改〔2022〕</w:t>
      </w:r>
      <w:r>
        <w:rPr>
          <w:rFonts w:hint="eastAsia" w:cs="方正仿宋_GBK"/>
          <w:color w:val="auto"/>
          <w:sz w:val="32"/>
          <w:szCs w:val="32"/>
          <w:lang w:val="en-US" w:eastAsia="zh-CN"/>
        </w:rPr>
        <w:t>53</w:t>
      </w:r>
      <w:r>
        <w:rPr>
          <w:rFonts w:hint="eastAsia" w:ascii="方正仿宋_GBK" w:hAnsi="方正仿宋_GBK" w:eastAsia="方正仿宋_GBK" w:cs="方正仿宋_GBK"/>
          <w:color w:val="auto"/>
          <w:sz w:val="32"/>
          <w:szCs w:val="32"/>
        </w:rPr>
        <w:t>号</w:t>
      </w:r>
      <w:r>
        <w:rPr>
          <w:rFonts w:hint="eastAsia" w:ascii="方正仿宋_GBK" w:hAnsi="方正仿宋_GBK" w:eastAsia="方正仿宋_GBK" w:cs="方正仿宋_GBK"/>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396875</wp:posOffset>
                </wp:positionV>
                <wp:extent cx="5600700" cy="0"/>
                <wp:effectExtent l="0" t="15875" r="0" b="22225"/>
                <wp:wrapNone/>
                <wp:docPr id="4" name="直接连接符 4"/>
                <wp:cNvGraphicFramePr/>
                <a:graphic xmlns:a="http://schemas.openxmlformats.org/drawingml/2006/main">
                  <a:graphicData uri="http://schemas.microsoft.com/office/word/2010/wordprocessingShape">
                    <wps:wsp>
                      <wps:cNvCnPr/>
                      <wps:spPr>
                        <a:xfrm>
                          <a:off x="0" y="0"/>
                          <a:ext cx="5600700" cy="0"/>
                        </a:xfrm>
                        <a:prstGeom prst="line">
                          <a:avLst/>
                        </a:prstGeom>
                        <a:ln w="31750" cap="flat" cmpd="sng">
                          <a:solidFill>
                            <a:schemeClr val="tx1"/>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5pt;margin-top:31.25pt;height:0pt;width:441pt;z-index:251660288;mso-width-relative:page;mso-height-relative:page;" filled="f" stroked="t" coordsize="21600,21600" o:gfxdata="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5KnME9YAAAAIAQAADwAAAAAAAAABACAAAAAiAAAAZHJzL2Rvd25yZXYueG1sUEsBAhQA&#10;FAAAAAgAh07iQMWCstf0AQAA5QMAAA4AAAAAAAAAAQAgAAAAJQEAAGRycy9lMm9Eb2MueG1sUEsF&#10;BgAAAAAGAAYAWQEAAIsFAAAAAA==&#10;">
                <v:fill on="f" focussize="0,0"/>
                <v:stroke weight="2.5pt" color="#000000 [3213]"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简体" w:hAnsi="方正仿宋简体" w:eastAsia="方正仿宋简体" w:cs="方正仿宋简体"/>
          <w:color w:val="auto"/>
          <w:sz w:val="32"/>
          <w:szCs w:val="32"/>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简体" w:hAnsi="方正仿宋简体" w:eastAsia="方正仿宋简体" w:cs="方正仿宋简体"/>
          <w:color w:val="auto"/>
          <w:sz w:val="32"/>
          <w:szCs w:val="32"/>
        </w:rPr>
      </w:pPr>
    </w:p>
    <w:p>
      <w:pPr>
        <w:pStyle w:val="2"/>
        <w:rPr>
          <w:rFonts w:hint="eastAsia"/>
          <w:color w:val="auto"/>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关于印发《</w:t>
      </w:r>
      <w:r>
        <w:rPr>
          <w:rFonts w:hint="eastAsia" w:ascii="方正小标宋_GBK" w:hAnsi="方正小标宋_GBK" w:eastAsia="方正小标宋_GBK" w:cs="方正小标宋_GBK"/>
          <w:color w:val="auto"/>
          <w:sz w:val="44"/>
          <w:szCs w:val="44"/>
          <w:lang w:eastAsia="zh-CN"/>
        </w:rPr>
        <w:t>湘乡市“十四五”战略性新兴产业发展规划》</w:t>
      </w:r>
      <w:r>
        <w:rPr>
          <w:rFonts w:hint="eastAsia" w:ascii="方正小标宋_GBK" w:hAnsi="方正小标宋_GBK" w:eastAsia="方正小标宋_GBK" w:cs="方正小标宋_GBK"/>
          <w:color w:val="auto"/>
          <w:sz w:val="44"/>
          <w:szCs w:val="44"/>
        </w:rPr>
        <w:t>的通知</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各</w:t>
      </w:r>
      <w:r>
        <w:rPr>
          <w:rFonts w:hint="eastAsia" w:ascii="方正仿宋_GBK" w:hAnsi="方正仿宋_GBK" w:eastAsia="方正仿宋_GBK" w:cs="方正仿宋_GBK"/>
          <w:color w:val="auto"/>
          <w:sz w:val="32"/>
          <w:szCs w:val="32"/>
          <w:lang w:eastAsia="zh-CN"/>
        </w:rPr>
        <w:t>乡镇人民政府、</w:t>
      </w:r>
      <w:r>
        <w:rPr>
          <w:rFonts w:hint="eastAsia" w:ascii="方正仿宋_GBK" w:hAnsi="方正仿宋_GBK" w:eastAsia="方正仿宋_GBK" w:cs="方正仿宋_GBK"/>
          <w:color w:val="auto"/>
          <w:sz w:val="32"/>
          <w:szCs w:val="32"/>
        </w:rPr>
        <w:t>街道办事处，</w:t>
      </w:r>
      <w:r>
        <w:rPr>
          <w:rFonts w:hint="eastAsia" w:ascii="方正仿宋_GBK" w:hAnsi="方正仿宋_GBK" w:eastAsia="方正仿宋_GBK" w:cs="方正仿宋_GBK"/>
          <w:color w:val="auto"/>
          <w:sz w:val="32"/>
          <w:szCs w:val="32"/>
          <w:lang w:eastAsia="zh-CN"/>
        </w:rPr>
        <w:t>经开区管委会，</w:t>
      </w:r>
      <w:r>
        <w:rPr>
          <w:rFonts w:hint="eastAsia" w:ascii="方正仿宋_GBK" w:hAnsi="方正仿宋_GBK" w:eastAsia="方正仿宋_GBK" w:cs="方正仿宋_GBK"/>
          <w:color w:val="auto"/>
          <w:sz w:val="32"/>
          <w:szCs w:val="32"/>
        </w:rPr>
        <w:t>各市直机关单位</w:t>
      </w:r>
      <w:r>
        <w:rPr>
          <w:rFonts w:hint="eastAsia" w:ascii="方正仿宋_GBK" w:hAnsi="方正仿宋_GBK" w:eastAsia="方正仿宋_GBK" w:cs="方正仿宋_GBK"/>
          <w:color w:val="auto"/>
          <w:sz w:val="32"/>
          <w:szCs w:val="32"/>
          <w:lang w:eastAsia="zh-CN"/>
        </w:rPr>
        <w:t>，市属和驻市各企事业单位，各人民团体：</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《湘乡市“十四五”战略性新兴产业发展规划》</w:t>
      </w:r>
      <w:r>
        <w:rPr>
          <w:rFonts w:hint="eastAsia" w:ascii="方正仿宋_GBK" w:hAnsi="方正仿宋_GBK" w:eastAsia="方正仿宋_GBK" w:cs="方正仿宋_GBK"/>
          <w:color w:val="auto"/>
          <w:sz w:val="32"/>
          <w:szCs w:val="32"/>
          <w:lang w:eastAsia="zh-CN"/>
        </w:rPr>
        <w:t>已经</w:t>
      </w:r>
      <w:r>
        <w:rPr>
          <w:rFonts w:hint="eastAsia" w:ascii="方正仿宋_GBK" w:hAnsi="方正仿宋_GBK" w:eastAsia="方正仿宋_GBK" w:cs="方正仿宋_GBK"/>
          <w:color w:val="auto"/>
          <w:sz w:val="32"/>
          <w:szCs w:val="32"/>
          <w:lang w:val="en-US" w:eastAsia="zh-CN"/>
        </w:rPr>
        <w:t>市人民政府</w:t>
      </w:r>
      <w:r>
        <w:rPr>
          <w:rFonts w:hint="eastAsia" w:ascii="方正仿宋_GBK" w:hAnsi="方正仿宋_GBK" w:eastAsia="方正仿宋_GBK" w:cs="方正仿宋_GBK"/>
          <w:color w:val="auto"/>
          <w:sz w:val="32"/>
          <w:szCs w:val="32"/>
          <w:lang w:eastAsia="zh-CN"/>
        </w:rPr>
        <w:t>同意，现予印</w:t>
      </w:r>
      <w:r>
        <w:rPr>
          <w:rFonts w:hint="eastAsia" w:ascii="方正仿宋_GBK" w:hAnsi="方正仿宋_GBK" w:eastAsia="方正仿宋_GBK" w:cs="方正仿宋_GBK"/>
          <w:color w:val="auto"/>
          <w:sz w:val="32"/>
          <w:szCs w:val="32"/>
        </w:rPr>
        <w:t>发</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请认真</w:t>
      </w:r>
      <w:r>
        <w:rPr>
          <w:rFonts w:hint="eastAsia" w:ascii="方正仿宋_GBK" w:hAnsi="方正仿宋_GBK" w:eastAsia="方正仿宋_GBK" w:cs="方正仿宋_GBK"/>
          <w:color w:val="auto"/>
          <w:sz w:val="32"/>
          <w:szCs w:val="32"/>
          <w:lang w:eastAsia="zh-CN"/>
        </w:rPr>
        <w:t>组织实施</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p>
    <w:p>
      <w:pPr>
        <w:pStyle w:val="2"/>
        <w:keepNext w:val="0"/>
        <w:keepLines w:val="0"/>
        <w:pageBreakBefore w:val="0"/>
        <w:widowControl w:val="0"/>
        <w:kinsoku/>
        <w:overflowPunct/>
        <w:topLinePunct w:val="0"/>
        <w:autoSpaceDE w:val="0"/>
        <w:autoSpaceDN w:val="0"/>
        <w:bidi w:val="0"/>
        <w:adjustRightInd/>
        <w:snapToGrid/>
        <w:spacing w:line="600" w:lineRule="exact"/>
        <w:textAlignment w:val="auto"/>
        <w:rPr>
          <w:rFonts w:hint="eastAsia"/>
          <w:color w:val="auto"/>
          <w:lang w:val="en-US" w:eastAsia="zh-CN"/>
        </w:rPr>
      </w:pPr>
    </w:p>
    <w:p>
      <w:pPr>
        <w:pStyle w:val="2"/>
        <w:keepNext w:val="0"/>
        <w:keepLines w:val="0"/>
        <w:pageBreakBefore w:val="0"/>
        <w:widowControl w:val="0"/>
        <w:kinsoku/>
        <w:overflowPunct/>
        <w:topLinePunct w:val="0"/>
        <w:autoSpaceDE w:val="0"/>
        <w:autoSpaceDN w:val="0"/>
        <w:bidi w:val="0"/>
        <w:adjustRightInd/>
        <w:snapToGrid/>
        <w:spacing w:line="600" w:lineRule="exact"/>
        <w:textAlignment w:val="auto"/>
        <w:rPr>
          <w:rFonts w:hint="eastAsia"/>
          <w:color w:val="auto"/>
          <w:lang w:val="en-US" w:eastAsia="zh-CN"/>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湘乡市发展和改革局     湘乡市科技和工业信息化局</w:t>
      </w:r>
    </w:p>
    <w:p>
      <w:pPr>
        <w:keepNext w:val="0"/>
        <w:keepLines w:val="0"/>
        <w:pageBreakBefore w:val="0"/>
        <w:widowControl w:val="0"/>
        <w:kinsoku/>
        <w:wordWrap w:val="0"/>
        <w:overflowPunct/>
        <w:topLinePunct w:val="0"/>
        <w:autoSpaceDE w:val="0"/>
        <w:autoSpaceDN w:val="0"/>
        <w:bidi w:val="0"/>
        <w:adjustRightInd/>
        <w:snapToGrid/>
        <w:spacing w:line="600" w:lineRule="exact"/>
        <w:ind w:firstLine="640" w:firstLineChars="200"/>
        <w:jc w:val="righ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22</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12</w:t>
      </w:r>
      <w:r>
        <w:rPr>
          <w:rFonts w:hint="eastAsia" w:ascii="方正仿宋_GBK" w:hAnsi="方正仿宋_GBK" w:eastAsia="方正仿宋_GBK" w:cs="方正仿宋_GBK"/>
          <w:color w:val="auto"/>
          <w:sz w:val="32"/>
          <w:szCs w:val="32"/>
        </w:rPr>
        <w:t>月</w:t>
      </w:r>
      <w:r>
        <w:rPr>
          <w:rFonts w:hint="eastAsia" w:cs="方正仿宋_GBK"/>
          <w:color w:val="auto"/>
          <w:sz w:val="32"/>
          <w:szCs w:val="32"/>
          <w:lang w:val="en-US" w:eastAsia="zh-CN"/>
        </w:rPr>
        <w:t>13</w:t>
      </w:r>
      <w:r>
        <w:rPr>
          <w:rFonts w:hint="eastAsia" w:ascii="方正仿宋_GBK" w:hAnsi="方正仿宋_GBK" w:eastAsia="方正仿宋_GBK" w:cs="方正仿宋_GBK"/>
          <w:color w:val="auto"/>
          <w:sz w:val="32"/>
          <w:szCs w:val="32"/>
        </w:rPr>
        <w:t>日</w:t>
      </w:r>
      <w:r>
        <w:rPr>
          <w:rFonts w:hint="eastAsia" w:ascii="方正仿宋_GBK" w:hAnsi="方正仿宋_GBK" w:eastAsia="方正仿宋_GBK" w:cs="方正仿宋_GBK"/>
          <w:color w:val="auto"/>
          <w:sz w:val="32"/>
          <w:szCs w:val="32"/>
          <w:lang w:val="en-US" w:eastAsia="zh-CN"/>
        </w:rPr>
        <w:t xml:space="preserve">  </w:t>
      </w:r>
      <w:r>
        <w:rPr>
          <w:rFonts w:hint="eastAsia" w:cs="方正仿宋_GBK"/>
          <w:color w:val="auto"/>
          <w:sz w:val="32"/>
          <w:szCs w:val="32"/>
          <w:lang w:val="en-US" w:eastAsia="zh-CN"/>
        </w:rPr>
        <w:t xml:space="preserve">      </w:t>
      </w:r>
    </w:p>
    <w:p>
      <w:pPr>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br w:type="page"/>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目  录</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TOC \o "1-2" \h \z \u </w:instrText>
      </w:r>
      <w:r>
        <w:rPr>
          <w:rFonts w:hint="eastAsia" w:ascii="方正仿宋_GBK" w:hAnsi="方正仿宋_GBK" w:eastAsia="方正仿宋_GBK" w:cs="方正仿宋_GBK"/>
          <w:color w:val="auto"/>
          <w:sz w:val="32"/>
          <w:szCs w:val="32"/>
        </w:rPr>
        <w:fldChar w:fldCharType="separate"/>
      </w: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HYPERLINK \l "_Toc92700373"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第一章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发展基础与形式</w:t>
      </w:r>
      <w:r>
        <w:rPr>
          <w:rFonts w:hint="eastAsia" w:ascii="黑体" w:hAnsi="黑体" w:eastAsia="黑体" w:cs="黑体"/>
          <w:color w:val="auto"/>
          <w:sz w:val="32"/>
          <w:szCs w:val="32"/>
          <w:lang w:eastAsia="zh-CN"/>
        </w:rPr>
        <w:t>…………………………………</w:t>
      </w: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PAGEREF _Toc92700373 \h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4</w:t>
      </w:r>
      <w:r>
        <w:rPr>
          <w:rFonts w:hint="eastAsia" w:ascii="黑体" w:hAnsi="黑体" w:eastAsia="黑体" w:cs="黑体"/>
          <w:color w:val="auto"/>
          <w:sz w:val="32"/>
          <w:szCs w:val="32"/>
        </w:rPr>
        <w:fldChar w:fldCharType="end"/>
      </w:r>
      <w:r>
        <w:rPr>
          <w:rFonts w:hint="eastAsia" w:ascii="黑体" w:hAnsi="黑体" w:eastAsia="黑体" w:cs="黑体"/>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"_Toc92700374"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（一）发展基础</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_Toc92700374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5</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"_Toc92700375"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（二）发展机遇</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_Toc92700375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8</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"_Toc92700376"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（三）面临挑战</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_Toc92700376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10</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"_Toc92700377"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（四）存在问题</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_Toc92700377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11</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HYPERLINK \l "_Toc92700378"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第二章</w:t>
      </w:r>
      <w:r>
        <w:rPr>
          <w:rFonts w:hint="eastAsia" w:ascii="黑体" w:hAnsi="黑体" w:eastAsia="黑体" w:cs="黑体"/>
          <w:color w:val="auto"/>
          <w:sz w:val="32"/>
          <w:szCs w:val="32"/>
        </w:rPr>
        <w:tab/>
      </w:r>
      <w:r>
        <w:rPr>
          <w:rFonts w:hint="eastAsia" w:ascii="黑体" w:hAnsi="黑体" w:eastAsia="黑体" w:cs="黑体"/>
          <w:color w:val="auto"/>
          <w:sz w:val="32"/>
          <w:szCs w:val="32"/>
        </w:rPr>
        <w:t>总体要求与发展目标</w:t>
      </w:r>
      <w:r>
        <w:rPr>
          <w:rFonts w:hint="eastAsia" w:cs="方正仿宋_GBK"/>
          <w:color w:val="auto"/>
          <w:sz w:val="32"/>
          <w:szCs w:val="32"/>
          <w:lang w:eastAsia="zh-CN"/>
        </w:rPr>
        <w:t>………………………………</w:t>
      </w: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PAGEREF _Toc92700378 \h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12</w:t>
      </w:r>
      <w:r>
        <w:rPr>
          <w:rFonts w:hint="eastAsia" w:ascii="黑体" w:hAnsi="黑体" w:eastAsia="黑体" w:cs="黑体"/>
          <w:color w:val="auto"/>
          <w:sz w:val="32"/>
          <w:szCs w:val="32"/>
        </w:rPr>
        <w:fldChar w:fldCharType="end"/>
      </w:r>
      <w:r>
        <w:rPr>
          <w:rFonts w:hint="eastAsia" w:ascii="黑体" w:hAnsi="黑体" w:eastAsia="黑体" w:cs="黑体"/>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"_Toc92700379"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（一）指导思想</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_Toc92700379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12</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"_Toc92700380"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（二）基本原则</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_Toc92700380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13</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"_Toc92700381"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（三）发展目标</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_Toc92700381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14</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HYPERLINK \l "_Toc92700382"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第三章</w:t>
      </w:r>
      <w:r>
        <w:rPr>
          <w:rFonts w:hint="eastAsia" w:ascii="黑体" w:hAnsi="黑体" w:eastAsia="黑体" w:cs="黑体"/>
          <w:color w:val="auto"/>
          <w:sz w:val="32"/>
          <w:szCs w:val="32"/>
        </w:rPr>
        <w:tab/>
      </w:r>
      <w:r>
        <w:rPr>
          <w:rFonts w:hint="eastAsia" w:ascii="黑体" w:hAnsi="黑体" w:eastAsia="黑体" w:cs="黑体"/>
          <w:color w:val="auto"/>
          <w:sz w:val="32"/>
          <w:szCs w:val="32"/>
        </w:rPr>
        <w:t>空间布局与产业规划</w:t>
      </w:r>
      <w:r>
        <w:rPr>
          <w:rFonts w:hint="eastAsia" w:ascii="黑体" w:hAnsi="黑体" w:eastAsia="黑体" w:cs="黑体"/>
          <w:color w:val="auto"/>
          <w:sz w:val="32"/>
          <w:szCs w:val="32"/>
          <w:lang w:eastAsia="zh-CN"/>
        </w:rPr>
        <w:t>………………………………</w:t>
      </w: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PAGEREF _Toc92700382 \h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16</w:t>
      </w:r>
      <w:r>
        <w:rPr>
          <w:rFonts w:hint="eastAsia" w:ascii="黑体" w:hAnsi="黑体" w:eastAsia="黑体" w:cs="黑体"/>
          <w:color w:val="auto"/>
          <w:sz w:val="32"/>
          <w:szCs w:val="32"/>
        </w:rPr>
        <w:fldChar w:fldCharType="end"/>
      </w:r>
      <w:r>
        <w:rPr>
          <w:rFonts w:hint="eastAsia" w:ascii="黑体" w:hAnsi="黑体" w:eastAsia="黑体" w:cs="黑体"/>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"_Toc92700383"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（一）产业空间布局</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_Toc92700383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16</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"_Toc92700384"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（二）做大做强优势产业</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_Toc92700384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17</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"_Toc92700385"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（三）做强做精成长产业</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_Toc92700385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24</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"_Toc92700386"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（四）布局培育未来产业</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_Toc92700386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27</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HYPERLINK \l "_Toc92700387"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第四章</w:t>
      </w:r>
      <w:r>
        <w:rPr>
          <w:rFonts w:hint="eastAsia" w:ascii="黑体" w:hAnsi="黑体" w:eastAsia="黑体" w:cs="黑体"/>
          <w:color w:val="auto"/>
          <w:sz w:val="32"/>
          <w:szCs w:val="32"/>
        </w:rPr>
        <w:tab/>
      </w:r>
      <w:r>
        <w:rPr>
          <w:rFonts w:hint="eastAsia" w:ascii="黑体" w:hAnsi="黑体" w:eastAsia="黑体" w:cs="黑体"/>
          <w:color w:val="auto"/>
          <w:sz w:val="32"/>
          <w:szCs w:val="32"/>
        </w:rPr>
        <w:t>重点任务</w:t>
      </w:r>
      <w:r>
        <w:rPr>
          <w:rFonts w:hint="eastAsia" w:cs="方正仿宋_GBK"/>
          <w:color w:val="auto"/>
          <w:sz w:val="32"/>
          <w:szCs w:val="32"/>
          <w:lang w:eastAsia="zh-CN"/>
        </w:rPr>
        <w:t>……………………………………………</w:t>
      </w: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PAGEREF _Toc92700387 \h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31</w:t>
      </w:r>
      <w:r>
        <w:rPr>
          <w:rFonts w:hint="eastAsia" w:ascii="黑体" w:hAnsi="黑体" w:eastAsia="黑体" w:cs="黑体"/>
          <w:color w:val="auto"/>
          <w:sz w:val="32"/>
          <w:szCs w:val="32"/>
        </w:rPr>
        <w:fldChar w:fldCharType="end"/>
      </w:r>
      <w:r>
        <w:rPr>
          <w:rFonts w:hint="eastAsia" w:ascii="黑体" w:hAnsi="黑体" w:eastAsia="黑体" w:cs="黑体"/>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"_Toc92700388"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（一）创新能力提升工程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_Toc92700388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31</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"_Toc92700389"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（二）园区承载力夯实工程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_Toc92700389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33</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"_Toc92700390"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（三）双招双引强链工程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_Toc92700390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34</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"_Toc92700391"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（四）智能制造升级工程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_Toc92700391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35</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"_Toc92700392"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（五）企业主体培育工程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_Toc92700392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37</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"_Toc92700393"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（六）质量品牌建设工程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_Toc92700393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38</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"_Toc92700394"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（七）重点项目推进工程</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_Toc92700394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40</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HYPERLINK \l "_Toc92700395"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第五章</w:t>
      </w:r>
      <w:r>
        <w:rPr>
          <w:rFonts w:hint="eastAsia" w:ascii="黑体" w:hAnsi="黑体" w:eastAsia="黑体" w:cs="黑体"/>
          <w:color w:val="auto"/>
          <w:sz w:val="32"/>
          <w:szCs w:val="32"/>
        </w:rPr>
        <w:tab/>
      </w:r>
      <w:r>
        <w:rPr>
          <w:rFonts w:hint="eastAsia" w:ascii="黑体" w:hAnsi="黑体" w:eastAsia="黑体" w:cs="黑体"/>
          <w:color w:val="auto"/>
          <w:sz w:val="32"/>
          <w:szCs w:val="32"/>
        </w:rPr>
        <w:t>保障措施</w:t>
      </w:r>
      <w:r>
        <w:rPr>
          <w:rFonts w:hint="eastAsia" w:cs="方正仿宋_GBK"/>
          <w:color w:val="auto"/>
          <w:sz w:val="32"/>
          <w:szCs w:val="32"/>
          <w:lang w:eastAsia="zh-CN"/>
        </w:rPr>
        <w:t>……………………………………………</w:t>
      </w: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 PAGEREF _Toc92700395 \h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32"/>
          <w:szCs w:val="32"/>
        </w:rPr>
        <w:t>41</w:t>
      </w:r>
      <w:r>
        <w:rPr>
          <w:rFonts w:hint="eastAsia" w:ascii="黑体" w:hAnsi="黑体" w:eastAsia="黑体" w:cs="黑体"/>
          <w:color w:val="auto"/>
          <w:sz w:val="32"/>
          <w:szCs w:val="32"/>
        </w:rPr>
        <w:fldChar w:fldCharType="end"/>
      </w:r>
      <w:r>
        <w:rPr>
          <w:rFonts w:hint="eastAsia" w:ascii="黑体" w:hAnsi="黑体" w:eastAsia="黑体" w:cs="黑体"/>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"_Toc92700396"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（一）强化组织领导</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_Toc92700396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41</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"_Toc92700397"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（二）创新投融资体制机制</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_Toc92700397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42</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"_Toc92700398"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（三）增强要素保障能力</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_Toc92700398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42</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"_Toc92700399"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（四）实施引智引才专项计划</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_Toc92700399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43</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HYPERLINK \l "_Toc92700400"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（五）优化营商环境</w:t>
      </w:r>
      <w:r>
        <w:rPr>
          <w:rFonts w:hint="eastAsia" w:cs="方正仿宋_GBK"/>
          <w:color w:val="auto"/>
          <w:sz w:val="32"/>
          <w:szCs w:val="32"/>
          <w:lang w:eastAsia="zh-CN"/>
        </w:rPr>
        <w:t>………………………………………</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 PAGEREF _Toc92700400 \h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t>44</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distribute"/>
        <w:textAlignment w:val="auto"/>
        <w:rPr>
          <w:rFonts w:hint="eastAsia" w:ascii="方正仿宋_GBK" w:hAnsi="方正仿宋_GBK" w:eastAsia="方正仿宋_GBK" w:cs="方正仿宋_GBK"/>
          <w:color w:val="auto"/>
          <w:sz w:val="32"/>
          <w:szCs w:val="32"/>
        </w:rPr>
        <w:sectPr>
          <w:headerReference r:id="rId4" w:type="first"/>
          <w:headerReference r:id="rId3" w:type="default"/>
          <w:footerReference r:id="rId5" w:type="default"/>
          <w:pgSz w:w="11906" w:h="16838"/>
          <w:pgMar w:top="1984" w:right="1531" w:bottom="1587" w:left="1587" w:header="851" w:footer="992" w:gutter="0"/>
          <w:pgNumType w:fmt="decimal" w:start="1"/>
          <w:cols w:space="425" w:num="1"/>
          <w:titlePg/>
          <w:docGrid w:type="lines" w:linePitch="312" w:charSpace="0"/>
        </w:sectPr>
      </w:pPr>
      <w:r>
        <w:rPr>
          <w:rFonts w:hint="eastAsia" w:ascii="方正仿宋_GBK" w:hAnsi="方正仿宋_GBK" w:eastAsia="方正仿宋_GBK" w:cs="方正仿宋_GBK"/>
          <w:color w:val="auto"/>
          <w:sz w:val="32"/>
          <w:szCs w:val="32"/>
        </w:rPr>
        <w:fldChar w:fldCharType="end"/>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color w:val="auto"/>
          <w:sz w:val="44"/>
          <w:szCs w:val="44"/>
        </w:rPr>
      </w:pPr>
      <w:bookmarkStart w:id="0" w:name="_Toc54561937"/>
      <w:r>
        <w:rPr>
          <w:rFonts w:hint="eastAsia" w:ascii="黑体" w:hAnsi="黑体" w:eastAsia="黑体" w:cs="黑体"/>
          <w:color w:val="auto"/>
          <w:sz w:val="44"/>
          <w:szCs w:val="44"/>
        </w:rPr>
        <w:t>前  言</w:t>
      </w:r>
      <w:bookmarkEnd w:id="0"/>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十四五”时期（2021～2025年）是“两个大局”和“两个一百年”奋斗目标承上启下的历史交汇期，是湘乡市开启全面建设社会主义现代化国家新征程的第一个五年规划期。根据习近平新时代中国特色社会主义思想、党的十九大和十九届二中、三中、四中全会精神要求以及在湖南考察重要讲话和重要指示精神，牢固树立新的发展理念，深入落实“三高四新”战略，坚定不移发展产业。为实现全市经济社会更好更快高质量发展，全面提升经济竞争力，特依据《湘乡市国民经济和社会发展第十四个五年规划和二〇三五年远景目标纲要》等编制本规划，旨在大力促进全市战略性新兴产业发展，加速新型工业化进程，奠定高质量发展基础，是湘乡市未来产业发展的行动纲领。</w:t>
      </w:r>
    </w:p>
    <w:p>
      <w:pPr>
        <w:pStyle w:val="2"/>
        <w:rPr>
          <w:rFonts w:hint="eastAsia"/>
          <w:color w:val="auto"/>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color w:val="auto"/>
          <w:sz w:val="32"/>
          <w:szCs w:val="32"/>
        </w:rPr>
      </w:pPr>
      <w:bookmarkStart w:id="1" w:name="_Toc92700373"/>
      <w:r>
        <w:rPr>
          <w:rFonts w:hint="eastAsia" w:ascii="黑体" w:hAnsi="黑体" w:eastAsia="黑体" w:cs="黑体"/>
          <w:color w:val="auto"/>
          <w:sz w:val="32"/>
          <w:szCs w:val="32"/>
          <w:lang w:eastAsia="zh-CN"/>
        </w:rPr>
        <w:t>第一章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发展基础与形式</w:t>
      </w:r>
      <w:bookmarkEnd w:id="1"/>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十三五”期间，全市经济发展明显加快，综合实力不断增强，2016-2020年，全市生产总值实现500.24亿元，城乡居民人均可支配收入、农村居民人均纯收入从2015年的27790元、14340元增加到2020年的40656元、21287元，年均增长7.9%、8.2%。以电工电器、医疗器械、绿色建材、资源循环利用等为主导的产业取得重大发展，社会经济发展平台逐步形成；生产性服务产业加快发展，对产业高质量发展支撑能力不断增强，产业发展逐步呈现集聚趋势。</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 w:name="_Toc92700374"/>
      <w:r>
        <w:rPr>
          <w:rFonts w:hint="eastAsia" w:ascii="方正楷体_GBK" w:hAnsi="方正楷体_GBK" w:eastAsia="方正楷体_GBK" w:cs="方正楷体_GBK"/>
          <w:b/>
          <w:bCs/>
          <w:color w:val="auto"/>
          <w:sz w:val="32"/>
          <w:szCs w:val="32"/>
        </w:rPr>
        <w:t>（一）发展基础</w:t>
      </w:r>
      <w:bookmarkEnd w:id="2"/>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1．产业总量平稳增长</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“十三五”期间，全市坚持“工业强市”战略，加快工业转型升级步伐，实现了工业经济平稳较快增长。2020年实现全市生产总值（GDP）为500.24 亿元，年均增长8.8%。至2020年，全市规模以上工业总产值达913.9亿元，比2015 年666.3 亿元增加247.6亿元，年均增长率7.4%。</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2．产业结构不断优化</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“十三五”期间，全市紧紧抓住结构调整、工业加快发展的机遇，通过持续集群化发展和园区化承载力</w:t>
      </w:r>
      <w:r>
        <w:rPr>
          <w:rFonts w:hint="eastAsia" w:cs="方正仿宋_GBK"/>
          <w:color w:val="auto"/>
          <w:sz w:val="32"/>
          <w:szCs w:val="32"/>
          <w:lang w:eastAsia="zh-CN"/>
        </w:rPr>
        <w:t>建设</w:t>
      </w:r>
      <w:r>
        <w:rPr>
          <w:rFonts w:hint="eastAsia" w:ascii="方正仿宋_GBK" w:hAnsi="方正仿宋_GBK" w:eastAsia="方正仿宋_GBK" w:cs="方正仿宋_GBK"/>
          <w:color w:val="auto"/>
          <w:sz w:val="32"/>
          <w:szCs w:val="32"/>
        </w:rPr>
        <w:t>，加快了工业产业发展步伐，使电工电器、医疗器械、先进装备、绿色建材、新型材料等产业的比较优势进一步巩固，产业规模进一步发展。三次产业结构不断优化，由2015年的22.9∶46.1∶31调整为2020年的13.5∶49.5∶37。工业经济转型发展，高新产业占比显著提高，以智能制造、清洁生产、科技创新为主的高新技术企业迅速成长。高新技术产业增加值占GDP比重由2015年的25.3%升至2020年的26%，成功获批全国工业资源综合利用基地；经开区实现技工贸总收入981亿元，成功创建省级双创示范基地，综合考核排名晋升全省产业园区第六位。</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3．经营主体不断壮大</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全市经济水平不断提高，经营主体不断壮大，近年来，一些优秀企业在激烈的市场竞争中脱颖而出、不断壮大，成为辐射中小企业、引领集群发展的 “领头羊”。2020年全市规模以上工业企业达283家，其中高新技术企业达53家，省级小巨人企业8家。另外以埃普特为研发生产基地的深圳惠泰医疗器械在沪交所科创板挂牌上市，实现零的突破；电力湘军入选全国40个典型劳务品牌，巨强科技获评省智能制造示范企业，经营主体实力不断增强。</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4．产业发展初见成效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全市上下横向抓规模，培育产业集群，纵向抓龙头，延伸产业链条，全力推进产业提档升级。一是电工电器产业，依托深思电工等企业，建成了电工电器服务型制造产业示范基地，成功打造了集电力施工、电力设备制造及检验检测为一体的电工电器产业链，2020年实现总产值107.6亿元，企业分部建成运行9家，完成主体建设12家，正在建设3家。二是医疗器械及先进装备产业，重点依托埃普特、湖南依微迪、鼎峰机械、三联环保科技、万龙机械等骨干企业，构建了研发、生产、销售一条龙，专业化分工和满足多维需求的产业链结构。现有链上企业34家（其中园区企业13家），从业人员4823人，2020年实现总产值194.1亿元、上缴税收7915万元，完成研发经费投入2.47亿元。三是资源循环利用产业，依托巨强科技、绿营环保、垃圾处理厂等骨干企业，积极推动以工业废弃物综合利用为主的资源循环利用产业链“建链”跃升。2020年链上企业12家（其中园区企业5家），总产值31.6亿元，从业人员1281人，研发经费投入1.15亿元，上缴税收2915万元。四是绿色建材产业，以韶峰水泥、巨强科技等企业为龙头，逐步形成了废旧资源综合利用、新型绿色建材、新型复合材料产业链条，2020年获湘潭市先进产业链，现有链上企业43家，2020年实现总产值31.6亿元，完成税收1.64亿元。五是电子信息产业，是湘乡市重点发展的新兴产业，重点依托湘君电子、振添光学等龙头企业，促进产业链创新发展。2020年链上企业13家，主要集中在经开区电子信息产业园，已建成标准厂房25.8万平方米，在建27万平方米。六是皮革深加工产业，以银河制革、怀其皮革集团等龙头企业为代表，逐步形成了皮革加工产业链，目前全市皮革加工产业链企业17家，园区制革加工企业6家、明胶企业2家、裘革服装企业4家，配套日处理污水1万吨的污水处理公司1家，配套日处理120吨的一般综合污泥环保公司1家。2020年总产值101.6亿元，从业人员3889人，研发经费投入9613万元，上缴税收3518万元。七是智能铸造产业，智能铸造以</w:t>
      </w:r>
      <w:r>
        <w:rPr>
          <w:rFonts w:hint="eastAsia" w:cs="方正仿宋_GBK"/>
          <w:color w:val="auto"/>
          <w:sz w:val="32"/>
          <w:szCs w:val="32"/>
          <w:lang w:eastAsia="zh-CN"/>
        </w:rPr>
        <w:t>忠心</w:t>
      </w:r>
      <w:r>
        <w:rPr>
          <w:rFonts w:hint="eastAsia" w:ascii="方正仿宋_GBK" w:hAnsi="方正仿宋_GBK" w:eastAsia="方正仿宋_GBK" w:cs="方正仿宋_GBK"/>
          <w:color w:val="auto"/>
          <w:sz w:val="32"/>
          <w:szCs w:val="32"/>
        </w:rPr>
        <w:t>铸造、</w:t>
      </w:r>
      <w:r>
        <w:rPr>
          <w:rFonts w:hint="eastAsia" w:cs="方正仿宋_GBK"/>
          <w:color w:val="auto"/>
          <w:sz w:val="32"/>
          <w:szCs w:val="32"/>
          <w:lang w:eastAsia="zh-CN"/>
        </w:rPr>
        <w:t>新曙光</w:t>
      </w:r>
      <w:r>
        <w:rPr>
          <w:rFonts w:hint="eastAsia" w:ascii="方正仿宋_GBK" w:hAnsi="方正仿宋_GBK" w:eastAsia="方正仿宋_GBK" w:cs="方正仿宋_GBK"/>
          <w:color w:val="auto"/>
          <w:sz w:val="32"/>
          <w:szCs w:val="32"/>
        </w:rPr>
        <w:t>铸造等企业为代表，在传统铸造的基础上，升级生产设备与铸造工艺，引领铸造产业向智能化转型升级。八是金融、养老等产业健康发展，金融产业贡献度明显提升。第三产业已成为拉动湘乡市经济增长的重要动力。</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5．产业发展环境进一步优化</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十三五”期间，全市连续推行市领导联系帮扶重点企业和重点项目活动，开展了“强服务、稳增长”重点企业帮扶活动、“四责四诺”“五连五问”大调研等服务活动，出台了《湘乡市产业发展三年行动（2018-2020年）实施方案》、《湘乡市促进产业发展奖励办法》等系列政策，为实体经济健康发展提供政策支持，激发了全市投资创业的活力。通过湘乡市中小企业公共服务平台为企业提供服务516次。组织专家对20多家企业进行巡诊，解答有关企业转型升级、融资、人才、营销、管理等方面的问题。通过创新服务方式，强化服务手段，工业经济发展环境得到进一步优化。</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3" w:name="_Toc92700375"/>
      <w:r>
        <w:rPr>
          <w:rFonts w:hint="eastAsia" w:ascii="方正楷体_GBK" w:hAnsi="方正楷体_GBK" w:eastAsia="方正楷体_GBK" w:cs="方正楷体_GBK"/>
          <w:b/>
          <w:bCs/>
          <w:color w:val="auto"/>
          <w:sz w:val="32"/>
          <w:szCs w:val="32"/>
        </w:rPr>
        <w:t>（二）发展机遇</w:t>
      </w:r>
      <w:bookmarkEnd w:id="3"/>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1.</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宏观经济环境为产业发展创造新机会。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全球新一轮科技革命和产业变革正在蓬勃兴起，国内外经济社会环境面临新的机遇，智能化、绿色化、服务化成为制造业发展新趋势，互联网、大数据、云计算等快速发展，推动制造业发展理念、生产方式和发展模式发生深刻变革。许多领域都处在产业化突破的临界点，随着新技术、新产业的发展，产业边界渐趋模糊，新兴产业前景广阔。全球价值链竞争进入白热化状态，经济发展“换道超车”已经箭在弦上，我国经济由高速增长转向高质量发展已成为国家决策基本取向。</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2.</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区域经济政策为产业发展注入新活力。</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带一路”、中部崛起、长江经济带等区域发展战略的深入推进，将持续为湘乡市经济社会发展带来重大机遇和政策利好。习近平总书记在湖南考察时提出的“要着力打造国家重要先进制造业、具有核心竞争力的科技创新、内陆地区改革开放的高地，在推动高质量发展上闯出新路子，在构建新发展格局中展现新作为，在推动中部地区崛起和长江经济带发展中彰显新担当，奋力谱写新时代坚持和发展中国特色社会主义的湖南新篇章”的“三高四新”战略，为全省的经济发展指明了新的方向。</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3.</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长株潭一体化为产业发展搭建新平台。</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长株潭区域是湖南发展的核心竞争力之所在，也是湖南走在中部崛起前列的重要支撑。为推进长株潭区域一体化发展，中共湖南省委湖南省人民政府印发了《长株潭区域一体化发展规划纲要》。湘乡市要抓住“十四五”新兴优势产业发展的重要机遇期，积极嵌入“一轴一心，三带多组团”的长株潭区域一体化发展新型空间结构，主动融入湖南省“3+5”城市群建设，顺应自身比较优势变化，紧扣高质量发展主题，充分发挥湖南省、湘潭市重点支持发展领域的电子电器、高端装备制造、资源循环利用等产业优势，积极融入全省重点产业集群建设。深入对接湘潭市实施“湘潭向北、西拓南延”的发展战略，助力湘潭建设中部崛起“智造谷”，在外部深化与长沙、湘潭的融合发展，在内部推进与乡镇的纵深发展，全地域全方位融入一体化。力争在新一轮推进产业发展过程中，湘乡市能够加快推进新兴优势产业链发展，充分发挥＂长株潭城市群重要工业基地＂作用，实现产业突破式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bookmarkStart w:id="4" w:name="_Toc92700376"/>
      <w:r>
        <w:rPr>
          <w:rFonts w:hint="eastAsia" w:ascii="方正楷体_GBK" w:hAnsi="方正楷体_GBK" w:eastAsia="方正楷体_GBK" w:cs="方正楷体_GBK"/>
          <w:b/>
          <w:bCs/>
          <w:color w:val="auto"/>
          <w:sz w:val="32"/>
          <w:szCs w:val="32"/>
        </w:rPr>
        <w:t>（三）面临挑战</w:t>
      </w:r>
      <w:bookmarkEnd w:id="4"/>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一是经济全球化和国际局势不稳定愈加激烈。</w:t>
      </w:r>
      <w:r>
        <w:rPr>
          <w:rFonts w:hint="eastAsia" w:ascii="方正仿宋_GBK" w:hAnsi="方正仿宋_GBK" w:eastAsia="方正仿宋_GBK" w:cs="方正仿宋_GBK"/>
          <w:color w:val="auto"/>
          <w:sz w:val="32"/>
          <w:szCs w:val="32"/>
        </w:rPr>
        <w:t>随着全球经济局势的不断变化，美国等发达经济体不断加快经济发展战略调整，在生产技术、产品质量和品牌建设等方面，我国与发达国家相比仍存在一定差距，工业发展空间受到挤压，这对全市工业产业转型升级和竞争力提升都将带来严峻挑战。</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二是国内经济发展新的挑战。</w:t>
      </w:r>
      <w:r>
        <w:rPr>
          <w:rFonts w:hint="eastAsia" w:ascii="方正仿宋_GBK" w:hAnsi="方正仿宋_GBK" w:eastAsia="方正仿宋_GBK" w:cs="方正仿宋_GBK"/>
          <w:color w:val="auto"/>
          <w:sz w:val="32"/>
          <w:szCs w:val="32"/>
        </w:rPr>
        <w:t>当前，国内经济发展形势复杂严峻，不稳定和不确定性因素依然较多，产能过剩等问题突出，工业下行压力持续增大。“十四五”期间，我国经济将从高速增长期向中高速增长期转变。从全市工业产业实际来看，结构性矛盾依然突出，高耗能行业增加值占比偏高，高技术产业增加值占比过低，大企业大集团增速放缓，重点行业增加值下滑明显。在全国经济增长放缓的大背景下，湘乡要实现超越目标，就要处在全省发展的前列，工业经济就需要保持持续较快的发展速度，这对湘乡来说是新的产业发展压力和挑战。</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三是企业创新发展的挑战。</w:t>
      </w:r>
      <w:r>
        <w:rPr>
          <w:rFonts w:hint="eastAsia" w:ascii="方正仿宋_GBK" w:hAnsi="方正仿宋_GBK" w:eastAsia="方正仿宋_GBK" w:cs="方正仿宋_GBK"/>
          <w:color w:val="auto"/>
          <w:sz w:val="32"/>
          <w:szCs w:val="32"/>
        </w:rPr>
        <w:t>创新是企业保持竞争优势，增强核心竞争力，保证企业可持续发展的动力源泉，是全市工业企业“十四五”发展的主旋律。但是，现实情况是全市工业重点企业大多数是国有企业，普遍存在体制机制不活、企业负担较重的问题，而民营企业则存在整体实力不强、人才素质不高的问题。正是这些现实问题导致全市工业企业创新资金投入偏低，企业家创新动力不足和吸纳创新人才的条件不足。同时，以信息技术、互联网技术、智能制造技术等为核心的新技术革命正在颠覆过去的经济增长模式。在复杂多变的发展环境中，湘乡工业经济能否保持稳定增长甚至走出一条创新驱动的发展道路，是湘乡市工业面临的又一大严峻挑战 。</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四是资源和环境约束带来的挑战。</w:t>
      </w:r>
      <w:r>
        <w:rPr>
          <w:rFonts w:hint="eastAsia" w:ascii="方正仿宋_GBK" w:hAnsi="方正仿宋_GBK" w:eastAsia="方正仿宋_GBK" w:cs="方正仿宋_GBK"/>
          <w:color w:val="auto"/>
          <w:sz w:val="32"/>
          <w:szCs w:val="32"/>
        </w:rPr>
        <w:t>工业发展经过多年高速增长，土地资源有限和工业发展造成的环境污染问题日益凸显。目前，湘乡市尚未摆脱高投入、高消耗、高排放的发展方式，重要资源对外依存度进一步加大，生态环境总体状况尚未得到根本改善，在全市工业产业中，高能耗重工业占比较高。大力推动绿色发展和可持续发展是“十四五”的发展方向，更高的环境要求，更严苛的条件约束，将对全市工业持续较快发展带来更大的压力和严峻的挑战。</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5" w:name="_Toc92700377"/>
      <w:r>
        <w:rPr>
          <w:rFonts w:hint="eastAsia" w:ascii="方正楷体_GBK" w:hAnsi="方正楷体_GBK" w:eastAsia="方正楷体_GBK" w:cs="方正楷体_GBK"/>
          <w:b/>
          <w:bCs/>
          <w:color w:val="auto"/>
          <w:sz w:val="32"/>
          <w:szCs w:val="32"/>
        </w:rPr>
        <w:t>（四）存在问题</w:t>
      </w:r>
      <w:bookmarkEnd w:id="5"/>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湘乡市秉承“工业强市”发展战略，近年来全市工业和产业取得了长足发展，但仍存在一些制约产业高速发展的问题，一是产业链建设成效还不突出，电工电器产业、医疗器械及先进装备产业、皮革产业等优势产业只部分生产环节具有较强的竞争力，但没有形成以领军企业为核心产业集群，产业链上下游链接不够紧密。二是企业生产要素供应偏紧，不少企业存在现金流偏紧、融资难度大、技工短缺、高素质人才引进和留住难、工业用地供应紧张等问题，尤其是中小型企业，成长速度慢，难以嵌入产业链的发展。三是产业发展配套有待进一步加强。全市产业发展重点区域市湘乡市经开区（包括红仑工业园、城西工业园和皮革工业园），目前的发展重点在红仑工业园，城西工业园正处在发展转型期，各产业园区的配套设施不完善，产业绿色循环发展、开放共享发展进程较慢。四是高新技术产业发展有待加强，湘乡市的化工产业、皮革产业等传统优势产业受环境制约优势不再突出，甚至面临淘汰，电子信息、智能制造、数字信息等产业还处于成长期，与全省先进县(市)的差距还很明显，工业经济增长潜力还有待提升。</w:t>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color w:val="auto"/>
          <w:sz w:val="32"/>
          <w:szCs w:val="32"/>
          <w:lang w:eastAsia="zh-CN"/>
        </w:rPr>
      </w:pPr>
      <w:bookmarkStart w:id="6" w:name="_Toc92700378"/>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第二章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总体要求与发展目标</w:t>
      </w:r>
      <w:bookmarkEnd w:id="6"/>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7" w:name="_Toc54561940"/>
      <w:bookmarkStart w:id="8" w:name="_Toc92700379"/>
      <w:r>
        <w:rPr>
          <w:rFonts w:hint="eastAsia" w:ascii="方正楷体_GBK" w:hAnsi="方正楷体_GBK" w:eastAsia="方正楷体_GBK" w:cs="方正楷体_GBK"/>
          <w:b/>
          <w:bCs/>
          <w:color w:val="auto"/>
          <w:sz w:val="32"/>
          <w:szCs w:val="32"/>
        </w:rPr>
        <w:t>（一）</w:t>
      </w:r>
      <w:bookmarkEnd w:id="7"/>
      <w:r>
        <w:rPr>
          <w:rFonts w:hint="eastAsia" w:ascii="方正楷体_GBK" w:hAnsi="方正楷体_GBK" w:eastAsia="方正楷体_GBK" w:cs="方正楷体_GBK"/>
          <w:b/>
          <w:bCs/>
          <w:color w:val="auto"/>
          <w:sz w:val="32"/>
          <w:szCs w:val="32"/>
        </w:rPr>
        <w:t>指导思想</w:t>
      </w:r>
      <w:bookmarkEnd w:id="8"/>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高举中国特色社会主义伟大旗帜，以习近平新时代中国特色社会主义思想为指导，全面贯彻党的十九大和十九届二中、三中、四中、五中全会精神、习近平总书记在湖南考察重要讲话和重要指示精神，坚决落实党中央和省委、省政府重大决策部署，坚持稳中求进工作总基调，落实新发展理念，深化供给侧结构性改革，紧紧围绕“三高四新”战略定位和历史任务，聚焦“四区一地一圈一强”建设，全力推进“三大进位工程”，突出抓创新、强主体、拓开放、促融合，促进产业由集聚发展向集群发展全面提升，提升产业链、供应链的稳定性和竞争力，实现集群质量变革、效率变革、动力变革，为全市经济高质量发展奠定坚实基础。</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9" w:name="_Toc92700380"/>
      <w:r>
        <w:rPr>
          <w:rFonts w:hint="eastAsia" w:ascii="方正楷体_GBK" w:hAnsi="方正楷体_GBK" w:eastAsia="方正楷体_GBK" w:cs="方正楷体_GBK"/>
          <w:b/>
          <w:bCs/>
          <w:color w:val="auto"/>
          <w:sz w:val="32"/>
          <w:szCs w:val="32"/>
        </w:rPr>
        <w:t>（二）基本原则</w:t>
      </w:r>
      <w:bookmarkEnd w:id="9"/>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——坚持开放发展原则。</w:t>
      </w:r>
      <w:r>
        <w:rPr>
          <w:rFonts w:hint="eastAsia" w:ascii="方正仿宋_GBK" w:hAnsi="方正仿宋_GBK" w:eastAsia="方正仿宋_GBK" w:cs="方正仿宋_GBK"/>
          <w:color w:val="auto"/>
          <w:sz w:val="32"/>
          <w:szCs w:val="32"/>
        </w:rPr>
        <w:t xml:space="preserve">进一步扩大对外开放，优化投资环境，重点围绕“一主两特”产业，做好招商引资项目储备，加大招商引资力度，突出招引大而强的项目、新而特的产业、小而美的企业和高精尖的人才，扩大总量，提升增量。 </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——坚持持续发展原则。</w:t>
      </w:r>
      <w:r>
        <w:rPr>
          <w:rFonts w:hint="eastAsia" w:ascii="方正仿宋_GBK" w:hAnsi="方正仿宋_GBK" w:eastAsia="方正仿宋_GBK" w:cs="方正仿宋_GBK"/>
          <w:color w:val="auto"/>
          <w:sz w:val="32"/>
          <w:szCs w:val="32"/>
        </w:rPr>
        <w:t>坚持绿色发展理念，创新发展模式，将可持续发展作为全市工业转型升级的重要方向，积极引导发展绿色制造，提高制造业资源利用效率，推进资源高效循环利用；加强节能环保技术、工艺、装备推广应用，全面推行清洁生产；大力发展循环经济、绿色经济，推进节能减排和生态环境保护，实现新型工业化与生态文明建设协调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——坚持创新发展原则。</w:t>
      </w:r>
      <w:r>
        <w:rPr>
          <w:rFonts w:hint="eastAsia" w:ascii="方正仿宋_GBK" w:hAnsi="方正仿宋_GBK" w:eastAsia="方正仿宋_GBK" w:cs="方正仿宋_GBK"/>
          <w:color w:val="auto"/>
          <w:sz w:val="32"/>
          <w:szCs w:val="32"/>
        </w:rPr>
        <w:t>充分发挥科技第一生产力和人才第一资源作用，增强自主创新能力，壮大创新人才队伍，推动产业发展向科技密集、管理创新、效益良好方向转变。强化企业技术创新主体地位，加强关键核心技术攻关，加速科技成果产业化；搭建政产学研用相结合的创新平台；支持企业围绕重点工程开展技术创新，积极创建国家、省、市级企业技术中心。</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——坚持集聚发展原则。</w:t>
      </w:r>
      <w:r>
        <w:rPr>
          <w:rFonts w:hint="eastAsia" w:ascii="方正仿宋_GBK" w:hAnsi="方正仿宋_GBK" w:eastAsia="方正仿宋_GBK" w:cs="方正仿宋_GBK"/>
          <w:color w:val="auto"/>
          <w:sz w:val="32"/>
          <w:szCs w:val="32"/>
        </w:rPr>
        <w:t>按照工业产业“园区化承载、集群化推动”的发展思路，打破地区、部门和行业界限，以工业园区为载体，以项目为支撑，统筹兼顾，合理布局。积极培育一批国内外具有竞争优势、辐射带动能力强，并能够支撑全市工业经济强劲增长的行业龙头企业。引导大企业大项目入园发展，支持中小企业集聚发展、错位发展，同时，加快园区发展建设，提高园区承载能力，形成企业在园区集聚，促进产业和企业聚集化、集约化和集群化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——坚持互利共赢原则。</w:t>
      </w:r>
      <w:r>
        <w:rPr>
          <w:rFonts w:hint="eastAsia" w:ascii="方正仿宋_GBK" w:hAnsi="方正仿宋_GBK" w:eastAsia="方正仿宋_GBK" w:cs="方正仿宋_GBK"/>
          <w:color w:val="auto"/>
          <w:sz w:val="32"/>
          <w:szCs w:val="32"/>
        </w:rPr>
        <w:t xml:space="preserve">企业与政府本着“资源共享、优势互补、相互协作、共同发展”的原则，建立密切、长期的战略合作伙伴关系，以更加开放包容的姿态，充分发挥双方各自优势，建立有效的沟通机制，在优先审批、资源共享、管理规范、信息沟通等方面进行全面合作，促进产业链上下游不断延伸，产业链上下游企业协调配合，共同促进发展。 </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——坚持市场导向、政府引导原则。</w:t>
      </w:r>
      <w:r>
        <w:rPr>
          <w:rFonts w:hint="eastAsia" w:ascii="方正仿宋_GBK" w:hAnsi="方正仿宋_GBK" w:eastAsia="方正仿宋_GBK" w:cs="方正仿宋_GBK"/>
          <w:color w:val="auto"/>
          <w:sz w:val="32"/>
          <w:szCs w:val="32"/>
        </w:rPr>
        <w:t>充分发挥市场配置资源的基础作用和企业投资主体作用，推动各类生产要素按照市场需求，优化企业资源配置，促进全市工业转型升级。针对发展中存在的问题，创新管理模式，搭建公共服务平台，积极制定和完善相关政策，为全市工业营造良好发展环境。尊重企业在工业转型升级中的主体地位，发挥好政府在促进优势产业、优势企业集中引导和推动作用，坚持大企业大集团培育与促进中小企业发展相结合，推动非公有制经济加快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0" w:name="_Toc92700381"/>
      <w:r>
        <w:rPr>
          <w:rFonts w:hint="eastAsia" w:ascii="方正楷体_GBK" w:hAnsi="方正楷体_GBK" w:eastAsia="方正楷体_GBK" w:cs="方正楷体_GBK"/>
          <w:b/>
          <w:bCs/>
          <w:color w:val="auto"/>
          <w:sz w:val="32"/>
          <w:szCs w:val="32"/>
        </w:rPr>
        <w:t>（三）发展目标</w:t>
      </w:r>
      <w:bookmarkEnd w:id="10"/>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1．总体目标：</w:t>
      </w:r>
      <w:r>
        <w:rPr>
          <w:rFonts w:hint="eastAsia" w:ascii="方正仿宋_GBK" w:hAnsi="方正仿宋_GBK" w:eastAsia="方正仿宋_GBK" w:cs="方正仿宋_GBK"/>
          <w:color w:val="auto"/>
          <w:sz w:val="32"/>
          <w:szCs w:val="32"/>
        </w:rPr>
        <w:t>到2025年，力争集群产业链产值占全市工业总产值比重65%以上。壮大产值过10亿元龙头骨干企业20家以上和做强20家小巨人等企业方阵，形成以大型骨干企业为核心、上下游产业链条完整、网络协同配套水平高、区域品牌影响大、公共服务平台完善的产业集群发展新格局。加快构建以优势产业（电工电气、医疗器械、绿色建材）为主导、战略产业（电子信息、高分子材料、氧化镁、绿色工业表面处理）为支撑、传统产业转型升级、新兴产业合理布局的产业体系。将电力产业园打造成由“电力施工”向“电力智能制造”、“电力检测检验”转变的全产业链，将电子信息产业园打造成集电子元件器、显示屏等为核心的高端节能电子产业集群，将医疗器械产业园建设成世界级医疗器械产业生产基地。</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2．技术水平：</w:t>
      </w:r>
      <w:r>
        <w:rPr>
          <w:rFonts w:hint="eastAsia" w:ascii="方正仿宋_GBK" w:hAnsi="方正仿宋_GBK" w:eastAsia="方正仿宋_GBK" w:cs="方正仿宋_GBK"/>
          <w:color w:val="auto"/>
          <w:sz w:val="32"/>
          <w:szCs w:val="32"/>
        </w:rPr>
        <w:t>到2025年，争取产业集群核心企业都要建立省级技术中心或工程研发中心，具备条件的要争创国家级技术中心，努力提高自主创新能力。核心企业70%的生产设备达到国内先进水平，重点骨干企业生产设备更新度超过50%，努力提高技术装备水平。集群内重点骨干企业全部建立起现代企业制度，全面推广现代化管理手段，60%以上企业基本实现信息化管理，努力提升现代化管理水平。工业项目全部符合国家环保政策规定，安全排放达到国家标准，75%以上企业通过IS014001环境管理体系认证，努力实现清洁生产。力争5个左右重点产品国内市场占有率居全国同类产品前列，逐步建立与国际标准相适应的生产体系，融入全球采购、配套销售体系。</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color w:val="auto"/>
          <w:sz w:val="32"/>
          <w:szCs w:val="32"/>
        </w:rPr>
      </w:pPr>
      <w:bookmarkStart w:id="11" w:name="_Toc92700382"/>
      <w:r>
        <w:rPr>
          <w:rFonts w:hint="eastAsia" w:ascii="黑体" w:hAnsi="黑体" w:eastAsia="黑体" w:cs="黑体"/>
          <w:color w:val="auto"/>
          <w:sz w:val="32"/>
          <w:szCs w:val="32"/>
          <w:lang w:eastAsia="zh-CN"/>
        </w:rPr>
        <w:t>第三章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空间布局与产业规划</w:t>
      </w:r>
      <w:bookmarkEnd w:id="11"/>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2" w:name="_Toc92700383"/>
      <w:r>
        <w:rPr>
          <w:rFonts w:hint="eastAsia" w:ascii="方正楷体_GBK" w:hAnsi="方正楷体_GBK" w:eastAsia="方正楷体_GBK" w:cs="方正楷体_GBK"/>
          <w:b/>
          <w:bCs/>
          <w:color w:val="auto"/>
          <w:sz w:val="32"/>
          <w:szCs w:val="32"/>
        </w:rPr>
        <w:t>（一）产业空间布局</w:t>
      </w:r>
      <w:bookmarkEnd w:id="12"/>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根据产业发展资源禀赋、区位优势、未来定位和环境承载能力，“十四五”期间，湘乡市优势特色产业按照“一核心三片区”的空间结构布局。</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核心”即以湘乡经济开发区为重点的新兴优势产业发展核心区，核心区主要依托红仑工业园、城西工业区、皮革工业园，实现以点带面，辐射带动泉塘镇、东郊镇、龙洞镇。核心区的发展定位是建设成湘乡市产业发展的集聚区。在湖南省打造国家重要先进制造业高地和湘潭打造国家重要智能制造集聚区发展定位指引下，确立打造国家级园区的奋斗目标，落实湘潭打造13条工业新兴优势产业链的要求，重点推进以电工电气和电子信息主导、以医疗器械、绿色建材和循环经济为特色的“一主两特”产业新体系建设。</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“三片区”即以先进装备制造为主的金石工业片区、以绿色建材产业为主的棋梓工业片区、以电子信息产业为主的虞唐工业片区。三个片区根据产业发展基础与未来发展规划，精确定位。</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金石工业片区规划至2025年建成城乡一体化发展示范乡镇，提升产业层次，引进10-20家企业，打造成对接长沙经济桥头堡和城乡统筹发展的新区，将其作为“飞地型”园区来发展。以机械装备制造业为主导，发展新型材料和绿色食品加工等，限制高污染高能耗企业入园，规划建设为集工业、商贸、物流、养生、居住为一体的新型工业片区。</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棋梓工业片区发展定位是湘乡市工业发展次中心，联动对接中心城区发展，与经开区共同建设绿色建材产业链，以绿色建材产业转型升级为主导，打造全省重要的绿色建材产业示范基地。重点推进韶峰南方绿色建材产业园建设，协同强化对市域西部城镇的辐射影响力。</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虞唐工业片区发展定位是电子信息为主导的新兴工业小区。主要发展电子信息产业、制造业。依托湖南省金河计算机科技有限公司，积极引导企业与科研院所合作，引进先进生产设备和技术。推动橡胶制品、金属零件、家具制造智能化改造和产业转型提升。</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3" w:name="_Toc92700384"/>
      <w:r>
        <w:rPr>
          <w:rFonts w:hint="eastAsia" w:ascii="方正楷体_GBK" w:hAnsi="方正楷体_GBK" w:eastAsia="方正楷体_GBK" w:cs="方正楷体_GBK"/>
          <w:b/>
          <w:bCs/>
          <w:color w:val="auto"/>
          <w:sz w:val="32"/>
          <w:szCs w:val="32"/>
        </w:rPr>
        <w:t>（二）做大做强优势产业</w:t>
      </w:r>
      <w:bookmarkEnd w:id="13"/>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持续实施大企业大集团战略，积极应用高新技术、先进适用技术、信息化技术和“互联网+”，引导全市优势产业向产业链的高端延伸拓展，增加产品技术含量，提高产品附加值，促进主导产业做强做优。</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cs="方正仿宋_GBK"/>
          <w:b/>
          <w:bCs/>
          <w:color w:val="auto"/>
          <w:sz w:val="32"/>
          <w:szCs w:val="32"/>
          <w:lang w:val="en-US" w:eastAsia="zh-CN"/>
        </w:rPr>
        <w:t xml:space="preserve">1. </w:t>
      </w:r>
      <w:r>
        <w:rPr>
          <w:rFonts w:hint="eastAsia" w:ascii="方正仿宋_GBK" w:hAnsi="方正仿宋_GBK" w:eastAsia="方正仿宋_GBK" w:cs="方正仿宋_GBK"/>
          <w:b/>
          <w:bCs/>
          <w:color w:val="auto"/>
          <w:sz w:val="32"/>
          <w:szCs w:val="32"/>
          <w:lang w:eastAsia="zh-CN"/>
        </w:rPr>
        <w:t>电力</w:t>
      </w:r>
      <w:r>
        <w:rPr>
          <w:rFonts w:hint="eastAsia" w:ascii="方正仿宋_GBK" w:hAnsi="方正仿宋_GBK" w:eastAsia="方正仿宋_GBK" w:cs="方正仿宋_GBK"/>
          <w:b/>
          <w:bCs/>
          <w:color w:val="auto"/>
          <w:sz w:val="32"/>
          <w:szCs w:val="32"/>
        </w:rPr>
        <w:t>电工电气产业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打造全国电工电器服务型制造产业示范基地，建设湖南省最大的电子器件产业中心。到2025年，电工电器产业链产值达130亿元，引进培育2家产值超过10亿元龙头企业，打造2家全国电工电器供应链创新与应用试点企业，培育3-5家终端产品制造型龙头骨干企业，引导现有成长性较好的电子电器企业向经开区电力科技产业园集中，重点企业竞争优势更加突出，中小企业配套能力显著增强，产品结构不断优化，产业链条不断完善，争取经开区引进入园企业60家以上，形成电工电器产业集群。开发智能装备、智能产品5-10项。</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依托电力产业园、湖南电器检测所、深思电工、湘高电器、京湘磁业等骨干企业，充分发挥“电力湘军”与本土电工电器制造的协同效应，做大做强输变电及终端产品等优势领域，以提升低/高压开关、插座、变压器、断路器、开关柜等输变电及配电设备产品质量为重点，着力推进“服务+制造”模式创新。二是延长稳定产业链，加强产业上下游企业招商引资力度，积极引进以铜为主的有色金属行业、以PC料和PP料为主的塑料行业、电子元器件行业、新型材料（高温超导材料、绝缘材料）产业等产业链上游端相关企业，加强电力金具、互感器、继电器、电源、水电机组、风电机组、光伏机组、控制设备、LED照明、数码配件等配套及应用端产品引进与开发力度。吸引粤港澳大湾区、长三角地区的输变电及配电设备、电力终端设备、电力施工等企业入驻，引进智光电气、天顺风能等企业，组织本地制造企业对接长株潭整机龙头企业，培育终端产品制造型龙头骨干企业。三是加大品牌营销，支持深思电工上市，扩大深思电工品牌影响力，推广湘乡电工电器区域品牌，做好品牌营销与产品宣传。四是建立产学研基地，加大整机制造技术研发力度。鼓励深思电工、湘高电器等骨干企业加大研发力度，突破关键技术加强与国防科技大学、中南大学等高校院所技术合作，推进节能型电气、互联网、信息处理、智能控制、物联网等新技术的开发应用，提高现有产品的科技含量，实现产品精细化、高端化，提升产品附加值，扩大市场占有率。</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2．电子信息产业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形成湘乡市电子信息产业链，成为湘潭市电子信息和新一代信息技术产业链的重要环节。到2025年，电子信息产业链产值达到500亿元。引进50家以上电子信息企业，形成产值过10亿元的企业5家，鼓励支持振添光学成功上市。</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加快电子信息产业园建设，促进电子信息产业技术创新与发展，推进维泰科技创新产业园项目实施，积极对接湘潭市电子信息和新一代信息技术产业链，加速传统电子信息产业向智能化转型。二是支持振添光学加大科研投入力度，建设安防监控和智能电子光学玻璃的光学检测中心、研发设计中心、试制实验中心等中心，打造具备高水平的集光学检测、产品试制、技术研发于一体的安防监控和智能电子光学玻璃公共服务平台，支持振添光学上市。三是依托湘君电子、华芯制造、恒泽光电等骨干企业，加快研制生产电子汽车、医疗电子、智能感知等领域的专用电子元器件、集成电路，以通讯产品、电子信息产品制造为基础，拓展智能传感、智能工控系统、液晶板、机器人、数字视听、新型元器件等核心技术产业和智能装备系统；加快电子信息产业与农业、医疗、交通、能源、金融、安防等行业领域的融合。四是围绕集成电路及芯片、计算机产品、手机及消费性电子终端等重点环节和产品，开展招商引资，引进深圳安防协会、无人机协会入驻湘乡，补齐产业链关键空白。</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3．医疗器械产业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实现医疗器械（植入、介入器械）全国领先水平，建设世界级医疗器械产业生产基地。到2025年，医疗器械及先进装备产业链产值达到220亿元，医疗器械形成产值超过20亿元龙头企业1家、产值超过10亿元骨干企业1家；先进装备形成产值超过10亿元骨干企业5家以上。新建省级工程（技术）研究中心、国家重点（工程）实验室以及公共服务平台2个以上；突破5项以上关键技术和核心部件，形成核心发明专利10项以上；获得三类医疗器械注册证书5件以上。形成医疗器械与先进装备产业集群。</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对接湘潭九华医疗器械产业园，深度嵌入湘潭市高端医疗器械及生物医药产业链建设，抢抓新形势下医疗器械发展机遇，依托埃普特、湖南依微迪等龙头企业，以发展心脏医疗器械、冠脉医疗器械等产品为主攻点，做精做优高性能医疗器械及高值医用耗材，着力推动医疗器械高端化、高值化发展。二是建设中部介入医疗器械生产和研发中心，鼓励企业与国内高校进行合作创新，建立产学研基地，突破技术瓶颈，实现技术成果共享，加快医疗器械工业共性技术和基础技术的研究开发，加快产品的更新换代和生产技术现代化，促进产品实现快速更新换代。三是吸引和孵化粤港澳大湾区及长三角地区的介入、植入医疗器材等创新创业企业项目，鼓励引进微创医疗、乐普医疗、广东冠昊生物等骨干企业，形成医疗器械产业集聚，寻求国内合作商，稳定医疗器械材料进口源，积极引进医疗器械材料生产企业，保证供应链的稳定性。四是加</w:t>
      </w:r>
      <w:r>
        <w:rPr>
          <w:rFonts w:hint="eastAsia" w:cs="方正仿宋_GBK"/>
          <w:color w:val="auto"/>
          <w:sz w:val="32"/>
          <w:szCs w:val="32"/>
          <w:lang w:eastAsia="zh-CN"/>
        </w:rPr>
        <w:t>大</w:t>
      </w:r>
      <w:r>
        <w:rPr>
          <w:rFonts w:hint="eastAsia" w:ascii="方正仿宋_GBK" w:hAnsi="方正仿宋_GBK" w:eastAsia="方正仿宋_GBK" w:cs="方正仿宋_GBK"/>
          <w:color w:val="auto"/>
          <w:sz w:val="32"/>
          <w:szCs w:val="32"/>
        </w:rPr>
        <w:t>技术研发力度，促进高端医用耗材、生物3D打印、高性能诊疗设备等新领域新技术研发与应用，支持企业对现有生产线提质升级，引进数字化、自动化、智能化生产设备，开发智能制造。五是依托鼎峰机械、三联环保科技、强联铁路机械、万龙机械等龙头企业以技术突破和产品创新带动装备制造业提质增效升级，大力发展先进装备制造业，重点推动环保除尘设备、精密铸造、高技术电镀等优势领域智能化升级。六是推动先进装备产业链向两端不断深化，大力发展钢铁、有色金属等原材料优势产业，着重发展基础、核心与专用零部件加工，延伸壮大先进轨道牵引装备及车辆配件、节能型工程机械、新型输送机物流机械，积极引进机械配件及整成类企业，稳步提升先进制造技术及整机制造能力。加大航空机械装备产品研发，提高智慧制造水平。</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4．绿色建材产业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打造全省绿色建材产业示范基地，发展成为湘潭市最大的新型绿色建材产业集群。到2025年，绿色建材产业链产值达到100亿元，形成产值过10亿元的企业1家，培育5家以上省级绿色建材知名企业，创建2家省级绿色工厂，开发10-20个绿色产品。</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lang w:eastAsia="zh-CN"/>
        </w:rPr>
        <w:t>一是</w:t>
      </w:r>
      <w:r>
        <w:rPr>
          <w:rFonts w:hint="eastAsia" w:ascii="方正仿宋_GBK" w:hAnsi="方正仿宋_GBK" w:eastAsia="方正仿宋_GBK" w:cs="方正仿宋_GBK"/>
          <w:color w:val="auto"/>
          <w:sz w:val="32"/>
          <w:szCs w:val="32"/>
        </w:rPr>
        <w:t>依托棋梓镇独特的资源优势和韶峰南方绿色建材、巨强科技等骨干企业，加快创新性建筑材料的研发、技改和推广示范应用，重点发展绿色建材，提升建材产品档次和质量，加快发展水泥、混凝土外加剂、高性能混凝土制品等绿色节能建材产品。二是以高性能、绿色化为主攻方向，积极发展废旧资源综合利用、新型绿色建材、新型复合材料。加快先进技术装备和产品的推广应用，推动尾矿、煤矸石、冶金渣等大宗固废的综合利用，推动专用水泥、高性能混凝土制品、新型材料等绿色化升级。三是支持绿色建材企业加快新型墙体材料、耐火材料研发，引进国统股份、青龙管业等绿色环保材料企业，与远大住工、三能房屋等装配式建筑龙头骨干企业进行人才、技术的交流与合作，加强水泥预制品、砌块、板材、石膏板和卷材等装配式建筑部品开发。积极发展配套装配式内外墙体系统、结构与保温一体化系统、高性能门窗系统和屋面遮阳系统等。以加气混凝土板材为突破口，延伸发展各类复合保温、预埋管线等单元体墙体。提高低能耗被动式住宅围护部品系统解决方案提供能力。加强适用于新型墙体材料的专用施工机具、配件、高性能防水嵌缝密封材料、专用砂浆等产品的研发与配套。四是承接粤港澳及长株潭绿色建材产业转移，依托金联建材、嘉寓门窗等骨干企业，对接玻璃深加工产业，发展高效节能门窗及系统门窗。延伸发展保温隔热材料、防水密闭材料、空气净化材料、种植屋面、热反射屋面、通风屋面、保温防水一体化柔性屋面等具有绿色功能屋面系统。</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5．循环经济产业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打造省级资源综合利用产业示范基地。到2025年，资源利用效率大幅度提高，清洁能源使用比例大幅提升，能源资源消耗明显降低，废弃物排放量显著减少，基本形成资源节约型、清洁生产型、生态环保型的循环型工业体系框架。产业链产值争取突破50亿元，形成产值过10亿元的企业1家以上，产值过20亿元的企业1家；支持巨强科技认证为智能制造企业。形成5家省级绿色工厂，开发10个以上绿色产品。</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强化科技攻关，加快资源循环利用，支持巨强科技与燕山大学合作研发玻璃生产线自动化检测项目，建立产学研基地，发挥成果共享作用，带动上下游产业链的智能升级。鼓励企业与环嘉集团等再生资源行业龙头企业进行合作交流，支持企业突破再生材料分离及制造技术。二是依托巨强科技、绿营环保、中节能、垃圾处理厂等骨干企业，推进垃圾焚烧发电项目，重点做大再生玻璃制品、废弃物油再生油品、再生塑料制品、高端塑料包装材料等新兴领域产业规模；延伸发展光伏玻璃、压延玻璃、微晶板材、食品包装等深加工产品及再制造产品。三是加大赤泥、碱渣等大宗固废减量与循环综合利用技术开发，推动以废弃物综合利用为主的资源循环利用产业链跃升。四是发挥各类固体废弃物资源化利用和处理设施的协同效应，加强能源、水资源和固废处理设施的一体化建设，构建以“资源→产品→再生资源”为特征的资源循环利用发展模式，吸引再生资源深加工、资源能源利用率高的核心企业入驻，通过物质无限循环、转化、增值带动经济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4" w:name="_Toc92700385"/>
      <w:r>
        <w:rPr>
          <w:rFonts w:hint="eastAsia" w:ascii="方正楷体_GBK" w:hAnsi="方正楷体_GBK" w:eastAsia="方正楷体_GBK" w:cs="方正楷体_GBK"/>
          <w:b/>
          <w:bCs/>
          <w:color w:val="auto"/>
          <w:sz w:val="32"/>
          <w:szCs w:val="32"/>
        </w:rPr>
        <w:t>（三）做强做精</w:t>
      </w:r>
      <w:r>
        <w:rPr>
          <w:rFonts w:hint="eastAsia" w:ascii="方正楷体_GBK" w:hAnsi="方正楷体_GBK" w:eastAsia="方正楷体_GBK" w:cs="方正楷体_GBK"/>
          <w:b/>
          <w:bCs/>
          <w:color w:val="auto"/>
          <w:sz w:val="32"/>
          <w:szCs w:val="32"/>
          <w:lang w:eastAsia="zh-CN"/>
        </w:rPr>
        <w:t>传统</w:t>
      </w:r>
      <w:r>
        <w:rPr>
          <w:rFonts w:hint="eastAsia" w:ascii="方正楷体_GBK" w:hAnsi="方正楷体_GBK" w:eastAsia="方正楷体_GBK" w:cs="方正楷体_GBK"/>
          <w:b/>
          <w:bCs/>
          <w:color w:val="auto"/>
          <w:sz w:val="32"/>
          <w:szCs w:val="32"/>
        </w:rPr>
        <w:t>产业</w:t>
      </w:r>
      <w:bookmarkEnd w:id="14"/>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坚持以推动技术进步和清洁生产为抓手，改造提升特色产业。支持企业开展创新能力建设，进行重大设备更新改造和重大技术创新，大力推广使用新工艺新技术，鼓励企业实施节能技术改造，推广清洁生产、合同能源管理以及资源综合利用。引导企业不断加强技术革新，降低生产成本，推动企业走内涵式发展道路，切实提高特色产业的可持续发展能力。</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1.</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皮革深加工产业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将东郊皮革产业园打造成具有地方特色的皮革及其制品深加工、符合循环经济发展模式的新型制革基地，建成中南地区最大的皮革产业基地和出口基地，打造国家级传统外贸产业转型升级基地。到2025年，皮革深加工产业链产值达到150亿元，形成产值过10亿元的企业1家，产值过20亿元的企业1家。创建皮革制品知名品牌2个以上。</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大力推动制革技术的改革创新，推广绿色制造工艺，推动生产线清洁化运行，降低对环境的污染程度，促使整个制革产业朝生态生产方向进行技改升级。支持洁源生物污泥综合处理提质改造项目实施，加大污泥处理技术研发及推广服务，减低生产环境压力。二是向前延伸产业链，充分发挥湘乡市生猪养殖大县资源优势，对接畜牧业、皮革化工、皮革机械、皮革五金、辅料等配套行业，吸引企业向皮革工业园集聚。三是依托怀其皮革集团、金子箱包等龙头企业开发皮革深加工，丰富产品品种，延伸产业链。在充分开发二层革、三层革的基础上提高高档头层革产品比例，深度利用原料皮开发制鞋、皮衣、皮件等高附加值皮革制品，大力发展生产仿鳄鱼皮等仿制革品，提升产品科技含量和附加值，提升皮革产业园区核心竞争力，构建皮革制造产业集群。</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2.</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智能铸造产业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将湘乡市建设成为铸造业智能升级示范基地。到2025年，智能铸造产业链产值达到50亿元，形成产值过10亿元的企业1家。</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一是加强自主创新，加大铸造企业的重组和结构调整。依托</w:t>
      </w:r>
      <w:r>
        <w:rPr>
          <w:rFonts w:hint="eastAsia" w:cs="方正仿宋_GBK"/>
          <w:color w:val="auto"/>
          <w:sz w:val="32"/>
          <w:szCs w:val="32"/>
          <w:lang w:eastAsia="zh-CN"/>
        </w:rPr>
        <w:t>忠心</w:t>
      </w:r>
      <w:r>
        <w:rPr>
          <w:rFonts w:hint="eastAsia" w:ascii="方正仿宋_GBK" w:hAnsi="方正仿宋_GBK" w:eastAsia="方正仿宋_GBK" w:cs="方正仿宋_GBK"/>
          <w:color w:val="auto"/>
          <w:sz w:val="32"/>
          <w:szCs w:val="32"/>
        </w:rPr>
        <w:t>铸造、</w:t>
      </w:r>
      <w:r>
        <w:rPr>
          <w:rFonts w:hint="eastAsia" w:cs="方正仿宋_GBK"/>
          <w:color w:val="auto"/>
          <w:sz w:val="32"/>
          <w:szCs w:val="32"/>
          <w:lang w:eastAsia="zh-CN"/>
        </w:rPr>
        <w:t>新曙光</w:t>
      </w:r>
      <w:r>
        <w:rPr>
          <w:rFonts w:hint="eastAsia" w:ascii="方正仿宋_GBK" w:hAnsi="方正仿宋_GBK" w:eastAsia="方正仿宋_GBK" w:cs="方正仿宋_GBK"/>
          <w:color w:val="auto"/>
          <w:sz w:val="32"/>
          <w:szCs w:val="32"/>
        </w:rPr>
        <w:t>铸造等企业，改进传统铸造工艺，向数控化、自动化、智能化、机械化方向挺进。二是以发展精密铸造为导向，增加精密铸造产品引进与研发，加强与生铁、焦炭、内燃机、石油钻采设备、空气压缩机、机车配件等行业对接，重点升级生产设备与铸造工艺，提升产品品质，发展高附加值的铸造产品，促进产业升级。</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3.</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化工产业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将城西老工业区建设成高效、环保、绿色发展的“湘乡绿色化工园</w:t>
      </w:r>
      <w:r>
        <w:rPr>
          <w:rFonts w:hint="eastAsia" w:ascii="方正仿宋_GBK" w:hAnsi="方正仿宋_GBK" w:eastAsia="方正仿宋_GBK" w:cs="方正仿宋_GBK"/>
          <w:color w:val="auto"/>
          <w:sz w:val="32"/>
          <w:szCs w:val="32"/>
          <w:lang w:eastAsia="zh-CN"/>
        </w:rPr>
        <w:t>区</w:t>
      </w:r>
      <w:r>
        <w:rPr>
          <w:rFonts w:hint="eastAsia" w:ascii="方正仿宋_GBK" w:hAnsi="方正仿宋_GBK" w:eastAsia="方正仿宋_GBK" w:cs="方正仿宋_GBK"/>
          <w:color w:val="auto"/>
          <w:sz w:val="32"/>
          <w:szCs w:val="32"/>
        </w:rPr>
        <w:t>”，将“湘乡绿色化工园</w:t>
      </w:r>
      <w:r>
        <w:rPr>
          <w:rFonts w:hint="eastAsia" w:ascii="方正仿宋_GBK" w:hAnsi="方正仿宋_GBK" w:eastAsia="方正仿宋_GBK" w:cs="方正仿宋_GBK"/>
          <w:color w:val="auto"/>
          <w:sz w:val="32"/>
          <w:szCs w:val="32"/>
          <w:lang w:eastAsia="zh-CN"/>
        </w:rPr>
        <w:t>区</w:t>
      </w:r>
      <w:r>
        <w:rPr>
          <w:rFonts w:hint="eastAsia" w:ascii="方正仿宋_GBK" w:hAnsi="方正仿宋_GBK" w:eastAsia="方正仿宋_GBK" w:cs="方正仿宋_GBK"/>
          <w:color w:val="auto"/>
          <w:sz w:val="32"/>
          <w:szCs w:val="32"/>
        </w:rPr>
        <w:t>”打造成湖南省化工产业的绿色发展名片。到2025年，恢复城西老工业片区生产活力，化工产业链产值达到110亿元，引导成长性较好的化工企业向园区集中，形成产值过10亿元的企业2家以上，增加企业竞争优势。产品结构不断优化，生产技术逐步提升，申请技术专利、打造产品知名品牌5-10项。</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加速产业结构调整和转型升级，以五矿铁合金的转型升级为契机，积极带动东方冶金炉料、鹏辉冶金、泰和冶金等企业的提质增效。依托湘潭碱业、五矿铁合金、湖南开门子肥业、湖南有色湘乡氧化学等企业，以绿色为导向，攻克环保技术瓶颈制约，促进化工产业工艺、装备、集成度和智能化水平的提高，实现从“末端治理”向“生产全过程控制”的转变，形成特色鲜明的绿色发展的新型化工产业。二是加快化工产业现代化生产工程建设，研发化工产业无人车间和机器人生产，积极探索管控一体化、操作无人化、服务网络化的完整体系。三是按照全产业链发展模式，促进化工产业逐步向上游原料和下游市场靠拢，有计划的引进烯烃、三酸两碱、聚合物、合成纤维、基因工程、生物工程等上下游相关企业，不断完善并延长产业链。四是提升自主创新能力，不断提升产业结构层次，集中力量，加大投入，新型化工产品开发力度，以满足能源、交通、建筑、医药、信息产业等主要下游行业对化工产业新产品、新性能、新应用的要求，促进一般化学工业向化工新能源、化工新材料、高技术精细化学品等高端化学工业转变，大力探索以生物技术为基础的精细与专用化学品，实现化工与生命科学、制药、农业、可再生资源及环境工程的交叉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5" w:name="_Toc92186637"/>
      <w:bookmarkStart w:id="16" w:name="_Toc92700386"/>
      <w:r>
        <w:rPr>
          <w:rFonts w:hint="eastAsia" w:ascii="方正楷体_GBK" w:hAnsi="方正楷体_GBK" w:eastAsia="方正楷体_GBK" w:cs="方正楷体_GBK"/>
          <w:b/>
          <w:bCs/>
          <w:color w:val="auto"/>
          <w:sz w:val="32"/>
          <w:szCs w:val="32"/>
        </w:rPr>
        <w:t>（四）布局培育未来产业</w:t>
      </w:r>
      <w:bookmarkEnd w:id="15"/>
      <w:bookmarkEnd w:id="16"/>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抢抓新兴产业发展的重大机遇，充分利用现有基础和潜在优势，围绕新一代信息技术与生产性服务领域，坚持市场主导、创新引领、重点突破、园区承载，积极引导人才、资金、土地等资源要素向战略性新兴产业集聚，积极布局数字创意、无人机、医疗康养等产业，强化科技创新，重点建设和完善产业链，使之成为牵引全市经济健康快速发展的新引擎。</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1.</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数字创意产业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将数字创意产业培育成湘乡市战略性新兴产业之一。到2025年，初步构建文化引领、技术先进、形成链条的数字创意产业发展新格局。</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以数字创意全产业发展为目标，在现有产业基础上，重点发展云服务器、5G应用、动漫、游戏（含电竞）、数字文化装备、网络文化产品、数字展示等产业体系的核心层，逐步开拓影视、创意设计、数字出版、数字艺术、演艺娱乐、文化软件以及智能制造、智能语言、三维打印、高端印刷、数字教育、机器人等相关层与外围层产业。二是丰富数字文化创意产业内容和形式，通过鼓励全民创意、创作联动等新方式，挖掘湘乡市优秀文化资源，激发文化创意，适应互联网、4K、5K电视传播特点，创作优质、多样、个性化的数字创意内容产品，探索新的富有湘乡特色的模式，发现和培育文化创意数字产业新的增长点。三是构建服务于城市与产业发展的双重支撑体系，积极引进数字产业高端人才，设立数字产业研究机构，完善人才供需对接机制与生活保障，做好湘乡市数字创意产业引才育才聚才留才工作，为数字创意产业发展奠定基础，积极完善配套设施建设，营造企业良好发展环境，加快建设生活服务配套，满足产业发展对生活及生产服务配套需求。四是推进相关产业融合发展，数字创意产业本就是融合发展产业，未来要促进与互联网、科技、金融、体育、新媒体、旅游、工业、服务业等领域的交叉融合发展延长传统产业的产业链，提升产业附加值与竞争力，积极扶持相关新兴业态发展，推进数字创意产业体系建设。</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2.</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无人机产业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构建集研发、试飞、关键零部件制造、系统集成、整机组装、展示展销及售后于一体的军民两用无人机完整产业链，进一步优化湘乡市航空制造业水平，成为提升航空产业综合竞争力的新引擎。将无人机产业培育成湘乡市战略性新兴产业之一。到2025年，无人机产业园初具规模，一期工程全面竣工，全产业链年产值达60亿元，初步构建起技术先进、服务创新、形成链条的无人机产业发展新格局。</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积极引进无人机相关载荷、零部件制作、配套系统开发、无人机研发、整机组装与服务等上下游企业，构建完整无人机产业链；二是加强核心技术研发，提升产品性能，加强无线充电、视觉避障、手势控制、5G通讯、集成芯片等关键技术的突破，加大集无线通信、传感器集成和空间定位等功能于一体的高性能芯片研发力度，提升无人机产品性能；三是横向拓展产业链，注重产业服务向售后维修、技术指导、保险服务等售后环节发展，提供数据采集、机手培训、农林植保、巡检、测绘等特色作业服务，进一步向专业化、数据化方向发展，为下游行业客户提供精准、专业的数据解决方案，以“研发试验+生产制造+整机销售+作业服务+数据方案”的商业模式打造竞争优势；四是加强与数字创意产业融合发展，推动人工智能、虚拟现实等前沿技术与无人机的深度融合，利用VR技术为用户提供虚拟现实视角下新的操作体验。</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3.</w:t>
      </w:r>
      <w:r>
        <w:rPr>
          <w:rFonts w:hint="eastAsia"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医疗康养产业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发展定位与目标：</w:t>
      </w:r>
      <w:r>
        <w:rPr>
          <w:rFonts w:hint="eastAsia" w:ascii="方正仿宋_GBK" w:hAnsi="方正仿宋_GBK" w:eastAsia="方正仿宋_GBK" w:cs="方正仿宋_GBK"/>
          <w:color w:val="auto"/>
          <w:sz w:val="32"/>
          <w:szCs w:val="32"/>
        </w:rPr>
        <w:t>深入实施“健康中国”战略，有效满足人民群众全方位、全生命周期健康需求，塑造长株潭地区健康城市典范，深入对接《湖南省中药材产业发展规划（2020-2025年）》，将湘乡市打造成中药材种植基地示范县。到2025年，医疗康养产业初具规模，产业链条初步构建，建成湘乡医康养一体化中心，建设医疗康养小镇1个。</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发展重点：</w:t>
      </w:r>
      <w:r>
        <w:rPr>
          <w:rFonts w:hint="eastAsia" w:ascii="方正仿宋_GBK" w:hAnsi="方正仿宋_GBK" w:eastAsia="方正仿宋_GBK" w:cs="方正仿宋_GBK"/>
          <w:color w:val="auto"/>
          <w:sz w:val="32"/>
          <w:szCs w:val="32"/>
        </w:rPr>
        <w:t>一是提升医疗服务水平，全面推进医疗卫生体系城乡一体化建设，建立健全以基本医疗卫生制度和分级诊疗制度为主体的紧密型医共体运行与管理制度体系，形成完善的市、乡、村三级医疗卫生服务体系，加快优质医疗资源扩容和区域均衡布局，打造城镇“15分钟医疗服务圈”和农村“30分钟就医便利圈”。二是强化科技支撑，培育专科专院，升级健康医疗服务，培育一批优势明显的产业领军人才，造就一批懂科研、能生产、产研结合的骨干人才，配置中医医生与技师，激发医疗市场主体创新活力。三是拓展现代康养领域，突出“防未病、治已病”，打造“健康+”产业体系，加强智慧中医药调节中心、中医馆、诊疹设备、特殊病种医药配送等配套服务建设。加快中药材标准化种植、精深加工和综合开发利用等领域建设，依托中药资源种养基地、中药材文化主题园以及涟水河、水府庙水库、茅浒水乡、东台山国家森林公园、褒忠山等自然资源，发展特色康复服务，建设水府生态“健康+”示范片区，推进医康养一体化中心建设，构建医疗健康养老特色小镇，打造湘乡特色的山水生态康养品牌。四是融入健康生活理念，塑造健康城市典范。提升全市宜居品质，打造绿色城市，加大城乡环境卫生综合整治力度，强化治霾、治污等环境治理成效。打造低碳生态社区，构建绿色低碳的城市交通体系，积极应用物联网、云计算、移动互联网等新一代信息技术推进新型智慧城市建设。</w:t>
      </w:r>
    </w:p>
    <w:p>
      <w:pPr>
        <w:pStyle w:val="2"/>
        <w:rPr>
          <w:rFonts w:hint="eastAsia"/>
          <w:color w:val="auto"/>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b w:val="0"/>
          <w:bCs w:val="0"/>
          <w:color w:val="auto"/>
          <w:sz w:val="32"/>
          <w:szCs w:val="32"/>
        </w:rPr>
      </w:pPr>
      <w:bookmarkStart w:id="17" w:name="_Toc92700387"/>
      <w:r>
        <w:rPr>
          <w:rFonts w:hint="eastAsia" w:ascii="黑体" w:hAnsi="黑体" w:eastAsia="黑体" w:cs="黑体"/>
          <w:b w:val="0"/>
          <w:bCs w:val="0"/>
          <w:color w:val="auto"/>
          <w:sz w:val="32"/>
          <w:szCs w:val="32"/>
          <w:lang w:eastAsia="zh-CN"/>
        </w:rPr>
        <w:t>第四章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重点任务</w:t>
      </w:r>
      <w:bookmarkEnd w:id="17"/>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坚持问题和目标导向，突出重点，精准施策，着力实施创新能力提升、园区承载力夯实、双招双引强链、智能制造升级、企业主体培育、质量品牌建设、重点项目推进等7个专项工程。</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8" w:name="_Toc92700388"/>
      <w:r>
        <w:rPr>
          <w:rFonts w:hint="eastAsia" w:ascii="方正楷体_GBK" w:hAnsi="方正楷体_GBK" w:eastAsia="方正楷体_GBK" w:cs="方正楷体_GBK"/>
          <w:b/>
          <w:bCs/>
          <w:color w:val="auto"/>
          <w:sz w:val="32"/>
          <w:szCs w:val="32"/>
        </w:rPr>
        <w:t>（一）创新能力提升工程</w:t>
      </w:r>
      <w:bookmarkEnd w:id="18"/>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利用湘乡创新创业园等现有基础，积极推动创业苗圃、创业孵化器、企业加速器等科技孵化基地建设；围绕增强产业核心竞争力，筹划设立湘乡科技成果转化中心，促进工程技术研究中心、企业技术中心、科技企业孵化器等平台提质。加快培育 “一企一技术”研发中心、工程实验室等重大创新平台。引进创投机构、行业协会等社会力量，形成涵盖项目发现、团队构建、投资对接、商业加速、后续支撑的全过程孵化链条。</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鼓励企业创新平台建设，充分发挥企业创新主体作用，积极对接国内外高水平大学和科研机构，加快构建政产学研金服用为一体的技术创新体系。引导电子电器产业、医疗器械及先进等重点发展领域企业通过自主创新、引进消化吸收再创新，加速突破一批对产业和应用具有重大带动和战略引领作用的标志性高端装备，研制一批首台(套)重大技术装备及关键核心零部件，培育一批自主创新示范企业。加强创新创业环境建设，不断提升科技服务能力，争创国家级双创平台、科技企业孵化孵化器、众创空间。至2025年，研发经费投入占GDP比重达3%、高新技术产业增加值占GDP比重超过30%。</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完善科技研发投入机制，进一步加大政府投入，落实企业研发费用加计扣除、高新技术企业减免税等优惠政策，对承接国家、省、市级创新平台（工程技术研究中心、重点实验室、工程研究中心、企业技术中心）的企业，考虑给予不同额度实验设备购置资金支持。引导企业建立研发准备金制度，增强企业研发投入能力。健全创新成果和科技人员奖励制度，激发企业和科研人员创新积极性，全面提升高端装备创新能力。推动新技术新产品加速产业化，加快形成一批领跑行业的重大技术装备。</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4．深化创新平台服务能力，引入第三方机构协助开展培训指导服务，为小微创业企业提供政策咨询、创业培训等创业扶持服务；为大中型企业申报各级企业技术中心、工程（技术）研究中心、重点（工程）实验室等提供政策宣传、申报指导等服务；培养一支创新创业服务专业人才队伍。鼓励骨干企业联合建设产品质量检验检测中心、中试中心等，建立检验检测仪器设备共建共享机制。积极为企业客户提供专业的实验、检测、培训等业务及技术咨询、国家/行业标准等资源共享、质量检验结果、公告、政府有关质量和安全的法律、法规等信息化服务。</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19" w:name="_Toc92700389"/>
      <w:r>
        <w:rPr>
          <w:rFonts w:hint="eastAsia" w:ascii="方正楷体_GBK" w:hAnsi="方正楷体_GBK" w:eastAsia="方正楷体_GBK" w:cs="方正楷体_GBK"/>
          <w:b/>
          <w:bCs/>
          <w:color w:val="auto"/>
          <w:sz w:val="32"/>
          <w:szCs w:val="32"/>
        </w:rPr>
        <w:t>（二）园区承载力夯实工程</w:t>
      </w:r>
      <w:bookmarkEnd w:id="19"/>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加快园区基础设施建设。发挥经开区主战场主阵地作用，建设“五好园区”，争创国家级开发区。按照园区化承载的工业产业发展思路，完善供水供电、交通、排污排水等公用基础设施的建设，依托电力产业园，确保园区内供电稳定，保证供气等能源供给稳定。进一步完善配套设施的建立，包括各种商业服务、金融信息服务、管理服务、医疗服务、娱乐休憩服务等城市综合功能，提高园区的承载力与吸引力，使园区成为智力资源密集、信息网络化的现代化产业园区，实现产城融合。加快新型基础设施建设，夯实产业发展基础。加快5G、工业互联网发展，深入实施“5G+工业互联网”512工程。推动云计算、大数据、人工智能等技术创新和融合应用，加快实体经济数字化转型，不断培育新增长点、新动能，坚持把加快工业园区建设作为推进新型工业化的重要抓手，强化湘乡经开区承载能力。</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加速专业产业园集群建设。结合全市资源禀赋和工业基础优势，促进产业与企业向园区集聚，打造产业特色明显的重点产业园区。推动园区专业化升级，改革园区管理体制，引入规划、建设、招商、运营专业机构，提高园区管理水平，引进龙头骨干企业建设及运营专业园区，加快建设电力科技产业园、医疗器械产业园、电子信息产业园等园中园。积极承接国内外产业转移，科学合理确定承接重点，着力引进具有市场前景的产业龙头或重点企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增加公共服务供给，按照政府搭建、企业共享的原则，重点建设以大数据、云计算、质量检测等为主的研发技术支撑公共服务平台和为企业提供信用担保、管理咨询、市场开拓、人才培训等服务的运营服务公共服务平台。通过统一的基础平台，集成入侵检测、视频监控、公共广播、信息发布、园区一卡通、能耗管理、产线管理多种智慧园区综合业务，实现统一发卡，统一授权，信息共享，为企业员工打造安全、便捷、规范的工作环境，为企业管理者提供高效、可靠、综合的管理手段，为用户提供全面的智慧园区解决方案。</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0" w:name="_Toc92700390"/>
      <w:r>
        <w:rPr>
          <w:rFonts w:hint="eastAsia" w:ascii="方正楷体_GBK" w:hAnsi="方正楷体_GBK" w:eastAsia="方正楷体_GBK" w:cs="方正楷体_GBK"/>
          <w:b/>
          <w:bCs/>
          <w:color w:val="auto"/>
          <w:sz w:val="32"/>
          <w:szCs w:val="32"/>
        </w:rPr>
        <w:t>（三）双招双引强链工程</w:t>
      </w:r>
      <w:bookmarkEnd w:id="20"/>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贯彻落实《湖南省委办公厅湖南省人民政府办公厅印发&lt;关于加快推进工业新兴优势产业链发展的意见&gt;的通知》《湘潭市产业链和产业联盟工作领导小组印发&lt;关于成立工业新兴优势产业链建设办公室&gt;的通知》，以优势特色产业为重点，围绕“强链、建链、补链、转链”，以产业链招商为主线，以引进“新技术、新产业、新业态、新模式”项目为方向，重点瞄准行业龙头、隐形冠军企业、独角兽企业和“互联网+产业”“产业+互联网”模式的科技型企业，积极开展千企招商大走访、产业团组招商、专题招商等多种形式的招商活动，发挥园区载体作用和企业主体作用，突出招大引强、招新引优，延伸产业链，提升价值链，推动产业呈集群式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围绕产业发展重点任务与重点储备项目、瞄准重点企业和龙头企业，建立招商引资重点项目与目标企业目录，组建招商引资团队，确定招商任务，开展招商宣传、组织招商活动，推动项目对接与洽谈，及时协调解决招商工作中的困难和问题。坚持引资、引智、引技并举，准确把握产业梯度转移趋势和新兴产业技术发展态势，大力推进以商引商、产业链招商、小分队招商，开展存量资产、低效闲置土地二次招商。按照各产业园区功能定位，结合实际，建立“招才引智+招商引资”联动机制。</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落实精准招商优惠政策及提升招商服务团队，依托各类招商平台，采用龙头企业招商、以商招商、中介招商、资源配置招商、海外并购招商、增资扩产的招商等方式，精准对接沿海地区湘籍商会及行业协会等，加强招商引资力量，积极吸引企业和项目集聚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4．引导优势骨干企业并购或参股国内外高端装备制造企业或研发机构，充分利用其人才、技术资源。创新柔性引才机制，依托院所和企业技术平台，积极向国内外高校、科研院所拓展合作空间，吸引各类优秀研发、运营团队来湘乡开展科研和技术合作。探索发展“科研飞地”，支持企业在知名院校合作共建实验室、设立研发分部，充分利用先进地区优质人才资源，为全市产业集群发展提供智力支撑。</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1" w:name="_Toc92700391"/>
      <w:r>
        <w:rPr>
          <w:rFonts w:hint="eastAsia" w:ascii="方正楷体_GBK" w:hAnsi="方正楷体_GBK" w:eastAsia="方正楷体_GBK" w:cs="方正楷体_GBK"/>
          <w:b/>
          <w:bCs/>
          <w:color w:val="auto"/>
          <w:sz w:val="32"/>
          <w:szCs w:val="32"/>
        </w:rPr>
        <w:t>（四）智能制造升级工程</w:t>
      </w:r>
      <w:bookmarkEnd w:id="21"/>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1．围绕“一主两特”产业集群提质增效，增强产业综合竞争力，积极引导企业开展数字化、网络化、智能化改造提升。开展智能化改造普查、智能制造对标辅导、智能制造技术定向培训、智能化改造诊断，帮助企业制定智能化技改系统解决方案，建立“智能化改造项目库”。 </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建立智能制造重点实验室，加强智能制造基础核心技术的研究，重点围绕突破数控机床、智能传感、智能检测、智能物流等，研发一批关键技术及装备，培育一批高水平智能制造公共服务平台。加强智能制造与信息技术的链接，加强物联网、互联网、云计算、大数据等新一代信息技术在智能制造中的应用。</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3．实施装备、产线、车间、工厂、产链、集群“六大改造”，鼓励企业利用智能设备进行生产、管理、服务，推动企业进行机器换人、生产线自动化，支持有条件的企业自主研发，着重引进研发高档数控机床、3D 打印、工业机器人、智能交通工具、智能机械、智能电力装备、智能测控装置等智能装备。建设一批智能制造示范工厂（车间），扶持一批智能制造领域的骨干企业和示范企业，努力实现全市装备产业智能化改造“一年示范引领、二年全面推开、三年大见成效”。加强财政、金融等政策扶持，加大对智能装备研发生产、智能化改造诊断、智能化改造重点项目支持力度。支持市内智能装备生产企业发展服务型制造，成为智能制造装备集成商与整体解决方案提供商，积极参与本地其他行业企业智能化改造。</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2" w:name="_Toc92700392"/>
      <w:r>
        <w:rPr>
          <w:rFonts w:hint="eastAsia" w:ascii="方正楷体_GBK" w:hAnsi="方正楷体_GBK" w:eastAsia="方正楷体_GBK" w:cs="方正楷体_GBK"/>
          <w:b/>
          <w:bCs/>
          <w:color w:val="auto"/>
          <w:sz w:val="32"/>
          <w:szCs w:val="32"/>
        </w:rPr>
        <w:t>（五）企业主体培育工程</w:t>
      </w:r>
      <w:bookmarkEnd w:id="22"/>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围绕“争创一流、走在前列”目标定位，加快培育领军企业，着力引进一批“三类500强”企业、头部企业和高精尖项目落户，积极培育大企业大集团、行业龙头骨干企业，建立领军企业培育机制，每年遴选一批配套链条长、生产规模大、带动能力强的企业进行重点培育，引导有实力的企业以资本为纽带，开展跨行业、跨地区、跨所有制的兼并、重组，提高企业规模化、集约化经营水平，加快纵向延伸、横向联合、跨越发展，打造高端装备单项冠军企业。市财政设立1亿元的产业发展基金，对符合国家产业政策的企业，按年销售额度1-30亿元不等，分别给予20-500万元的一次性奖励，超过30亿元的，按“一企一策”给予奖励。引进和培育一批具有核心竞争力的龙头骨干企业，针对七个优势特色产业分别选出成长性好的先进制造骨干企业3-5 家，着力支持龙头骨干企业进行研发技术创新和资本运作。对于引进培育的平台型龙头企业设置50-100 万元奖励资金。</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围绕“3+2+2”产业体系分别引进和培育3家以上技术创新型配套企业，鼓励隐形冠军企业走“专精特新”发展之路，强化核心技术优势和打造企业自主品牌，建立科学的经营管理体系。支持隐形冠军企业靠大靠强吸收龙头企业作为战略投资者，引导本地龙头骨干企业共享技术研发平台及科技创新资源，孵化一批产业链配套的优质中小企业，提升中小企业管理规范化水平。</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鼓励企业争创高新技术企业和小巨人企业。加大政策宣传力度，积极对接科技型中小企业认定办法，对标国家高新技术企业、国家及省级小巨人企业认定条件，建立“科技型中小企业-科技小巨人企业-高新技术企业”的科技型企业梯次培育机制，加大国家和省市级科技型中小企业创新基金争取力度，依据《科技型中小企业评价办法》重点培育一批创新能力和市场竞争力强的科技型中小企业。建立高新技术企业动态储备库，大力培育创新基础较好、发展潜力较大的科技型中小企业成长为高新技术企业。建立企业培育全流程服务体系，通过引入财税、法律、知识产权、政策咨询等专业领域的中介力量，为企业提供专业化培训，指导企业申报。在全市现有的《企业成长总结与调研报告》基础上，对标科技型中小企业、规上企业、小巨人企业、高新技术企业、瞪羚企业、领军企业等资质认定、企业投融资、技术创新等要求，制定《企业创新成长培育计划》，协调各产业技术联盟、行业协会，组织科研院所、专业服务机构，为其精准提供包括企业规范、资质升级、技术创新、品牌拓展、人才提升、投融资等企业创新成长的各类专业培育服务。</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3" w:name="_Toc92700393"/>
      <w:r>
        <w:rPr>
          <w:rFonts w:hint="eastAsia" w:ascii="方正楷体_GBK" w:hAnsi="方正楷体_GBK" w:eastAsia="方正楷体_GBK" w:cs="方正楷体_GBK"/>
          <w:b/>
          <w:bCs/>
          <w:color w:val="auto"/>
          <w:sz w:val="32"/>
          <w:szCs w:val="32"/>
        </w:rPr>
        <w:t>（六）质量品牌建设工程</w:t>
      </w:r>
      <w:bookmarkEnd w:id="23"/>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加快推进质量强市方针，开展“增品种、提品质、创品牌”的“三品”专项行动，丰富质量好、品牌响的高端装备供给。提升产品质量控制技术，完善质量管理机制，夯实质量发展基础，鼓励企业追求卓越品质，形成具有自主知识产权的名牌产品，不断提升企业品牌价值和湘乡特色。完善质量监管体系，建立区域和行业质量管理体系，夯实质量发展基础，引导企业制定品牌管理体系，围绕研发创新、生产制造、质量管理和营销服务全过程，提升内在素质，夯实品牌发展基础，扶持一批品牌培育和运营专业服务机构，逐渐打造建立统一商标、品牌，打一批特色鲜明、竞争力强、市场信誉好的产业集群区域品牌。</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调整完善专利资助、奖励政策，以各重点领域的龙头企业为依托，以中小企业为补充，鼓励企业加强化工、新型建材、电子电器、机械装备、医疗器械等重点发展领域核心技术专利布局。落实省市区相关奖补政策，同时以园区配套资金形式对完成专利授权和重点发明专利的企业给予补助。开展质量标杆和领先企业示范活动，鼓励企业应用先进的质量管理技术和方法，以及先进的成型和加工方法、在线监测装置、智能化的物流系统和监测设备等，提高质量在线监测、在线控制和产品全生命周期质量追溯能力，健全检验检测体系。开展标准化试点和企业标准“领跑者”活动，鼓励企业采用国际标准、开展国际质量认证，积极参与国家、国际标准的制定与修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制定实施品牌培育计划，提升传统品牌、培植新兴品牌。依托湘乡经开区创新创业园，搭建知识产权综合运用公共服务体系。探索开展专利、商标、版权等职能“三合一”的知识产权行政管理工作，加强保护企业知识产权的宣传，为企业知识产权维权提供指导、帮助。通过扶持、奖励、补贴和购买服务等措施，引进和培育包括培训咨询、专利代理、法律维权、评估等第三方机构，对园区企业在人才培养、专利申报、运营保护等方面提供专业化服务。鼓励企业、协会抱团参加国际展会。加大品牌宣传推广力度，推进区域品牌建设，引导企业建立品牌管理体系，提高商标注册、运用、保护和管理能力，积极支持有条件的企业创建国际国内知名自主品牌，鼓励产业聚集区创建区域品牌。</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4" w:name="_Toc92700394"/>
      <w:r>
        <w:rPr>
          <w:rFonts w:hint="eastAsia" w:ascii="方正楷体_GBK" w:hAnsi="方正楷体_GBK" w:eastAsia="方正楷体_GBK" w:cs="方正楷体_GBK"/>
          <w:b/>
          <w:bCs/>
          <w:color w:val="auto"/>
          <w:sz w:val="32"/>
          <w:szCs w:val="32"/>
        </w:rPr>
        <w:t>（七）重点项目推进工程</w:t>
      </w:r>
      <w:bookmarkEnd w:id="24"/>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深入实施大项目带动战略，围绕优势特色产业发展重点，依托重点企业和园区，遴选一批技术含量高、产业链条长、辐射带动强、经济效益好的重大项目，大力开展“奋力奔跑、合力攻坚”活动，按照“开工一批、推进一批、建成一批、储备一批”的工作要求，集中力量攻坚项目建设。实行清单化管理，坚持挂图作战，倒排工期，确保重点项目建设快速推进，推动项目早开工、早建设，提高招商项目的履约率和落地率。</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建立市级优势特色产业项目库，实行动态管理。建立项目分类管理机制，对续建类项目加强建设进度，保证尽早投产竣工；对新开工项目，创造条件促使其尽早开工建设；对前期类项目，加快前期手续办理进程，积极创造开工条件；对谋划类项目，加快谈判签约，确保项目尽早落地实施。建立项目审批“绿色通道”，实行“一链办理”“一站办理”“一次办好”。</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强化要素保障，优先保证重大项目土地、信贷、生产要素等供应。加强项目跟踪服务，及时协调解决项目建设中的困难和问题。强化重大项目监管机制，建立定期调度制度，强化重大项目全过程管理，对进度滞后的项目，加大督查力度。</w:t>
      </w:r>
    </w:p>
    <w:p>
      <w:pPr>
        <w:keepNext w:val="0"/>
        <w:keepLines w:val="0"/>
        <w:pageBreakBefore w:val="0"/>
        <w:widowControl w:val="0"/>
        <w:kinsoku/>
        <w:wordWrap/>
        <w:overflowPunct/>
        <w:topLinePunct w:val="0"/>
        <w:autoSpaceDE w:val="0"/>
        <w:autoSpaceDN w:val="0"/>
        <w:bidi w:val="0"/>
        <w:adjustRightInd/>
        <w:snapToGrid/>
        <w:spacing w:line="600" w:lineRule="exact"/>
        <w:jc w:val="both"/>
        <w:textAlignment w:val="auto"/>
        <w:rPr>
          <w:rFonts w:hint="eastAsia" w:cs="方正仿宋_GBK"/>
          <w:color w:val="auto"/>
          <w:sz w:val="32"/>
          <w:szCs w:val="32"/>
          <w:lang w:eastAsia="zh-CN"/>
        </w:rPr>
      </w:pPr>
      <w:bookmarkStart w:id="25" w:name="_Toc92700395"/>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第五章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保障措施</w:t>
      </w:r>
      <w:bookmarkEnd w:id="25"/>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6" w:name="_Toc92700396"/>
      <w:r>
        <w:rPr>
          <w:rFonts w:hint="eastAsia" w:ascii="方正楷体_GBK" w:hAnsi="方正楷体_GBK" w:eastAsia="方正楷体_GBK" w:cs="方正楷体_GBK"/>
          <w:b/>
          <w:bCs/>
          <w:color w:val="auto"/>
          <w:sz w:val="32"/>
          <w:szCs w:val="32"/>
        </w:rPr>
        <w:t>（一）强化组织领导</w:t>
      </w:r>
      <w:bookmarkEnd w:id="26"/>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成立湘乡市战略性新兴产业发展领导小组，负责战略性新兴发展的规划和指导，协调处理建设及运行过程中出现的重大问题。加强重大规划、重大政策、重大工程、重大项目的谋划实施，加大对重大问题和重要任务的协调推进力度，保障相关体系、制度的实施，加强与本规划相关的用人机制、运行机制的建立。各相关部门设立对应的工作专班，健全工作机制，明确职责分工，强化协调联动，形成工作合力，统一协调优势特色产业发展、扶持、运作等方面的工作，确保各项任务落地实施，抓紧抓好。每个优势特色产业按全产业链发展思路，分别确定一名市领导为“链长”，由链长统筹、牵头单位及责任单位具体落实招商引资及产业服务工作，加强督查督办。</w:t>
      </w:r>
      <w:r>
        <w:rPr>
          <w:rFonts w:hint="eastAsia" w:ascii="方正仿宋_GBK" w:hAnsi="方正仿宋_GBK" w:eastAsia="方正仿宋_GBK" w:cs="方正仿宋_GBK"/>
          <w:color w:val="auto"/>
          <w:sz w:val="32"/>
          <w:szCs w:val="32"/>
          <w:lang w:eastAsia="zh-CN"/>
        </w:rPr>
        <w:t>严格遵循“安全第一”原则，严格落实重大安全风险“一票否决”制度。</w:t>
      </w:r>
      <w:r>
        <w:rPr>
          <w:rFonts w:hint="eastAsia" w:ascii="方正仿宋_GBK" w:hAnsi="方正仿宋_GBK" w:eastAsia="方正仿宋_GBK" w:cs="方正仿宋_GBK"/>
          <w:color w:val="auto"/>
          <w:sz w:val="32"/>
          <w:szCs w:val="32"/>
        </w:rPr>
        <w:t>建立规划实施评估制度，优化绩效考核机制，确保规划目标顺利完成。</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7" w:name="_Toc92700397"/>
      <w:r>
        <w:rPr>
          <w:rFonts w:hint="eastAsia" w:ascii="方正楷体_GBK" w:hAnsi="方正楷体_GBK" w:eastAsia="方正楷体_GBK" w:cs="方正楷体_GBK"/>
          <w:b/>
          <w:bCs/>
          <w:color w:val="auto"/>
          <w:sz w:val="32"/>
          <w:szCs w:val="32"/>
        </w:rPr>
        <w:t>（二）创新投融资体制机制</w:t>
      </w:r>
      <w:bookmarkEnd w:id="27"/>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发挥投资对优化供给结构的关键作用，强化政策导向、发展导向、结果导向，加强项目策划和储备，严格投资论证和监督，规范政府投资行为，创新投资模式，提升投资精准度、实效性，确保利益最大化。引荐符合国家产业政策的市域外产业投资项目，积极融入湖南长沙自贸片区，优化营商环境、提高自主创新能力，吸引企业将制造基地设在湘乡、来湘乡投资。建立支持产业集群发展的多渠道、多元化的投融资机制。引导推动政策性金融机构在贷款利率、期限、额度上对产业集群企业给予重点倾斜。鼓励金融机构结合产业特点，建立无形资产确权、评估、质押、流转体系，推进股权质押融资、知识产权质押融资、供应链融资、科技保险等金融产品创新。引导商业银行采用银团贷款、债权融资等方式为重点项目提供信贷支持。搭建金融服务平台，建立健全银企协同联动机制和金融服务需求信息互通机制，深化银行和非银行业金融机构与企业的合作。支持符合条件的企业上市直接融资，引导风险投资、创业投资等支持企业创新发展。</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8" w:name="_Toc92700398"/>
      <w:r>
        <w:rPr>
          <w:rFonts w:hint="eastAsia" w:ascii="方正楷体_GBK" w:hAnsi="方正楷体_GBK" w:eastAsia="方正楷体_GBK" w:cs="方正楷体_GBK"/>
          <w:b/>
          <w:bCs/>
          <w:color w:val="auto"/>
          <w:sz w:val="32"/>
          <w:szCs w:val="32"/>
        </w:rPr>
        <w:t>（三）增强要素保障能力</w:t>
      </w:r>
      <w:bookmarkEnd w:id="28"/>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各部门要聚焦政策资源协同支持优势特色产业发展，引导社会各界围绕产业发展需要配置要素资源。充分发挥省、市产业发展、创新、农业等政策性基金作用，统筹安排资金支持产业集群建设。用地保障，将产业集群建设内容纳入各地国土空间规划，加强用地、用能和交通设施保障，支持将具备建设条件的重点储备项目纳入市级重点建设项目库，优先安排新增建设用地计划指标。交通保障，加快产业发展核心区和三个主要片区交通基础设施建设，构建快速、便捷、智能的立体交通网络，确保产业集中发展区各类生产要素进得去、出得来，最大限度缩小交通运输时间成本。能源保障，加强园区能源保障的合理规划，根据不同的功能定位和容量控制，所有产业园区均实现双回路电源保障。物流保障，在现有交通物流基础上，扩宽国外直达货运通道，建设湘乡市公共物流信息平台，初步建成大通关系统，实现海关、检验防疫、边防等口岸联检部门的物流信息共享。通信保障，加快实施湘乡信息化建设，实现产业与网络应用的深度融合和全域无线网络覆盖。 </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29" w:name="_Toc92700399"/>
      <w:r>
        <w:rPr>
          <w:rFonts w:hint="eastAsia" w:ascii="方正楷体_GBK" w:hAnsi="方正楷体_GBK" w:eastAsia="方正楷体_GBK" w:cs="方正楷体_GBK"/>
          <w:b/>
          <w:bCs/>
          <w:color w:val="auto"/>
          <w:sz w:val="32"/>
          <w:szCs w:val="32"/>
        </w:rPr>
        <w:t>（四）实施引智引才专项计划</w:t>
      </w:r>
      <w:bookmarkEnd w:id="29"/>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制定完善人才引进、培养和使用政策，构建与生产系统相适应的技术教育和职业培训体系，做好实用人才转化工作，加强人力资源服务体系建设，实现人才的产销衔接，培养一批具有现代电子信息产业管理能力，善于与国际机构、跨国公司打交道，能够开拓国际市场的高层次复合型人才。实施引智引才专项计划，建立紧缺人才引进、培养和激励机制，加强装备领域领军型人才、高层次和高技能人才队伍建设。建立产业专家智库，为集群发展重大决策提供咨询。落实好国家和省市有关人才政策，营造良好人才发展环境，依托“龙城英才”工程积极吸引国内外的领军人才、创业团队来湘乡市发展。支持高校、高职院校加强人工智能、智能制造、工业设计等领域新兴交叉专业建设。积极发展职业教育、在职教育，推动职业院校、技工学校与高端装备制造企业合作，深化产学融合，培养高技能人才。实施企业经营管理人才素质提升工程，培育新一代战略型企业家。</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_GBK" w:hAnsi="方正楷体_GBK" w:eastAsia="方正楷体_GBK" w:cs="方正楷体_GBK"/>
          <w:b/>
          <w:bCs/>
          <w:color w:val="auto"/>
          <w:sz w:val="32"/>
          <w:szCs w:val="32"/>
        </w:rPr>
      </w:pPr>
      <w:bookmarkStart w:id="30" w:name="_Toc92700400"/>
      <w:r>
        <w:rPr>
          <w:rFonts w:hint="eastAsia" w:ascii="方正楷体_GBK" w:hAnsi="方正楷体_GBK" w:eastAsia="方正楷体_GBK" w:cs="方正楷体_GBK"/>
          <w:b/>
          <w:bCs/>
          <w:color w:val="auto"/>
          <w:sz w:val="32"/>
          <w:szCs w:val="32"/>
        </w:rPr>
        <w:t>（五）优化营商环境</w:t>
      </w:r>
      <w:bookmarkEnd w:id="30"/>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营造促进优势特色产业发展的服务环境。创建“一站式”政务服务体系，加快推动建设服务型政府，构建政府服务“一张网”系统，实现产业项目审批一件事一次办。建立和完善企业服务体系，包括融资服务体系、人才服务体系、信息服务体系、物流仓储服务体系、技术服务体系等，降低产业集群发展中小企业的交易费用和运行成本。营造促进优势特色产业发展的政策环境，围绕促进优势特色产业发展，创新协调机制，集聚各部门力量，合力推进产业发展。加大对优势特色产业公共要素的投入，通过土地、税收、财政投入、政府采购、项目审批、投融资体制建设等政策手段，吸引和鼓励社会各方面对优势特色产业的投入。营造产业创新升级良好氛围，弘扬企业家精神和工匠精神，加强知识产权保护力度，搭建企业家沙龙、规范行业协会等产业链交流合作平台。加快园区基础设施配套体系建设，建设物流、贸易、海关、检验检疫等生产性服务体系，推行一条龙代理服务。营造促进优势特色产业发展的组织环境，完善推进优势特色产业发展的组织管理体系，对产业发展实行统一规划、统一部署、统一管理。加强各部门的信息化组织建设，探索实施CIO制度，决策层选好配齐懂业务、精技术、会管理的政府CIO，强化政府CIO的推进责任，全面推进信息化与工业化结合，全面促进信息化与工业化互动，全面整合信息技术与经济社会的发展过程。营造促进产业集群发展的载体环境，完善园区的管理方式、要素保障和服务功能，优化工作流程，提高行政效能，突出重点、形成聚焦，积极主动为企业提供个性化、针对性服务。实施园区生态化、数字化建设，为园区企业提供良好的工作环境、信息共享平台和服务平台。积极推进绿色园区建设，促进节能减排。鼓励打造园区集群品牌，提高园区的集聚效应，推动园区建设向规模化、集中化、产业配套化方向发展。营造促进产业集群发展的市场环境，坚持以经济社会发展需求为导向引领产业发展，集中市场资源调控手段，强化产业互动，加速信息化与工业化融合，坚持供需对接、以用兴业，通过市场需求拉动，促进产业走高质量、高速度发展道路。</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p>
    <w:sectPr>
      <w:footerReference r:id="rId6" w:type="default"/>
      <w:pgSz w:w="11906" w:h="16838"/>
      <w:pgMar w:top="1984" w:right="1531"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embedRegular r:id="rId1" w:fontKey="{957571D7-456C-4901-A8AE-61D1E20495E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43DF6CE-7728-40A2-9CB6-B79793BAD8D0}"/>
  </w:font>
  <w:font w:name="方正仿宋_GBK">
    <w:panose1 w:val="03000509000000000000"/>
    <w:charset w:val="86"/>
    <w:family w:val="script"/>
    <w:pitch w:val="default"/>
    <w:sig w:usb0="00000001" w:usb1="080E0000" w:usb2="00000000" w:usb3="00000000" w:csb0="00040000" w:csb1="00000000"/>
    <w:embedRegular r:id="rId3" w:fontKey="{79A5F599-BB42-4FBB-B282-E41742550E3D}"/>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4" w:fontKey="{EA5DD6D1-B2B1-44B3-8FD8-EC3CBB3C2521}"/>
  </w:font>
  <w:font w:name="方正仿宋简体">
    <w:panose1 w:val="02010601030101010101"/>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embedRegular r:id="rId5" w:fontKey="{5E9B6E79-268B-44E2-AC16-2F057FAFDB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635</wp:posOffset>
              </wp:positionV>
              <wp:extent cx="681990" cy="274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81990" cy="274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I</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05pt;height:21.65pt;width:53.7pt;mso-position-horizontal:outside;mso-position-horizontal-relative:margin;z-index:251660288;mso-width-relative:page;mso-height-relative:page;" filled="f" stroked="f" coordsize="21600,21600" o:gfxdata="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cqv/tIAAAAEAQAADwAAAAAAAAABACAAAAAiAAAAZHJzL2Rvd25yZXYueG1s&#10;UEsBAhQAFAAAAAgAh07iQPvkWqE3AgAAYQQAAA4AAAAAAAAAAQAgAAAAIQEAAGRycy9lMm9Eb2Mu&#10;eG1sUEsFBgAAAAAGAAYAWQEAAMoFAAAAAA==&#10;">
              <v:fill on="f" focussize="0,0"/>
              <v:stroke on="f" weight="0.5pt"/>
              <v:imagedata o:title=""/>
              <o:lock v:ext="edit" aspectratio="f"/>
              <v:textbox inset="0mm,0mm,0mm,0mm">
                <w:txbxContent>
                  <w:p>
                    <w:pPr>
                      <w:pStyle w:val="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I</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20"/>
      <w:jc w:val="center"/>
      <w:rPr>
        <w:rFonts w:ascii="Times New Roman" w:hAnsi="Times New Roman" w:cs="Times New Roman"/>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635</wp:posOffset>
              </wp:positionV>
              <wp:extent cx="1027430" cy="2749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27430" cy="274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05pt;height:21.65pt;width:80.9pt;mso-position-horizontal:outside;mso-position-horizontal-relative:margin;z-index:251661312;mso-width-relative:page;mso-height-relative:page;" filled="f" stroked="f" coordsize="21600,21600" o:gfxdata="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1qbHJ0gAAAAQBAAAPAAAAAAAAAAEAIAAAACIAAABkcnMvZG93bnJldi54bWxQ&#10;SwECFAAUAAAACACHTuJAPN9ynjYCAABiBAAADgAAAAAAAAABACAAAAAhAQAAZHJzL2Uyb0RvYy54&#10;bWxQSwUGAAAAAAYABgBZAQAAyQUAAAAA&#10;">
              <v:fill on="f" focussize="0,0"/>
              <v:stroke on="f" weight="0.5pt"/>
              <v:imagedata o:title=""/>
              <o:lock v:ext="edit" aspectratio="f"/>
              <v:textbox inset="0mm,0mm,0mm,0mm">
                <w:txbxContent>
                  <w:p>
                    <w:pPr>
                      <w:pStyle w:val="10"/>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hNjhmNmNhMTY5ZGI3YmI2NjQxZjA3NmEyZjVhNzMifQ=="/>
  </w:docVars>
  <w:rsids>
    <w:rsidRoot w:val="1AC87B6B"/>
    <w:rsid w:val="00D64A51"/>
    <w:rsid w:val="05D74CB2"/>
    <w:rsid w:val="064E058F"/>
    <w:rsid w:val="13590650"/>
    <w:rsid w:val="1AC87B6B"/>
    <w:rsid w:val="24C12350"/>
    <w:rsid w:val="279E478E"/>
    <w:rsid w:val="2D2770BB"/>
    <w:rsid w:val="3A4169C4"/>
    <w:rsid w:val="42615A9E"/>
    <w:rsid w:val="43E7789B"/>
    <w:rsid w:val="591559E6"/>
    <w:rsid w:val="5DA036EE"/>
    <w:rsid w:val="5F2E14A0"/>
    <w:rsid w:val="60237326"/>
    <w:rsid w:val="673055B9"/>
    <w:rsid w:val="705C4F85"/>
    <w:rsid w:val="788A631C"/>
    <w:rsid w:val="7935316D"/>
    <w:rsid w:val="7CFB3C38"/>
    <w:rsid w:val="7D05045E"/>
    <w:rsid w:val="7E185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iPriority="99"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pPr>
    <w:rPr>
      <w:rFonts w:ascii="方正仿宋_GBK" w:hAnsi="方正仿宋_GBK" w:eastAsia="方正仿宋_GBK" w:cs="方正仿宋_GBK"/>
      <w:sz w:val="22"/>
      <w:szCs w:val="22"/>
      <w:lang w:val="zh-CN" w:eastAsia="zh-CN" w:bidi="zh-CN"/>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9"/>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99"/>
    <w:pPr>
      <w:ind w:firstLine="420" w:firstLineChars="200"/>
    </w:pPr>
  </w:style>
  <w:style w:type="paragraph" w:styleId="5">
    <w:name w:val="Body Text"/>
    <w:basedOn w:val="1"/>
    <w:next w:val="6"/>
    <w:unhideWhenUsed/>
    <w:qFormat/>
    <w:uiPriority w:val="99"/>
    <w:pPr>
      <w:spacing w:after="120"/>
    </w:pPr>
  </w:style>
  <w:style w:type="paragraph" w:styleId="6">
    <w:name w:val="Body Text First Indent"/>
    <w:basedOn w:val="5"/>
    <w:autoRedefine/>
    <w:qFormat/>
    <w:uiPriority w:val="0"/>
    <w:pPr>
      <w:ind w:firstLine="100" w:firstLineChars="100"/>
    </w:pPr>
  </w:style>
  <w:style w:type="paragraph" w:styleId="7">
    <w:name w:val="Body Text Indent"/>
    <w:basedOn w:val="1"/>
    <w:next w:val="8"/>
    <w:autoRedefine/>
    <w:qFormat/>
    <w:uiPriority w:val="0"/>
    <w:pPr>
      <w:spacing w:after="120"/>
      <w:ind w:left="420" w:leftChars="200"/>
    </w:pPr>
  </w:style>
  <w:style w:type="paragraph" w:styleId="8">
    <w:name w:val="Body Text Indent 2"/>
    <w:basedOn w:val="1"/>
    <w:autoRedefine/>
    <w:qFormat/>
    <w:uiPriority w:val="0"/>
    <w:pPr>
      <w:spacing w:line="560" w:lineRule="exact"/>
      <w:ind w:firstLine="538" w:firstLineChars="192"/>
    </w:pPr>
    <w:rPr>
      <w:rFonts w:ascii="宋体" w:hAnsi="宋体" w:eastAsia="仿宋_GB2312" w:cs="宋体"/>
      <w:sz w:val="28"/>
      <w:szCs w:val="28"/>
    </w:rPr>
  </w:style>
  <w:style w:type="paragraph" w:styleId="9">
    <w:name w:val="toc 3"/>
    <w:basedOn w:val="1"/>
    <w:next w:val="1"/>
    <w:autoRedefine/>
    <w:qFormat/>
    <w:uiPriority w:val="39"/>
    <w:pPr>
      <w:ind w:left="840" w:leftChars="400"/>
    </w:pPr>
  </w:style>
  <w:style w:type="paragraph" w:styleId="10">
    <w:name w:val="footer"/>
    <w:basedOn w:val="1"/>
    <w:autoRedefine/>
    <w:unhideWhenUsed/>
    <w:qFormat/>
    <w:uiPriority w:val="99"/>
    <w:pPr>
      <w:tabs>
        <w:tab w:val="center" w:pos="4153"/>
        <w:tab w:val="right" w:pos="8306"/>
      </w:tabs>
      <w:snapToGrid w:val="0"/>
      <w:jc w:val="left"/>
    </w:pPr>
    <w:rPr>
      <w:sz w:val="18"/>
      <w:szCs w:val="18"/>
    </w:rPr>
  </w:style>
  <w:style w:type="paragraph" w:styleId="11">
    <w:name w:val="header"/>
    <w:basedOn w:val="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qFormat/>
    <w:uiPriority w:val="39"/>
  </w:style>
  <w:style w:type="paragraph" w:styleId="13">
    <w:name w:val="toc 2"/>
    <w:basedOn w:val="1"/>
    <w:next w:val="1"/>
    <w:autoRedefine/>
    <w:qFormat/>
    <w:uiPriority w:val="39"/>
    <w:pPr>
      <w:ind w:left="420" w:leftChars="200"/>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Body Text First Indent 2"/>
    <w:basedOn w:val="7"/>
    <w:next w:val="1"/>
    <w:autoRedefine/>
    <w:qFormat/>
    <w:uiPriority w:val="0"/>
    <w:pPr>
      <w:ind w:firstLine="420" w:firstLineChars="200"/>
    </w:pPr>
  </w:style>
  <w:style w:type="character" w:styleId="18">
    <w:name w:val="Hyperlink"/>
    <w:basedOn w:val="17"/>
    <w:autoRedefine/>
    <w:unhideWhenUsed/>
    <w:qFormat/>
    <w:uiPriority w:val="99"/>
    <w:rPr>
      <w:color w:val="0563C1" w:themeColor="hyperlink"/>
      <w:u w:val="single"/>
      <w14:textFill>
        <w14:solidFill>
          <w14:schemeClr w14:val="hlink"/>
        </w14:solidFill>
      </w14:textFill>
    </w:rPr>
  </w:style>
  <w:style w:type="character" w:customStyle="1" w:styleId="19">
    <w:name w:val="标题 2 字符"/>
    <w:link w:val="4"/>
    <w:autoRedefine/>
    <w:qFormat/>
    <w:uiPriority w:val="0"/>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23591</Words>
  <Characters>24042</Characters>
  <Lines>0</Lines>
  <Paragraphs>0</Paragraphs>
  <TotalTime>1</TotalTime>
  <ScaleCrop>false</ScaleCrop>
  <LinksUpToDate>false</LinksUpToDate>
  <CharactersWithSpaces>24148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2022-09-08T03:27:00Z</dcterms:created>
  <dc:creator>Administrator</dc:creator>
  <cp:lastModifiedBy>周璐</cp:lastModifiedBy>
  <cp:lastPrinted>2022-12-14T00:42:00Z</cp:lastPrinted>
  <dcterms:modified xsi:type="dcterms:W3CDTF">2024-05-08T09:52:41Z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31246B3FB1594234A97F41135E2FD0E1_13</vt:lpwstr>
  </property>
</Properties>
</file>