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spacing w:before="0" w:beforeAutospacing="0" w:after="1" w:afterAutospacing="0"/>
        <w:jc w:val="center"/>
      </w:pPr>
      <w:r>
        <w:rPr>
          <w:rFonts w:ascii="宋体" w:hAnsi="宋体" w:eastAsia="宋体" w:cs="宋体"/>
          <w:color w:val="000000"/>
          <w:sz w:val="44"/>
          <w:szCs w:val="44"/>
        </w:rPr>
        <w:t>2022年度湘乡市统计局部门决算</w:t>
      </w:r>
      <w:r>
        <w:rPr>
          <w:color w:val="000000"/>
        </w:rPr>
        <w:t xml:space="preserve"> </w:t>
      </w:r>
    </w:p>
    <w:p>
      <w:pPr>
        <w:spacing w:before="0" w:beforeAutospacing="0" w:after="1" w:afterAutospacing="0"/>
        <w:jc w:val="center"/>
        <w:rPr>
          <w:sz w:val="21"/>
          <w:szCs w:val="21"/>
        </w:rPr>
      </w:pPr>
      <w:r>
        <w:rPr>
          <w:color w:val="000000"/>
          <w:sz w:val="32"/>
          <w:szCs w:val="32"/>
        </w:rPr>
        <w:t> </w:t>
      </w:r>
      <w:r>
        <w:rPr>
          <w:color w:val="000000"/>
          <w:sz w:val="21"/>
          <w:szCs w:val="21"/>
        </w:rPr>
        <w:t xml:space="preserve"> </w:t>
      </w:r>
    </w:p>
    <w:p>
      <w:pPr>
        <w:spacing w:before="0" w:beforeAutospacing="0" w:after="1" w:afterAutospacing="0"/>
        <w:jc w:val="center"/>
        <w:rPr>
          <w:rFonts w:hint="eastAsia" w:ascii="宋体" w:hAnsi="宋体" w:eastAsia="宋体" w:cs="宋体"/>
          <w:sz w:val="21"/>
          <w:szCs w:val="21"/>
        </w:rPr>
      </w:pPr>
      <w:r>
        <w:rPr>
          <w:rFonts w:hint="eastAsia" w:ascii="宋体" w:hAnsi="宋体" w:eastAsia="宋体" w:cs="宋体"/>
          <w:color w:val="000000"/>
          <w:sz w:val="32"/>
          <w:szCs w:val="32"/>
        </w:rPr>
        <w:t>目 录</w:t>
      </w:r>
      <w:r>
        <w:rPr>
          <w:rFonts w:hint="eastAsia" w:ascii="宋体" w:hAnsi="宋体" w:eastAsia="宋体" w:cs="宋体"/>
          <w:color w:val="000000"/>
          <w:sz w:val="21"/>
          <w:szCs w:val="21"/>
        </w:rPr>
        <w:t xml:space="preserve"> </w:t>
      </w:r>
    </w:p>
    <w:p>
      <w:pPr>
        <w:spacing w:before="0" w:beforeAutospacing="0" w:after="1" w:afterAutospacing="0"/>
        <w:jc w:val="center"/>
        <w:rPr>
          <w:sz w:val="21"/>
          <w:szCs w:val="21"/>
        </w:rPr>
      </w:pPr>
    </w:p>
    <w:p>
      <w:pPr>
        <w:pStyle w:val="14"/>
        <w:spacing w:before="0" w:beforeAutospacing="0" w:after="1" w:afterAutospacing="0"/>
        <w:ind w:left="0" w:firstLine="641"/>
        <w:rPr>
          <w:sz w:val="27"/>
          <w:szCs w:val="27"/>
        </w:rPr>
      </w:pPr>
      <w:r>
        <w:rPr>
          <w:rFonts w:hint="eastAsia" w:ascii="宋体" w:hAnsi="宋体" w:eastAsia="宋体" w:cs="宋体"/>
          <w:b/>
          <w:bCs/>
          <w:color w:val="000000"/>
          <w:sz w:val="32"/>
          <w:szCs w:val="32"/>
        </w:rPr>
        <w:t>第一部分 湘乡市统计局概况</w:t>
      </w:r>
      <w:r>
        <w:rPr>
          <w:color w:val="000000"/>
          <w:sz w:val="27"/>
          <w:szCs w:val="27"/>
        </w:rPr>
        <w:t xml:space="preserve"> </w:t>
      </w:r>
    </w:p>
    <w:p>
      <w:pPr>
        <w:pStyle w:val="14"/>
        <w:spacing w:before="0" w:beforeAutospacing="0" w:after="1" w:afterAutospacing="0"/>
        <w:ind w:left="0" w:firstLine="700"/>
      </w:pPr>
      <w:r>
        <w:rPr>
          <w:rFonts w:hint="eastAsia" w:ascii="宋体" w:hAnsi="宋体" w:eastAsia="宋体" w:cs="宋体"/>
          <w:color w:val="000000"/>
          <w:sz w:val="32"/>
          <w:szCs w:val="32"/>
        </w:rPr>
        <w:t>一、部门职责</w:t>
      </w:r>
      <w:r>
        <w:rPr>
          <w:color w:val="000000"/>
        </w:rPr>
        <w:t xml:space="preserve"> </w:t>
      </w:r>
    </w:p>
    <w:p>
      <w:pPr>
        <w:pStyle w:val="14"/>
        <w:spacing w:before="0" w:beforeAutospacing="0" w:after="1" w:afterAutospacing="0"/>
        <w:ind w:left="0" w:firstLine="700"/>
      </w:pPr>
      <w:r>
        <w:rPr>
          <w:rFonts w:hint="eastAsia" w:ascii="宋体" w:hAnsi="宋体" w:eastAsia="宋体" w:cs="宋体"/>
          <w:color w:val="000000"/>
          <w:sz w:val="32"/>
          <w:szCs w:val="32"/>
        </w:rPr>
        <w:t>二、机构设置及决算单位构成</w:t>
      </w:r>
      <w:r>
        <w:rPr>
          <w:color w:val="000000"/>
        </w:rPr>
        <w:t xml:space="preserve"> </w:t>
      </w:r>
    </w:p>
    <w:p>
      <w:pPr>
        <w:pStyle w:val="14"/>
        <w:spacing w:before="0" w:beforeAutospacing="0" w:after="1" w:afterAutospacing="0"/>
        <w:ind w:left="0" w:firstLine="641"/>
        <w:rPr>
          <w:sz w:val="27"/>
          <w:szCs w:val="27"/>
        </w:rPr>
      </w:pPr>
      <w:r>
        <w:rPr>
          <w:rFonts w:hint="eastAsia" w:ascii="宋体" w:hAnsi="宋体" w:eastAsia="宋体" w:cs="宋体"/>
          <w:b/>
          <w:bCs/>
          <w:color w:val="000000"/>
          <w:sz w:val="32"/>
          <w:szCs w:val="32"/>
        </w:rPr>
        <w:t>第二部分 2022年度部门决算表</w:t>
      </w:r>
      <w:r>
        <w:rPr>
          <w:color w:val="000000"/>
          <w:sz w:val="27"/>
          <w:szCs w:val="27"/>
        </w:rPr>
        <w:t xml:space="preserve"> </w:t>
      </w:r>
    </w:p>
    <w:p>
      <w:pPr>
        <w:pStyle w:val="14"/>
        <w:spacing w:before="0" w:beforeAutospacing="0" w:after="1" w:afterAutospacing="0"/>
        <w:ind w:left="0" w:firstLine="700"/>
      </w:pPr>
      <w:r>
        <w:rPr>
          <w:rFonts w:hint="eastAsia" w:ascii="宋体" w:hAnsi="宋体" w:eastAsia="宋体" w:cs="宋体"/>
          <w:color w:val="000000"/>
          <w:sz w:val="32"/>
          <w:szCs w:val="32"/>
        </w:rPr>
        <w:t>一、收入支出决算总表</w:t>
      </w:r>
      <w:r>
        <w:rPr>
          <w:color w:val="000000"/>
        </w:rPr>
        <w:t xml:space="preserve"> </w:t>
      </w:r>
    </w:p>
    <w:p>
      <w:pPr>
        <w:pStyle w:val="14"/>
        <w:spacing w:before="0" w:beforeAutospacing="0" w:after="1" w:afterAutospacing="0"/>
        <w:ind w:left="0" w:firstLine="700"/>
      </w:pPr>
      <w:r>
        <w:rPr>
          <w:rFonts w:hint="eastAsia" w:ascii="宋体" w:hAnsi="宋体" w:eastAsia="宋体" w:cs="宋体"/>
          <w:color w:val="000000"/>
          <w:sz w:val="32"/>
          <w:szCs w:val="32"/>
        </w:rPr>
        <w:t>二、收入决算表</w:t>
      </w:r>
      <w:r>
        <w:rPr>
          <w:color w:val="000000"/>
        </w:rPr>
        <w:t xml:space="preserve"> </w:t>
      </w:r>
    </w:p>
    <w:p>
      <w:pPr>
        <w:pStyle w:val="14"/>
        <w:spacing w:before="0" w:beforeAutospacing="0" w:after="1" w:afterAutospacing="0"/>
        <w:ind w:left="0" w:firstLine="700"/>
      </w:pPr>
      <w:r>
        <w:rPr>
          <w:rFonts w:hint="eastAsia" w:ascii="宋体" w:hAnsi="宋体" w:eastAsia="宋体" w:cs="宋体"/>
          <w:color w:val="000000"/>
          <w:sz w:val="32"/>
          <w:szCs w:val="32"/>
        </w:rPr>
        <w:t>三、支出决算表</w:t>
      </w:r>
      <w:r>
        <w:rPr>
          <w:color w:val="000000"/>
        </w:rPr>
        <w:t xml:space="preserve"> </w:t>
      </w:r>
    </w:p>
    <w:p>
      <w:pPr>
        <w:pStyle w:val="14"/>
        <w:spacing w:before="0" w:beforeAutospacing="0" w:after="1" w:afterAutospacing="0"/>
        <w:ind w:left="0" w:firstLine="700"/>
      </w:pPr>
      <w:r>
        <w:rPr>
          <w:rFonts w:hint="eastAsia" w:ascii="宋体" w:hAnsi="宋体" w:eastAsia="宋体" w:cs="宋体"/>
          <w:color w:val="000000"/>
          <w:sz w:val="32"/>
          <w:szCs w:val="32"/>
        </w:rPr>
        <w:t>四、财政拨款收入支出决算总表</w:t>
      </w:r>
      <w:r>
        <w:rPr>
          <w:color w:val="000000"/>
        </w:rPr>
        <w:t xml:space="preserve"> </w:t>
      </w:r>
    </w:p>
    <w:p>
      <w:pPr>
        <w:pStyle w:val="14"/>
        <w:spacing w:before="0" w:beforeAutospacing="0" w:after="1" w:afterAutospacing="0"/>
        <w:ind w:left="0" w:firstLine="700"/>
      </w:pPr>
      <w:r>
        <w:rPr>
          <w:rFonts w:hint="eastAsia" w:ascii="宋体" w:hAnsi="宋体" w:eastAsia="宋体" w:cs="宋体"/>
          <w:color w:val="000000"/>
          <w:sz w:val="32"/>
          <w:szCs w:val="32"/>
        </w:rPr>
        <w:t>五、一般公共预算财政拨款支出决算表</w:t>
      </w:r>
      <w:r>
        <w:rPr>
          <w:color w:val="000000"/>
        </w:rPr>
        <w:t xml:space="preserve"> </w:t>
      </w:r>
    </w:p>
    <w:p>
      <w:pPr>
        <w:pStyle w:val="14"/>
        <w:spacing w:before="0" w:beforeAutospacing="0" w:after="1" w:afterAutospacing="0"/>
        <w:ind w:left="0" w:firstLine="700"/>
      </w:pPr>
      <w:r>
        <w:rPr>
          <w:rFonts w:hint="eastAsia" w:ascii="宋体" w:hAnsi="宋体" w:eastAsia="宋体" w:cs="宋体"/>
          <w:color w:val="000000"/>
          <w:sz w:val="32"/>
          <w:szCs w:val="32"/>
        </w:rPr>
        <w:t>六、一般公共预算财政拨款基本支出决算明细表</w:t>
      </w:r>
      <w:r>
        <w:rPr>
          <w:color w:val="000000"/>
        </w:rPr>
        <w:t xml:space="preserve"> </w:t>
      </w:r>
    </w:p>
    <w:p>
      <w:pPr>
        <w:pStyle w:val="14"/>
        <w:spacing w:before="0" w:beforeAutospacing="0" w:after="1" w:afterAutospacing="0"/>
        <w:ind w:left="0" w:firstLine="700"/>
      </w:pPr>
      <w:r>
        <w:rPr>
          <w:rFonts w:hint="eastAsia" w:ascii="宋体" w:hAnsi="宋体" w:eastAsia="宋体" w:cs="宋体"/>
          <w:color w:val="000000"/>
          <w:sz w:val="32"/>
          <w:szCs w:val="32"/>
        </w:rPr>
        <w:t>七、政府性基金预算财政拨款收入支出决算表</w:t>
      </w:r>
      <w:r>
        <w:rPr>
          <w:color w:val="000000"/>
        </w:rPr>
        <w:t xml:space="preserve"> </w:t>
      </w:r>
    </w:p>
    <w:p>
      <w:pPr>
        <w:pStyle w:val="14"/>
        <w:spacing w:before="0" w:beforeAutospacing="0" w:after="1" w:afterAutospacing="0"/>
        <w:ind w:left="0" w:firstLine="700"/>
      </w:pPr>
      <w:r>
        <w:rPr>
          <w:rFonts w:hint="eastAsia" w:ascii="宋体" w:hAnsi="宋体" w:eastAsia="宋体" w:cs="宋体"/>
          <w:color w:val="000000"/>
          <w:sz w:val="32"/>
          <w:szCs w:val="32"/>
        </w:rPr>
        <w:t>八、国有资本经营预算财政拨款支出决算表</w:t>
      </w:r>
      <w:r>
        <w:rPr>
          <w:color w:val="000000"/>
        </w:rPr>
        <w:t xml:space="preserve"> </w:t>
      </w:r>
    </w:p>
    <w:p>
      <w:pPr>
        <w:pStyle w:val="14"/>
        <w:spacing w:before="0" w:beforeAutospacing="0" w:after="1" w:afterAutospacing="0"/>
        <w:ind w:left="0" w:firstLine="700"/>
      </w:pPr>
      <w:r>
        <w:rPr>
          <w:rFonts w:hint="eastAsia" w:ascii="宋体" w:hAnsi="宋体" w:eastAsia="宋体" w:cs="宋体"/>
          <w:color w:val="000000"/>
          <w:sz w:val="32"/>
          <w:szCs w:val="32"/>
        </w:rPr>
        <w:t>九、一般公共预算财政拨款“三公”经费支出决算表</w:t>
      </w:r>
      <w:r>
        <w:rPr>
          <w:color w:val="000000"/>
        </w:rPr>
        <w:t xml:space="preserve"> </w:t>
      </w:r>
    </w:p>
    <w:p>
      <w:pPr>
        <w:pStyle w:val="14"/>
        <w:spacing w:before="0" w:beforeAutospacing="0" w:after="1" w:afterAutospacing="0"/>
        <w:ind w:left="0" w:firstLine="700"/>
      </w:pPr>
      <w:r>
        <w:rPr>
          <w:rFonts w:hint="eastAsia" w:ascii="宋体" w:hAnsi="宋体" w:eastAsia="宋体" w:cs="宋体"/>
          <w:b/>
          <w:bCs/>
          <w:color w:val="000000"/>
          <w:sz w:val="32"/>
          <w:szCs w:val="32"/>
        </w:rPr>
        <w:t>第三部分 2022年度部门决算情况说明</w:t>
      </w:r>
      <w:r>
        <w:rPr>
          <w:color w:val="000000"/>
        </w:rPr>
        <w:t xml:space="preserve"> </w:t>
      </w:r>
    </w:p>
    <w:p>
      <w:pPr>
        <w:pStyle w:val="14"/>
        <w:spacing w:before="0" w:beforeAutospacing="0" w:after="1" w:afterAutospacing="0"/>
        <w:ind w:left="0" w:firstLine="700"/>
      </w:pPr>
      <w:r>
        <w:rPr>
          <w:rFonts w:ascii="宋体" w:hAnsi="宋体" w:eastAsia="宋体" w:cs="宋体"/>
          <w:color w:val="000000"/>
          <w:sz w:val="32"/>
          <w:szCs w:val="32"/>
        </w:rPr>
        <w:t>一、收入支出决算总体情况说明</w:t>
      </w:r>
      <w:r>
        <w:rPr>
          <w:color w:val="000000"/>
        </w:rPr>
        <w:t xml:space="preserve"> </w:t>
      </w:r>
    </w:p>
    <w:p>
      <w:pPr>
        <w:pStyle w:val="14"/>
        <w:spacing w:before="0" w:beforeAutospacing="0" w:after="1" w:afterAutospacing="0"/>
        <w:ind w:left="0" w:firstLine="700"/>
      </w:pPr>
      <w:r>
        <w:rPr>
          <w:rFonts w:ascii="宋体" w:hAnsi="宋体" w:eastAsia="宋体" w:cs="宋体"/>
          <w:color w:val="000000"/>
          <w:sz w:val="32"/>
          <w:szCs w:val="32"/>
        </w:rPr>
        <w:t>二、收入决算情况说明</w:t>
      </w:r>
      <w:r>
        <w:rPr>
          <w:color w:val="000000"/>
        </w:rPr>
        <w:t xml:space="preserve"> </w:t>
      </w:r>
    </w:p>
    <w:p>
      <w:pPr>
        <w:pStyle w:val="14"/>
        <w:spacing w:before="0" w:beforeAutospacing="0" w:after="1" w:afterAutospacing="0"/>
        <w:ind w:left="0" w:firstLine="700"/>
      </w:pPr>
      <w:r>
        <w:rPr>
          <w:rFonts w:ascii="宋体" w:hAnsi="宋体" w:eastAsia="宋体" w:cs="宋体"/>
          <w:color w:val="000000"/>
          <w:sz w:val="32"/>
          <w:szCs w:val="32"/>
        </w:rPr>
        <w:t>三、支出决算情况说明</w:t>
      </w:r>
      <w:r>
        <w:rPr>
          <w:color w:val="000000"/>
        </w:rPr>
        <w:t xml:space="preserve"> </w:t>
      </w:r>
    </w:p>
    <w:p>
      <w:pPr>
        <w:pStyle w:val="14"/>
        <w:spacing w:before="0" w:beforeAutospacing="0" w:after="1" w:afterAutospacing="0"/>
        <w:ind w:left="0" w:firstLine="700"/>
      </w:pPr>
      <w:r>
        <w:rPr>
          <w:rFonts w:ascii="宋体" w:hAnsi="宋体" w:eastAsia="宋体" w:cs="宋体"/>
          <w:color w:val="000000"/>
          <w:sz w:val="32"/>
          <w:szCs w:val="32"/>
        </w:rPr>
        <w:t>四、财政拨款收入支出决算总体情况说明</w:t>
      </w:r>
      <w:r>
        <w:rPr>
          <w:color w:val="000000"/>
        </w:rPr>
        <w:t xml:space="preserve"> </w:t>
      </w:r>
    </w:p>
    <w:p>
      <w:pPr>
        <w:pStyle w:val="14"/>
        <w:spacing w:before="0" w:beforeAutospacing="0" w:after="1" w:afterAutospacing="0"/>
        <w:ind w:left="0" w:firstLine="700"/>
      </w:pPr>
      <w:r>
        <w:rPr>
          <w:rFonts w:ascii="宋体" w:hAnsi="宋体" w:eastAsia="宋体" w:cs="宋体"/>
          <w:color w:val="000000"/>
          <w:sz w:val="32"/>
          <w:szCs w:val="32"/>
        </w:rPr>
        <w:t>五、一般公共预算财政拨款支出决算情况说明</w:t>
      </w:r>
      <w:r>
        <w:rPr>
          <w:color w:val="000000"/>
        </w:rPr>
        <w:t xml:space="preserve"> </w:t>
      </w:r>
    </w:p>
    <w:p>
      <w:pPr>
        <w:pStyle w:val="14"/>
        <w:spacing w:before="0" w:beforeAutospacing="0" w:after="1" w:afterAutospacing="0"/>
        <w:ind w:left="0" w:firstLine="700"/>
      </w:pPr>
      <w:r>
        <w:rPr>
          <w:rFonts w:ascii="宋体" w:hAnsi="宋体" w:eastAsia="宋体" w:cs="宋体"/>
          <w:color w:val="000000"/>
          <w:sz w:val="32"/>
          <w:szCs w:val="32"/>
        </w:rPr>
        <w:t>六、一般公共预算财政拨款基本支出决算情况说明</w:t>
      </w:r>
      <w:r>
        <w:rPr>
          <w:color w:val="000000"/>
        </w:rPr>
        <w:t xml:space="preserve"> </w:t>
      </w:r>
    </w:p>
    <w:p>
      <w:pPr>
        <w:pStyle w:val="14"/>
        <w:spacing w:before="0" w:beforeAutospacing="0" w:after="1" w:afterAutospacing="0"/>
        <w:ind w:left="0" w:firstLine="700"/>
      </w:pPr>
      <w:r>
        <w:rPr>
          <w:rFonts w:ascii="宋体" w:hAnsi="宋体" w:eastAsia="宋体" w:cs="宋体"/>
          <w:color w:val="000000"/>
          <w:sz w:val="32"/>
          <w:szCs w:val="32"/>
        </w:rPr>
        <w:t>七、一般公共预算财政拨款三公经费支出决算情况说明</w:t>
      </w:r>
      <w:r>
        <w:rPr>
          <w:color w:val="000000"/>
        </w:rPr>
        <w:t xml:space="preserve"> </w:t>
      </w:r>
    </w:p>
    <w:p>
      <w:pPr>
        <w:pStyle w:val="14"/>
        <w:spacing w:before="0" w:beforeAutospacing="0" w:after="1" w:afterAutospacing="0"/>
        <w:ind w:left="0" w:firstLine="700"/>
      </w:pPr>
      <w:r>
        <w:rPr>
          <w:rFonts w:ascii="宋体" w:hAnsi="宋体" w:eastAsia="宋体" w:cs="宋体"/>
          <w:color w:val="000000"/>
          <w:sz w:val="32"/>
          <w:szCs w:val="32"/>
        </w:rPr>
        <w:t>八、政府性基金预算收入支出决算情况</w:t>
      </w:r>
      <w:r>
        <w:rPr>
          <w:color w:val="000000"/>
        </w:rPr>
        <w:t xml:space="preserve"> </w:t>
      </w:r>
    </w:p>
    <w:p>
      <w:pPr>
        <w:pStyle w:val="14"/>
        <w:spacing w:before="0" w:beforeAutospacing="0" w:after="1" w:afterAutospacing="0"/>
        <w:ind w:left="0" w:firstLine="700"/>
      </w:pPr>
      <w:r>
        <w:rPr>
          <w:rFonts w:ascii="宋体" w:hAnsi="宋体" w:eastAsia="宋体" w:cs="宋体"/>
          <w:color w:val="000000"/>
          <w:sz w:val="32"/>
          <w:szCs w:val="32"/>
        </w:rPr>
        <w:t>九、国有资本经营预算收入支出决算情况</w:t>
      </w:r>
    </w:p>
    <w:p>
      <w:pPr>
        <w:pStyle w:val="14"/>
        <w:spacing w:before="0" w:beforeAutospacing="0" w:after="1" w:afterAutospacing="0"/>
        <w:ind w:left="0" w:firstLine="700"/>
      </w:pPr>
      <w:r>
        <w:rPr>
          <w:rFonts w:ascii="宋体" w:hAnsi="宋体" w:eastAsia="宋体" w:cs="宋体"/>
          <w:color w:val="000000"/>
          <w:sz w:val="32"/>
          <w:szCs w:val="32"/>
        </w:rPr>
        <w:t>十、关于机关运行经费支出说明</w:t>
      </w:r>
      <w:r>
        <w:rPr>
          <w:color w:val="000000"/>
        </w:rPr>
        <w:t xml:space="preserve"> </w:t>
      </w:r>
    </w:p>
    <w:p>
      <w:pPr>
        <w:pStyle w:val="14"/>
        <w:spacing w:before="0" w:beforeAutospacing="0" w:after="1" w:afterAutospacing="0"/>
        <w:ind w:left="0" w:firstLine="700"/>
      </w:pPr>
      <w:r>
        <w:rPr>
          <w:rFonts w:ascii="宋体" w:hAnsi="宋体" w:eastAsia="宋体" w:cs="宋体"/>
          <w:color w:val="000000"/>
          <w:sz w:val="32"/>
          <w:szCs w:val="32"/>
        </w:rPr>
        <w:t>十一、一般性支出情况</w:t>
      </w:r>
      <w:r>
        <w:rPr>
          <w:color w:val="000000"/>
        </w:rPr>
        <w:t xml:space="preserve"> </w:t>
      </w:r>
    </w:p>
    <w:p>
      <w:pPr>
        <w:pStyle w:val="14"/>
        <w:spacing w:before="0" w:beforeAutospacing="0" w:after="1" w:afterAutospacing="0"/>
        <w:ind w:left="0" w:firstLine="700"/>
      </w:pPr>
      <w:r>
        <w:rPr>
          <w:rFonts w:ascii="宋体" w:hAnsi="宋体" w:eastAsia="宋体" w:cs="宋体"/>
          <w:color w:val="000000"/>
          <w:sz w:val="32"/>
          <w:szCs w:val="32"/>
        </w:rPr>
        <w:t>十二、关于政府采购支出说明</w:t>
      </w:r>
      <w:r>
        <w:rPr>
          <w:color w:val="000000"/>
        </w:rPr>
        <w:t xml:space="preserve"> </w:t>
      </w:r>
    </w:p>
    <w:p>
      <w:pPr>
        <w:pStyle w:val="14"/>
        <w:spacing w:before="0" w:beforeAutospacing="0" w:after="1" w:afterAutospacing="0"/>
        <w:ind w:left="0" w:firstLine="700"/>
      </w:pPr>
      <w:r>
        <w:rPr>
          <w:rFonts w:ascii="宋体" w:hAnsi="宋体" w:eastAsia="宋体" w:cs="宋体"/>
          <w:color w:val="000000"/>
          <w:sz w:val="32"/>
          <w:szCs w:val="32"/>
        </w:rPr>
        <w:t>十三、关于国有资产占用情况说明</w:t>
      </w:r>
      <w:r>
        <w:rPr>
          <w:color w:val="000000"/>
        </w:rPr>
        <w:t xml:space="preserve"> </w:t>
      </w:r>
    </w:p>
    <w:p>
      <w:pPr>
        <w:pStyle w:val="14"/>
        <w:spacing w:before="0" w:beforeAutospacing="0" w:after="1" w:afterAutospacing="0"/>
        <w:ind w:left="0" w:firstLine="700"/>
      </w:pPr>
      <w:r>
        <w:rPr>
          <w:rFonts w:ascii="宋体" w:hAnsi="宋体" w:eastAsia="宋体" w:cs="宋体"/>
          <w:color w:val="000000"/>
          <w:sz w:val="32"/>
          <w:szCs w:val="32"/>
        </w:rPr>
        <w:t>十四、关于2022年度预算绩效情况的说明</w:t>
      </w:r>
      <w:r>
        <w:rPr>
          <w:color w:val="000000"/>
        </w:rPr>
        <w:t xml:space="preserve"> </w:t>
      </w:r>
    </w:p>
    <w:p>
      <w:pPr>
        <w:pStyle w:val="14"/>
        <w:spacing w:before="0" w:beforeAutospacing="0" w:after="1" w:afterAutospacing="0"/>
        <w:ind w:left="0" w:firstLine="641"/>
        <w:rPr>
          <w:sz w:val="27"/>
          <w:szCs w:val="27"/>
        </w:rPr>
      </w:pPr>
      <w:r>
        <w:rPr>
          <w:rFonts w:hint="eastAsia" w:ascii="宋体" w:hAnsi="宋体" w:eastAsia="宋体" w:cs="宋体"/>
          <w:b/>
          <w:bCs/>
          <w:color w:val="000000"/>
          <w:sz w:val="32"/>
          <w:szCs w:val="32"/>
        </w:rPr>
        <w:t>第四部分 名词解释</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b/>
          <w:bCs/>
          <w:color w:val="000000"/>
          <w:sz w:val="32"/>
          <w:szCs w:val="32"/>
        </w:rPr>
        <w:t>第五部分 附件</w:t>
      </w:r>
      <w:r>
        <w:rPr>
          <w:color w:val="000000"/>
          <w:sz w:val="27"/>
          <w:szCs w:val="27"/>
        </w:rPr>
        <w:t xml:space="preserve"> </w:t>
      </w:r>
    </w:p>
    <w:p/>
    <w:p/>
    <w:p/>
    <w:p/>
    <w:p/>
    <w:p>
      <w:pPr>
        <w:spacing w:before="0" w:beforeAutospacing="0" w:after="1" w:afterAutospacing="0" w:line="600" w:lineRule="atLeast"/>
        <w:ind w:left="0" w:right="0"/>
        <w:jc w:val="center"/>
        <w:rPr>
          <w:sz w:val="21"/>
          <w:szCs w:val="21"/>
        </w:rPr>
      </w:pPr>
      <w:r>
        <w:rPr>
          <w:rFonts w:hint="eastAsia" w:ascii="宋体" w:hAnsi="宋体" w:eastAsia="宋体" w:cs="宋体"/>
          <w:b/>
          <w:bCs/>
          <w:color w:val="000000"/>
          <w:sz w:val="36"/>
          <w:szCs w:val="36"/>
        </w:rPr>
        <w:t>第一部分 湘乡市统计局概况</w:t>
      </w:r>
      <w:r>
        <w:rPr>
          <w:b/>
          <w:bCs/>
          <w:color w:val="000000"/>
          <w:sz w:val="21"/>
          <w:szCs w:val="21"/>
        </w:rPr>
        <w:t xml:space="preserve"> </w:t>
      </w:r>
    </w:p>
    <w:p>
      <w:pPr>
        <w:pStyle w:val="9"/>
        <w:keepNext w:val="0"/>
        <w:keepLines w:val="0"/>
        <w:widowControl/>
        <w:suppressLineNumbers w:val="0"/>
        <w:spacing w:before="0" w:beforeAutospacing="0" w:after="1" w:afterAutospacing="0"/>
      </w:pPr>
    </w:p>
    <w:p>
      <w:pPr>
        <w:pStyle w:val="9"/>
        <w:keepNext w:val="0"/>
        <w:keepLines w:val="0"/>
        <w:widowControl/>
        <w:suppressLineNumbers w:val="0"/>
        <w:spacing w:before="0" w:beforeAutospacing="0" w:after="1" w:afterAutospacing="0"/>
        <w:ind w:left="0" w:right="0" w:firstLine="0"/>
      </w:pPr>
      <w:r>
        <w:rPr>
          <w:rFonts w:hint="eastAsia" w:ascii="黑体" w:hAnsi="宋体" w:eastAsia="黑体" w:cs="黑体"/>
          <w:color w:val="000000"/>
          <w:sz w:val="32"/>
          <w:szCs w:val="32"/>
        </w:rPr>
        <w:t> </w:t>
      </w:r>
      <w:r>
        <w:rPr>
          <w:color w:val="000000"/>
        </w:rPr>
        <w:t xml:space="preserve"> </w:t>
      </w:r>
    </w:p>
    <w:p>
      <w:pPr>
        <w:pStyle w:val="14"/>
        <w:spacing w:before="0" w:beforeAutospacing="0" w:after="1" w:afterAutospacing="0"/>
        <w:ind w:left="0" w:firstLine="641"/>
        <w:rPr>
          <w:sz w:val="27"/>
          <w:szCs w:val="27"/>
        </w:rPr>
      </w:pPr>
      <w:r>
        <w:rPr>
          <w:rFonts w:hint="eastAsia" w:ascii="宋体" w:hAnsi="宋体" w:eastAsia="宋体" w:cs="宋体"/>
          <w:b/>
          <w:bCs/>
          <w:color w:val="000000"/>
          <w:sz w:val="32"/>
          <w:szCs w:val="32"/>
        </w:rPr>
        <w:t>一、部门职责</w:t>
      </w:r>
      <w:r>
        <w:rPr>
          <w:color w:val="000000"/>
          <w:sz w:val="27"/>
          <w:szCs w:val="27"/>
        </w:rPr>
        <w:t xml:space="preserve"> </w:t>
      </w:r>
    </w:p>
    <w:p>
      <w:pPr>
        <w:pStyle w:val="14"/>
        <w:spacing w:before="0" w:beforeAutospacing="0" w:after="1" w:afterAutospacing="0"/>
        <w:ind w:left="0" w:firstLine="641"/>
        <w:rPr>
          <w:sz w:val="27"/>
          <w:szCs w:val="27"/>
        </w:rPr>
      </w:pPr>
      <w:r>
        <w:rPr>
          <w:rFonts w:ascii="宋体" w:hAnsi="宋体" w:eastAsia="宋体" w:cs="宋体"/>
          <w:color w:val="000000"/>
          <w:sz w:val="32"/>
          <w:szCs w:val="32"/>
        </w:rPr>
        <w:t>（一）贯彻执行国家统计工作的方针、政策、和统计制度方法，完成国家和省规定的统计调查任务，承担组织领导协调全市统计工作，确保统计数据的真实准确及时。</w:t>
      </w:r>
      <w:r>
        <w:rPr>
          <w:color w:val="000000"/>
          <w:sz w:val="32"/>
          <w:szCs w:val="32"/>
        </w:rPr>
        <w:t xml:space="preserve"> </w:t>
      </w:r>
    </w:p>
    <w:p>
      <w:pPr>
        <w:pStyle w:val="14"/>
        <w:spacing w:before="0" w:beforeAutospacing="0" w:after="1" w:afterAutospacing="0"/>
        <w:ind w:left="0" w:firstLine="641"/>
        <w:rPr>
          <w:sz w:val="27"/>
          <w:szCs w:val="27"/>
        </w:rPr>
      </w:pPr>
      <w:r>
        <w:rPr>
          <w:rFonts w:ascii="宋体" w:hAnsi="宋体" w:eastAsia="宋体" w:cs="宋体"/>
          <w:color w:val="000000"/>
          <w:sz w:val="32"/>
          <w:szCs w:val="32"/>
        </w:rPr>
        <w:t>（二）组织制定全市各项统计报表制度，负责各项统计调查方案的研究、整体设计和协调工作，统一管理全市的统计调查项目，并组织实施。</w:t>
      </w:r>
      <w:r>
        <w:rPr>
          <w:color w:val="000000"/>
          <w:sz w:val="32"/>
          <w:szCs w:val="32"/>
        </w:rPr>
        <w:t xml:space="preserve"> </w:t>
      </w:r>
    </w:p>
    <w:p>
      <w:pPr>
        <w:pStyle w:val="14"/>
        <w:spacing w:before="0" w:beforeAutospacing="0" w:after="1" w:afterAutospacing="0"/>
        <w:ind w:left="0" w:firstLine="641"/>
        <w:rPr>
          <w:sz w:val="27"/>
          <w:szCs w:val="27"/>
        </w:rPr>
      </w:pPr>
      <w:r>
        <w:rPr>
          <w:rFonts w:ascii="宋体" w:hAnsi="宋体" w:eastAsia="宋体" w:cs="宋体"/>
          <w:color w:val="000000"/>
          <w:sz w:val="32"/>
          <w:szCs w:val="32"/>
        </w:rPr>
        <w:t>（三）协助编制全市国民经济和社会发展规划，并对全市国民经济、科技进步、和社会发展的情况进行统计分析、预测、检查和监督，向市委、市政府及有关部门提供统计信息和咨询建议。</w:t>
      </w:r>
      <w:r>
        <w:rPr>
          <w:color w:val="000000"/>
          <w:sz w:val="32"/>
          <w:szCs w:val="32"/>
        </w:rPr>
        <w:t xml:space="preserve"> </w:t>
      </w:r>
    </w:p>
    <w:p>
      <w:pPr>
        <w:pStyle w:val="14"/>
        <w:spacing w:before="0" w:beforeAutospacing="0" w:after="1" w:afterAutospacing="0"/>
        <w:ind w:left="0" w:firstLine="641"/>
        <w:rPr>
          <w:sz w:val="27"/>
          <w:szCs w:val="27"/>
        </w:rPr>
      </w:pPr>
      <w:r>
        <w:rPr>
          <w:rFonts w:ascii="宋体" w:hAnsi="宋体" w:eastAsia="宋体" w:cs="宋体"/>
          <w:color w:val="000000"/>
          <w:sz w:val="32"/>
          <w:szCs w:val="32"/>
        </w:rPr>
        <w:t>（四）统一收集、核定管理、公布全市经济社会科技的基本统计资料，定期发布全市国民经济和社会发展情况统计公报，周期性普查和专项调查公报。</w:t>
      </w:r>
      <w:r>
        <w:rPr>
          <w:color w:val="000000"/>
          <w:sz w:val="32"/>
          <w:szCs w:val="32"/>
        </w:rPr>
        <w:t xml:space="preserve"> </w:t>
      </w:r>
    </w:p>
    <w:p>
      <w:pPr>
        <w:pStyle w:val="14"/>
        <w:spacing w:before="0" w:beforeAutospacing="0" w:after="1" w:afterAutospacing="0"/>
        <w:ind w:left="0" w:firstLine="641"/>
        <w:rPr>
          <w:sz w:val="27"/>
          <w:szCs w:val="27"/>
        </w:rPr>
      </w:pPr>
      <w:r>
        <w:rPr>
          <w:rFonts w:ascii="宋体" w:hAnsi="宋体" w:eastAsia="宋体" w:cs="宋体"/>
          <w:color w:val="000000"/>
          <w:sz w:val="32"/>
          <w:szCs w:val="32"/>
        </w:rPr>
        <w:t>（五）贯彻执行统计法律法规、检查和监督统计法律法规的实施情况，查处各类统计违法行为。</w:t>
      </w:r>
      <w:r>
        <w:rPr>
          <w:color w:val="000000"/>
          <w:sz w:val="32"/>
          <w:szCs w:val="32"/>
        </w:rPr>
        <w:t xml:space="preserve"> </w:t>
      </w:r>
    </w:p>
    <w:p>
      <w:pPr>
        <w:pStyle w:val="14"/>
        <w:spacing w:before="0" w:beforeAutospacing="0" w:after="1" w:afterAutospacing="0"/>
        <w:ind w:left="0" w:firstLine="641"/>
        <w:rPr>
          <w:sz w:val="27"/>
          <w:szCs w:val="27"/>
        </w:rPr>
      </w:pPr>
      <w:r>
        <w:rPr>
          <w:rFonts w:ascii="宋体" w:hAnsi="宋体" w:eastAsia="宋体" w:cs="宋体"/>
          <w:color w:val="000000"/>
          <w:sz w:val="32"/>
          <w:szCs w:val="32"/>
        </w:rPr>
        <w:t>（六）组织实施全国性人口普查、农业普查、经济普查和人口抽样等领域的抽样调查。</w:t>
      </w:r>
      <w:r>
        <w:rPr>
          <w:color w:val="000000"/>
          <w:sz w:val="32"/>
          <w:szCs w:val="32"/>
        </w:rPr>
        <w:t xml:space="preserve"> </w:t>
      </w:r>
    </w:p>
    <w:p>
      <w:pPr>
        <w:pStyle w:val="14"/>
        <w:spacing w:before="0" w:beforeAutospacing="0" w:after="1" w:afterAutospacing="0"/>
        <w:ind w:left="0" w:firstLine="641"/>
        <w:rPr>
          <w:sz w:val="27"/>
          <w:szCs w:val="27"/>
        </w:rPr>
      </w:pPr>
      <w:r>
        <w:rPr>
          <w:rFonts w:ascii="宋体" w:hAnsi="宋体" w:eastAsia="宋体" w:cs="宋体"/>
          <w:color w:val="000000"/>
          <w:sz w:val="32"/>
          <w:szCs w:val="32"/>
        </w:rPr>
        <w:t>（七）负责统计基层基础建设工作，建立健全和管理统计信息自动化系统和统计数据库系统。</w:t>
      </w:r>
      <w:r>
        <w:rPr>
          <w:color w:val="000000"/>
          <w:sz w:val="32"/>
          <w:szCs w:val="32"/>
        </w:rPr>
        <w:t xml:space="preserve"> </w:t>
      </w:r>
    </w:p>
    <w:p>
      <w:pPr>
        <w:pStyle w:val="14"/>
        <w:spacing w:before="0" w:beforeAutospacing="0" w:after="1" w:afterAutospacing="0"/>
        <w:ind w:left="0" w:firstLine="641"/>
        <w:rPr>
          <w:sz w:val="27"/>
          <w:szCs w:val="27"/>
        </w:rPr>
      </w:pPr>
      <w:r>
        <w:rPr>
          <w:rFonts w:ascii="宋体" w:hAnsi="宋体" w:eastAsia="宋体" w:cs="宋体"/>
          <w:color w:val="000000"/>
          <w:sz w:val="32"/>
          <w:szCs w:val="32"/>
        </w:rPr>
        <w:t>（八）组织实施全市统计教育培训工作。</w:t>
      </w:r>
      <w:r>
        <w:rPr>
          <w:color w:val="000000"/>
          <w:sz w:val="32"/>
          <w:szCs w:val="32"/>
        </w:rPr>
        <w:t xml:space="preserve"> </w:t>
      </w:r>
    </w:p>
    <w:p>
      <w:pPr>
        <w:pStyle w:val="14"/>
        <w:spacing w:before="0" w:beforeAutospacing="0" w:after="1" w:afterAutospacing="0"/>
        <w:ind w:left="0" w:firstLine="641"/>
        <w:rPr>
          <w:sz w:val="27"/>
          <w:szCs w:val="27"/>
        </w:rPr>
      </w:pPr>
      <w:r>
        <w:rPr>
          <w:rFonts w:ascii="宋体" w:hAnsi="宋体" w:eastAsia="宋体" w:cs="宋体"/>
          <w:color w:val="000000"/>
          <w:sz w:val="32"/>
          <w:szCs w:val="32"/>
        </w:rPr>
        <w:t>（九）负责市委、人大、政府、政协组织开展的民意调查。</w:t>
      </w:r>
      <w:r>
        <w:rPr>
          <w:color w:val="000000"/>
          <w:sz w:val="32"/>
          <w:szCs w:val="32"/>
        </w:rPr>
        <w:t xml:space="preserve"> </w:t>
      </w:r>
    </w:p>
    <w:p>
      <w:pPr>
        <w:pStyle w:val="14"/>
        <w:spacing w:before="0" w:beforeAutospacing="0" w:after="1" w:afterAutospacing="0"/>
        <w:ind w:left="0" w:firstLine="641"/>
        <w:rPr>
          <w:sz w:val="27"/>
          <w:szCs w:val="27"/>
        </w:rPr>
      </w:pPr>
      <w:r>
        <w:rPr>
          <w:rFonts w:ascii="宋体" w:hAnsi="宋体" w:eastAsia="宋体" w:cs="宋体"/>
          <w:color w:val="000000"/>
          <w:sz w:val="32"/>
          <w:szCs w:val="32"/>
        </w:rPr>
        <w:t>（十）加强对全市乡镇街道、园区、部门的统计工作的指导和协调管理，加强对统计调查项目、统计标准、和统计数据发布的管理。</w:t>
      </w:r>
      <w:r>
        <w:rPr>
          <w:color w:val="000000"/>
          <w:sz w:val="32"/>
          <w:szCs w:val="32"/>
        </w:rPr>
        <w:t xml:space="preserve"> </w:t>
      </w:r>
    </w:p>
    <w:p>
      <w:pPr>
        <w:pStyle w:val="14"/>
        <w:spacing w:before="0" w:beforeAutospacing="0" w:after="1" w:afterAutospacing="0"/>
        <w:ind w:left="0" w:firstLine="641"/>
        <w:rPr>
          <w:sz w:val="27"/>
          <w:szCs w:val="27"/>
        </w:rPr>
      </w:pPr>
      <w:r>
        <w:rPr>
          <w:rFonts w:ascii="宋体" w:hAnsi="宋体" w:eastAsia="宋体" w:cs="宋体"/>
          <w:color w:val="000000"/>
          <w:sz w:val="32"/>
          <w:szCs w:val="32"/>
        </w:rPr>
        <w:t>（十一）完成市委、市政府交办的其他任务。</w:t>
      </w:r>
      <w:r>
        <w:rPr>
          <w:color w:val="000000"/>
          <w:sz w:val="32"/>
          <w:szCs w:val="32"/>
        </w:rPr>
        <w:t xml:space="preserve"> </w:t>
      </w:r>
    </w:p>
    <w:p>
      <w:pPr>
        <w:pStyle w:val="14"/>
        <w:spacing w:before="0" w:beforeAutospacing="0" w:after="1" w:afterAutospacing="0"/>
        <w:ind w:left="0" w:firstLine="641"/>
        <w:rPr>
          <w:sz w:val="27"/>
          <w:szCs w:val="27"/>
        </w:rPr>
      </w:pPr>
      <w:r>
        <w:rPr>
          <w:rFonts w:hint="eastAsia" w:ascii="宋体" w:hAnsi="宋体" w:eastAsia="宋体" w:cs="宋体"/>
          <w:b/>
          <w:bCs/>
          <w:color w:val="000000"/>
          <w:sz w:val="32"/>
          <w:szCs w:val="32"/>
        </w:rPr>
        <w:t>二、机构设置及决算单位构成</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color w:val="000000"/>
          <w:sz w:val="32"/>
          <w:szCs w:val="32"/>
        </w:rPr>
        <w:t>（一）内设机构设置</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color w:val="000000"/>
          <w:sz w:val="32"/>
          <w:szCs w:val="32"/>
          <w:shd w:val="clear" w:fill="FFFFFF"/>
        </w:rPr>
        <w:t>湘乡市统计局</w:t>
      </w:r>
      <w:r>
        <w:rPr>
          <w:rFonts w:hint="eastAsia" w:ascii="宋体" w:hAnsi="宋体" w:eastAsia="宋体" w:cs="宋体"/>
          <w:color w:val="000000"/>
          <w:sz w:val="32"/>
          <w:szCs w:val="32"/>
        </w:rPr>
        <w:t>内设机构包括：本部门共有编制人数19人，实有人数为17人。内设股室3个，分别为办公室、业务股、统计执法监督股；下属机构包括湘乡市经济调查队、湘乡市统计普查中心、湘乡市民意调查中心。</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color w:val="000000"/>
          <w:sz w:val="32"/>
          <w:szCs w:val="32"/>
        </w:rPr>
        <w:t>（二）决算单位构成</w:t>
      </w:r>
      <w:r>
        <w:rPr>
          <w:color w:val="000000"/>
          <w:sz w:val="27"/>
          <w:szCs w:val="27"/>
        </w:rPr>
        <w:t xml:space="preserve"> </w:t>
      </w:r>
    </w:p>
    <w:p>
      <w:pPr>
        <w:pStyle w:val="14"/>
        <w:spacing w:before="0" w:beforeAutospacing="0" w:after="1" w:afterAutospacing="0"/>
        <w:ind w:left="0" w:firstLine="641"/>
        <w:rPr>
          <w:sz w:val="27"/>
          <w:szCs w:val="27"/>
        </w:rPr>
      </w:pPr>
      <w:r>
        <w:rPr>
          <w:rFonts w:ascii="宋体" w:hAnsi="宋体" w:eastAsia="宋体" w:cs="宋体"/>
          <w:color w:val="000000"/>
          <w:sz w:val="32"/>
          <w:szCs w:val="32"/>
        </w:rPr>
        <w:t>湘乡市统计局无下属单位，因此，湘乡市统计局2022年单位决算即湘乡市统计局本级。</w:t>
      </w:r>
      <w:r>
        <w:rPr>
          <w:color w:val="000000"/>
          <w:sz w:val="27"/>
          <w:szCs w:val="27"/>
        </w:rPr>
        <w:t xml:space="preserve"> </w:t>
      </w:r>
    </w:p>
    <w:p>
      <w:pPr>
        <w:rPr>
          <w:color w:val="000000"/>
          <w:sz w:val="32"/>
          <w:szCs w:val="32"/>
        </w:rPr>
        <w:sectPr>
          <w:pgSz w:w="11906" w:h="16838" w:orient="landscape"/>
          <w:pgMar w:top="1440" w:right="1080" w:bottom="1440" w:left="1080" w:header="851" w:footer="992" w:gutter="0"/>
          <w:paperSrc/>
          <w:cols w:space="0" w:num="1"/>
          <w:docGrid w:type="lines" w:linePitch="160" w:charSpace="0"/>
        </w:sectPr>
      </w:pPr>
    </w:p>
    <w:p>
      <w:pPr>
        <w:spacing w:before="0" w:beforeAutospacing="0" w:after="1" w:afterAutospacing="0"/>
        <w:ind w:left="0" w:firstLine="721"/>
        <w:jc w:val="center"/>
        <w:rPr>
          <w:sz w:val="21"/>
          <w:szCs w:val="21"/>
        </w:rPr>
      </w:pPr>
    </w:p>
    <w:p>
      <w:pPr>
        <w:spacing w:before="0" w:beforeAutospacing="0" w:after="1" w:afterAutospacing="0"/>
        <w:ind w:left="0" w:firstLine="721"/>
        <w:jc w:val="center"/>
        <w:rPr>
          <w:sz w:val="21"/>
          <w:szCs w:val="21"/>
        </w:rPr>
      </w:pPr>
      <w:r>
        <w:rPr>
          <w:rFonts w:hint="eastAsia" w:ascii="宋体" w:hAnsi="宋体" w:eastAsia="宋体" w:cs="宋体"/>
          <w:b/>
          <w:bCs/>
          <w:color w:val="000000"/>
          <w:sz w:val="36"/>
          <w:szCs w:val="36"/>
        </w:rPr>
        <w:t>第二部分 2022年度部门决算表</w:t>
      </w:r>
      <w:r>
        <w:rPr>
          <w:color w:val="000000"/>
          <w:sz w:val="21"/>
          <w:szCs w:val="21"/>
        </w:rPr>
        <w:t xml:space="preserve"> </w:t>
      </w:r>
    </w:p>
    <w:p>
      <w:pPr>
        <w:pStyle w:val="9"/>
        <w:keepNext w:val="0"/>
        <w:keepLines w:val="0"/>
        <w:widowControl/>
        <w:suppressLineNumbers w:val="0"/>
        <w:spacing w:before="0" w:beforeAutospacing="0" w:after="1" w:afterAutospacing="0"/>
      </w:pPr>
    </w:p>
    <w:p>
      <w:pPr>
        <w:spacing w:before="0" w:beforeAutospacing="0" w:after="1" w:afterAutospacing="0"/>
        <w:ind w:left="0" w:right="0"/>
        <w:jc w:val="center"/>
        <w:rPr>
          <w:sz w:val="21"/>
          <w:szCs w:val="21"/>
        </w:rPr>
      </w:pPr>
    </w:p>
    <w:tbl>
      <w:tblPr>
        <w:tblW w:w="500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802"/>
        <w:gridCol w:w="648"/>
        <w:gridCol w:w="2569"/>
        <w:gridCol w:w="4802"/>
        <w:gridCol w:w="648"/>
        <w:gridCol w:w="256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5000" w:type="pct"/>
            <w:gridSpan w:val="6"/>
            <w:shd w:val="clear"/>
            <w:vAlign w:val="center"/>
          </w:tcPr>
          <w:p>
            <w:pPr>
              <w:pStyle w:val="9"/>
              <w:keepNext w:val="0"/>
              <w:keepLines w:val="0"/>
              <w:widowControl/>
              <w:suppressLineNumbers w:val="0"/>
              <w:jc w:val="center"/>
            </w:pPr>
            <w:r>
              <w:rPr>
                <w:b w:val="0"/>
                <w:bCs w:val="0"/>
                <w:sz w:val="40"/>
                <w:szCs w:val="40"/>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shd w:val="clear"/>
            <w:vAlign w:val="center"/>
          </w:tcPr>
          <w:p>
            <w:pPr>
              <w:pStyle w:val="9"/>
              <w:keepNext w:val="0"/>
              <w:keepLines w:val="0"/>
              <w:widowControl/>
              <w:suppressLineNumbers w:val="0"/>
            </w:pPr>
          </w:p>
        </w:tc>
        <w:tc>
          <w:tcPr>
            <w:tcW w:w="202" w:type="pct"/>
            <w:shd w:val="clear"/>
            <w:vAlign w:val="center"/>
          </w:tcPr>
          <w:p>
            <w:pPr>
              <w:pStyle w:val="9"/>
              <w:keepNext w:val="0"/>
              <w:keepLines w:val="0"/>
              <w:widowControl/>
              <w:suppressLineNumbers w:val="0"/>
            </w:pPr>
          </w:p>
        </w:tc>
        <w:tc>
          <w:tcPr>
            <w:tcW w:w="799" w:type="pct"/>
            <w:shd w:val="clear"/>
            <w:vAlign w:val="center"/>
          </w:tcPr>
          <w:p>
            <w:pPr>
              <w:pStyle w:val="9"/>
              <w:keepNext w:val="0"/>
              <w:keepLines w:val="0"/>
              <w:widowControl/>
              <w:suppressLineNumbers w:val="0"/>
            </w:pPr>
          </w:p>
        </w:tc>
        <w:tc>
          <w:tcPr>
            <w:tcW w:w="1497" w:type="pct"/>
            <w:shd w:val="clear"/>
            <w:vAlign w:val="center"/>
          </w:tcPr>
          <w:p>
            <w:pPr>
              <w:pStyle w:val="9"/>
              <w:keepNext w:val="0"/>
              <w:keepLines w:val="0"/>
              <w:widowControl/>
              <w:suppressLineNumbers w:val="0"/>
            </w:pPr>
          </w:p>
        </w:tc>
        <w:tc>
          <w:tcPr>
            <w:tcW w:w="1002" w:type="pct"/>
            <w:gridSpan w:val="2"/>
            <w:shd w:val="clear"/>
            <w:vAlign w:val="center"/>
          </w:tcPr>
          <w:p>
            <w:pPr>
              <w:pStyle w:val="9"/>
              <w:keepNext w:val="0"/>
              <w:keepLines w:val="0"/>
              <w:widowControl/>
              <w:suppressLineNumbers w:val="0"/>
              <w:jc w:val="right"/>
            </w:pPr>
            <w:r>
              <w:rPr>
                <w:b w:val="0"/>
                <w:bCs w:val="0"/>
                <w:sz w:val="20"/>
                <w:szCs w:val="20"/>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997" w:type="pct"/>
            <w:gridSpan w:val="4"/>
            <w:shd w:val="clear"/>
            <w:vAlign w:val="center"/>
          </w:tcPr>
          <w:p>
            <w:pPr>
              <w:pStyle w:val="9"/>
              <w:keepNext w:val="0"/>
              <w:keepLines w:val="0"/>
              <w:widowControl/>
              <w:suppressLineNumbers w:val="0"/>
              <w:jc w:val="left"/>
            </w:pPr>
            <w:r>
              <w:rPr>
                <w:b w:val="0"/>
                <w:bCs w:val="0"/>
                <w:sz w:val="22"/>
                <w:szCs w:val="22"/>
              </w:rPr>
              <w:t>部门：湘乡市统计局</w:t>
            </w:r>
          </w:p>
        </w:tc>
        <w:tc>
          <w:tcPr>
            <w:tcW w:w="1002" w:type="pct"/>
            <w:gridSpan w:val="2"/>
            <w:shd w:val="clear"/>
            <w:vAlign w:val="center"/>
          </w:tcPr>
          <w:p>
            <w:pPr>
              <w:pStyle w:val="9"/>
              <w:keepNext w:val="0"/>
              <w:keepLines w:val="0"/>
              <w:widowControl/>
              <w:suppressLineNumbers w:val="0"/>
              <w:jc w:val="right"/>
            </w:pPr>
            <w:r>
              <w:rPr>
                <w:b w:val="0"/>
                <w:bCs w:val="0"/>
                <w:sz w:val="20"/>
                <w:szCs w:val="20"/>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00"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收入</w:t>
            </w:r>
          </w:p>
        </w:tc>
        <w:tc>
          <w:tcPr>
            <w:tcW w:w="2500"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项目</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行次</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金额</w:t>
            </w: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项目</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行次</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栏次</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w:t>
            </w: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栏次</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一、一般公共预算财政拨款收入</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282.74</w:t>
            </w: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一、一般公共服务支出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32</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248.29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二、政府性基金预算财政拨款收入</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二、外交支出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33</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三、国有资本经营预算财政拨款收入</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三、国防支出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34</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四、上级补助收入</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四、公共安全支出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35</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五、事业收入</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五、教育支出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36</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六、经营收入</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6</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六、科学技术支出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37</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七、附属单位上缴收入</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7</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七、文化旅游体育与传媒支出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38</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八、其他收入</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8</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33.63</w:t>
            </w: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八、社会保障和就业支出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39</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9</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九、卫生健康支出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40</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10</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十、节能环保支出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41</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11</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十一、城乡社区支出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42</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12</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十二、农林水支出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43</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13</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十三、交通运输支出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44</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14</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十四、资源勘探工业信息等支出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45</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15</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十五、商业服务业等支出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46</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16</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十六、金融支出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47</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17</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十七、援助其他地区支出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48</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18</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十八、自然资源海洋气象等支出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49</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19</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十九、住房保障支出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50</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20</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二十、粮油物资储备支出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51</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21</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二十一、国有资本经营预算支出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52</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22</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二十二、灾害防治及应急管理支出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53</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23</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二十三、其他支出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54</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0"/>
                <w:szCs w:val="20"/>
              </w:rPr>
              <w:t>24</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二十四、债务还本支出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55</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0"/>
                <w:szCs w:val="20"/>
              </w:rPr>
              <w:t>25</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二十五、债务付息支出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56</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0"/>
                <w:szCs w:val="20"/>
              </w:rPr>
              <w:t>26</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二十六、抗疫特别国债安排的支出</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57</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bCs/>
                <w:sz w:val="22"/>
                <w:szCs w:val="22"/>
              </w:rPr>
              <w:t>本年收入合计</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27</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316.37</w:t>
            </w: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bCs/>
                <w:sz w:val="22"/>
                <w:szCs w:val="22"/>
              </w:rPr>
              <w:t>本年支出合计</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58</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288.43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使用非财政拨款结余</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28</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结余分配</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59</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年初结转和结余</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29</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73.21</w:t>
            </w: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年末结转和结余</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60</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101.15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30</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61</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bCs/>
                <w:sz w:val="22"/>
                <w:szCs w:val="22"/>
              </w:rPr>
              <w:t>总计</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31</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389.58</w:t>
            </w:r>
          </w:p>
        </w:tc>
        <w:tc>
          <w:tcPr>
            <w:tcW w:w="149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bCs/>
                <w:sz w:val="22"/>
                <w:szCs w:val="22"/>
              </w:rPr>
              <w:t>总计</w:t>
            </w:r>
          </w:p>
        </w:tc>
        <w:tc>
          <w:tcPr>
            <w:tcW w:w="20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62</w:t>
            </w:r>
          </w:p>
        </w:tc>
        <w:tc>
          <w:tcPr>
            <w:tcW w:w="7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389.58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5000" w:type="pct"/>
            <w:gridSpan w:val="6"/>
            <w:shd w:val="clear"/>
            <w:vAlign w:val="center"/>
          </w:tcPr>
          <w:p>
            <w:pPr>
              <w:pStyle w:val="9"/>
              <w:keepNext w:val="0"/>
              <w:keepLines w:val="0"/>
              <w:widowControl/>
              <w:suppressLineNumbers w:val="0"/>
              <w:jc w:val="left"/>
            </w:pPr>
            <w:r>
              <w:rPr>
                <w:b w:val="0"/>
                <w:bCs w:val="0"/>
                <w:sz w:val="22"/>
                <w:szCs w:val="22"/>
              </w:rPr>
              <w:t>注：1.本表反映部门本年度的总收支和年末结转结余情况。2.本套报表金额单位转换时可能存在尾数误差。</w:t>
            </w:r>
          </w:p>
        </w:tc>
      </w:tr>
    </w:tbl>
    <w:p>
      <w:pPr>
        <w:spacing w:before="0" w:beforeAutospacing="0" w:after="1" w:afterAutospacing="0"/>
        <w:ind w:left="0" w:right="0"/>
        <w:jc w:val="center"/>
        <w:rPr>
          <w:sz w:val="21"/>
          <w:szCs w:val="21"/>
        </w:rPr>
      </w:pPr>
    </w:p>
    <w:tbl>
      <w:tblPr>
        <w:tblW w:w="500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56"/>
        <w:gridCol w:w="356"/>
        <w:gridCol w:w="356"/>
        <w:gridCol w:w="3143"/>
        <w:gridCol w:w="2139"/>
        <w:gridCol w:w="1569"/>
        <w:gridCol w:w="1569"/>
        <w:gridCol w:w="1569"/>
        <w:gridCol w:w="1581"/>
        <w:gridCol w:w="1825"/>
        <w:gridCol w:w="157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5000" w:type="pct"/>
            <w:gridSpan w:val="11"/>
            <w:shd w:val="clear"/>
            <w:vAlign w:val="center"/>
          </w:tcPr>
          <w:p>
            <w:pPr>
              <w:pStyle w:val="9"/>
              <w:keepNext w:val="0"/>
              <w:keepLines w:val="0"/>
              <w:widowControl/>
              <w:suppressLineNumbers w:val="0"/>
              <w:jc w:val="center"/>
            </w:pPr>
            <w:r>
              <w:rPr>
                <w:b w:val="0"/>
                <w:bCs w:val="0"/>
                <w:sz w:val="40"/>
                <w:szCs w:val="40"/>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11" w:type="pct"/>
            <w:shd w:val="clear"/>
            <w:vAlign w:val="center"/>
          </w:tcPr>
          <w:p>
            <w:pPr>
              <w:pStyle w:val="9"/>
              <w:keepNext w:val="0"/>
              <w:keepLines w:val="0"/>
              <w:widowControl/>
              <w:suppressLineNumbers w:val="0"/>
            </w:pPr>
          </w:p>
        </w:tc>
        <w:tc>
          <w:tcPr>
            <w:tcW w:w="111" w:type="pct"/>
            <w:shd w:val="clear"/>
            <w:vAlign w:val="center"/>
          </w:tcPr>
          <w:p>
            <w:pPr>
              <w:pStyle w:val="9"/>
              <w:keepNext w:val="0"/>
              <w:keepLines w:val="0"/>
              <w:widowControl/>
              <w:suppressLineNumbers w:val="0"/>
            </w:pPr>
          </w:p>
        </w:tc>
        <w:tc>
          <w:tcPr>
            <w:tcW w:w="111" w:type="pct"/>
            <w:shd w:val="clear"/>
            <w:vAlign w:val="center"/>
          </w:tcPr>
          <w:p>
            <w:pPr>
              <w:pStyle w:val="9"/>
              <w:keepNext w:val="0"/>
              <w:keepLines w:val="0"/>
              <w:widowControl/>
              <w:suppressLineNumbers w:val="0"/>
            </w:pPr>
          </w:p>
        </w:tc>
        <w:tc>
          <w:tcPr>
            <w:tcW w:w="979" w:type="pct"/>
            <w:shd w:val="clear"/>
            <w:vAlign w:val="center"/>
          </w:tcPr>
          <w:p>
            <w:pPr>
              <w:pStyle w:val="9"/>
              <w:keepNext w:val="0"/>
              <w:keepLines w:val="0"/>
              <w:widowControl/>
              <w:suppressLineNumbers w:val="0"/>
            </w:pPr>
          </w:p>
        </w:tc>
        <w:tc>
          <w:tcPr>
            <w:tcW w:w="667" w:type="pct"/>
            <w:shd w:val="clear"/>
            <w:vAlign w:val="center"/>
          </w:tcPr>
          <w:p>
            <w:pPr>
              <w:pStyle w:val="9"/>
              <w:keepNext w:val="0"/>
              <w:keepLines w:val="0"/>
              <w:widowControl/>
              <w:suppressLineNumbers w:val="0"/>
            </w:pPr>
          </w:p>
        </w:tc>
        <w:tc>
          <w:tcPr>
            <w:tcW w:w="489" w:type="pct"/>
            <w:shd w:val="clear"/>
            <w:vAlign w:val="center"/>
          </w:tcPr>
          <w:p>
            <w:pPr>
              <w:pStyle w:val="9"/>
              <w:keepNext w:val="0"/>
              <w:keepLines w:val="0"/>
              <w:widowControl/>
              <w:suppressLineNumbers w:val="0"/>
            </w:pPr>
          </w:p>
        </w:tc>
        <w:tc>
          <w:tcPr>
            <w:tcW w:w="489" w:type="pct"/>
            <w:shd w:val="clear"/>
            <w:vAlign w:val="center"/>
          </w:tcPr>
          <w:p>
            <w:pPr>
              <w:pStyle w:val="9"/>
              <w:keepNext w:val="0"/>
              <w:keepLines w:val="0"/>
              <w:widowControl/>
              <w:suppressLineNumbers w:val="0"/>
            </w:pPr>
          </w:p>
        </w:tc>
        <w:tc>
          <w:tcPr>
            <w:tcW w:w="489" w:type="pct"/>
            <w:shd w:val="clear"/>
            <w:vAlign w:val="center"/>
          </w:tcPr>
          <w:p>
            <w:pPr>
              <w:pStyle w:val="9"/>
              <w:keepNext w:val="0"/>
              <w:keepLines w:val="0"/>
              <w:widowControl/>
              <w:suppressLineNumbers w:val="0"/>
            </w:pPr>
          </w:p>
        </w:tc>
        <w:tc>
          <w:tcPr>
            <w:tcW w:w="489" w:type="pct"/>
            <w:shd w:val="clear"/>
            <w:vAlign w:val="center"/>
          </w:tcPr>
          <w:p>
            <w:pPr>
              <w:pStyle w:val="9"/>
              <w:keepNext w:val="0"/>
              <w:keepLines w:val="0"/>
              <w:widowControl/>
              <w:suppressLineNumbers w:val="0"/>
            </w:pPr>
          </w:p>
        </w:tc>
        <w:tc>
          <w:tcPr>
            <w:tcW w:w="1059" w:type="pct"/>
            <w:gridSpan w:val="2"/>
            <w:shd w:val="clear"/>
            <w:vAlign w:val="center"/>
          </w:tcPr>
          <w:p>
            <w:pPr>
              <w:pStyle w:val="9"/>
              <w:keepNext w:val="0"/>
              <w:keepLines w:val="0"/>
              <w:widowControl/>
              <w:suppressLineNumbers w:val="0"/>
              <w:jc w:val="right"/>
            </w:pPr>
            <w:r>
              <w:rPr>
                <w:b w:val="0"/>
                <w:bCs w:val="0"/>
                <w:sz w:val="20"/>
                <w:szCs w:val="20"/>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940" w:type="pct"/>
            <w:gridSpan w:val="9"/>
            <w:shd w:val="clear"/>
            <w:vAlign w:val="center"/>
          </w:tcPr>
          <w:p>
            <w:pPr>
              <w:pStyle w:val="9"/>
              <w:keepNext w:val="0"/>
              <w:keepLines w:val="0"/>
              <w:widowControl/>
              <w:suppressLineNumbers w:val="0"/>
              <w:jc w:val="left"/>
            </w:pPr>
            <w:r>
              <w:rPr>
                <w:b w:val="0"/>
                <w:bCs w:val="0"/>
                <w:sz w:val="22"/>
                <w:szCs w:val="22"/>
              </w:rPr>
              <w:t>部门：湘乡市统计局</w:t>
            </w:r>
          </w:p>
        </w:tc>
        <w:tc>
          <w:tcPr>
            <w:tcW w:w="1059" w:type="pct"/>
            <w:gridSpan w:val="2"/>
            <w:shd w:val="clear"/>
            <w:vAlign w:val="center"/>
          </w:tcPr>
          <w:p>
            <w:pPr>
              <w:pStyle w:val="9"/>
              <w:keepNext w:val="0"/>
              <w:keepLines w:val="0"/>
              <w:widowControl/>
              <w:suppressLineNumbers w:val="0"/>
              <w:jc w:val="right"/>
            </w:pPr>
            <w:r>
              <w:rPr>
                <w:b w:val="0"/>
                <w:bCs w:val="0"/>
                <w:sz w:val="20"/>
                <w:szCs w:val="20"/>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33" w:type="pct"/>
            <w:gridSpan w:val="3"/>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科目编码</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科目名称</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本年收入合计</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财政拨款收入</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上级补助收入</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事业收入</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经营收入</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附属单位上缴收入</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33" w:type="pct"/>
            <w:gridSpan w:val="3"/>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33" w:type="pct"/>
            <w:gridSpan w:val="3"/>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33" w:type="pct"/>
            <w:gridSpan w:val="3"/>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313" w:type="pct"/>
            <w:gridSpan w:val="4"/>
            <w:tcBorders>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栏次</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6</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313" w:type="pct"/>
            <w:gridSpan w:val="4"/>
            <w:tcBorders>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合计</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316.37</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282.74</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33.63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33"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201</w:t>
            </w:r>
          </w:p>
        </w:tc>
        <w:tc>
          <w:tcPr>
            <w:tcW w:w="97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一般公共服务支出</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276.23</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242.60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33.63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33"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20105</w:t>
            </w:r>
          </w:p>
        </w:tc>
        <w:tc>
          <w:tcPr>
            <w:tcW w:w="97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统计信息事务</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270.54</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242.60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27.94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33"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2010501</w:t>
            </w:r>
          </w:p>
        </w:tc>
        <w:tc>
          <w:tcPr>
            <w:tcW w:w="97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行政运行</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194.36</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194.36</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33"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2010502</w:t>
            </w:r>
          </w:p>
        </w:tc>
        <w:tc>
          <w:tcPr>
            <w:tcW w:w="97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一般行政管理事务</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76.18</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48.24</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27.94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33"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20132</w:t>
            </w:r>
          </w:p>
        </w:tc>
        <w:tc>
          <w:tcPr>
            <w:tcW w:w="97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组织事务</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5.69</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33"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2013299</w:t>
            </w:r>
          </w:p>
        </w:tc>
        <w:tc>
          <w:tcPr>
            <w:tcW w:w="97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其他组织事务支出</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5.69</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5.69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33"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208</w:t>
            </w:r>
          </w:p>
        </w:tc>
        <w:tc>
          <w:tcPr>
            <w:tcW w:w="97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社会保障和就业支出</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16.69</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16.69</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33"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20805</w:t>
            </w:r>
          </w:p>
        </w:tc>
        <w:tc>
          <w:tcPr>
            <w:tcW w:w="97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行政事业单位养老支出</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16.46</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16.46</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33"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2080505</w:t>
            </w:r>
          </w:p>
        </w:tc>
        <w:tc>
          <w:tcPr>
            <w:tcW w:w="97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机关事业单位基本养老保险缴费支出</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16.46</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16.46</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33"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20899</w:t>
            </w:r>
          </w:p>
        </w:tc>
        <w:tc>
          <w:tcPr>
            <w:tcW w:w="97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其他社会保障和就业支出</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0.23</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0.23</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33"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2089999</w:t>
            </w:r>
          </w:p>
        </w:tc>
        <w:tc>
          <w:tcPr>
            <w:tcW w:w="97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其他社会保障和就业支出</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0.23</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0.23</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33"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210</w:t>
            </w:r>
          </w:p>
        </w:tc>
        <w:tc>
          <w:tcPr>
            <w:tcW w:w="97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卫生健康支出</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33"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21011</w:t>
            </w:r>
          </w:p>
        </w:tc>
        <w:tc>
          <w:tcPr>
            <w:tcW w:w="97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行政事业单位医疗</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33"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2101101</w:t>
            </w:r>
          </w:p>
        </w:tc>
        <w:tc>
          <w:tcPr>
            <w:tcW w:w="97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行政单位医疗</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33"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221</w:t>
            </w:r>
          </w:p>
        </w:tc>
        <w:tc>
          <w:tcPr>
            <w:tcW w:w="97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住房保障支出</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33"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22102</w:t>
            </w:r>
          </w:p>
        </w:tc>
        <w:tc>
          <w:tcPr>
            <w:tcW w:w="97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住房改革支出</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33"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2210201</w:t>
            </w:r>
          </w:p>
        </w:tc>
        <w:tc>
          <w:tcPr>
            <w:tcW w:w="97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住房公积金</w:t>
            </w:r>
          </w:p>
        </w:tc>
        <w:tc>
          <w:tcPr>
            <w:tcW w:w="667"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6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8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5000" w:type="pct"/>
            <w:gridSpan w:val="11"/>
            <w:shd w:val="clear"/>
            <w:vAlign w:val="center"/>
          </w:tcPr>
          <w:p>
            <w:pPr>
              <w:pStyle w:val="9"/>
              <w:keepNext w:val="0"/>
              <w:keepLines w:val="0"/>
              <w:widowControl/>
              <w:suppressLineNumbers w:val="0"/>
              <w:jc w:val="left"/>
            </w:pPr>
            <w:r>
              <w:rPr>
                <w:b w:val="0"/>
                <w:bCs w:val="0"/>
                <w:sz w:val="22"/>
                <w:szCs w:val="22"/>
              </w:rPr>
              <w:t>注：本表反映部门本年度取得的各项收入情况。本表金额转换为万元时，因四舍五入可能存在尾数误差。</w:t>
            </w:r>
          </w:p>
        </w:tc>
      </w:tr>
    </w:tbl>
    <w:p>
      <w:pPr>
        <w:spacing w:before="0" w:beforeAutospacing="0" w:after="1" w:afterAutospacing="0"/>
        <w:ind w:left="0" w:right="0"/>
        <w:jc w:val="center"/>
        <w:rPr>
          <w:sz w:val="21"/>
          <w:szCs w:val="21"/>
        </w:rPr>
      </w:pPr>
    </w:p>
    <w:tbl>
      <w:tblPr>
        <w:tblW w:w="500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00"/>
        <w:gridCol w:w="401"/>
        <w:gridCol w:w="404"/>
        <w:gridCol w:w="3548"/>
        <w:gridCol w:w="2415"/>
        <w:gridCol w:w="1771"/>
        <w:gridCol w:w="1771"/>
        <w:gridCol w:w="1780"/>
        <w:gridCol w:w="1771"/>
        <w:gridCol w:w="177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5000" w:type="pct"/>
            <w:gridSpan w:val="10"/>
            <w:shd w:val="clear"/>
            <w:vAlign w:val="center"/>
          </w:tcPr>
          <w:p>
            <w:pPr>
              <w:pStyle w:val="9"/>
              <w:keepNext w:val="0"/>
              <w:keepLines w:val="0"/>
              <w:widowControl/>
              <w:suppressLineNumbers w:val="0"/>
              <w:jc w:val="center"/>
            </w:pPr>
            <w:r>
              <w:rPr>
                <w:b w:val="0"/>
                <w:bCs w:val="0"/>
                <w:sz w:val="40"/>
                <w:szCs w:val="40"/>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25" w:type="pct"/>
            <w:shd w:val="clear"/>
            <w:vAlign w:val="center"/>
          </w:tcPr>
          <w:p>
            <w:pPr>
              <w:pStyle w:val="9"/>
              <w:keepNext w:val="0"/>
              <w:keepLines w:val="0"/>
              <w:widowControl/>
              <w:suppressLineNumbers w:val="0"/>
            </w:pPr>
          </w:p>
        </w:tc>
        <w:tc>
          <w:tcPr>
            <w:tcW w:w="125" w:type="pct"/>
            <w:shd w:val="clear"/>
            <w:vAlign w:val="center"/>
          </w:tcPr>
          <w:p>
            <w:pPr>
              <w:pStyle w:val="9"/>
              <w:keepNext w:val="0"/>
              <w:keepLines w:val="0"/>
              <w:widowControl/>
              <w:suppressLineNumbers w:val="0"/>
            </w:pPr>
          </w:p>
        </w:tc>
        <w:tc>
          <w:tcPr>
            <w:tcW w:w="125" w:type="pct"/>
            <w:shd w:val="clear"/>
            <w:vAlign w:val="center"/>
          </w:tcPr>
          <w:p>
            <w:pPr>
              <w:pStyle w:val="9"/>
              <w:keepNext w:val="0"/>
              <w:keepLines w:val="0"/>
              <w:widowControl/>
              <w:suppressLineNumbers w:val="0"/>
            </w:pPr>
          </w:p>
        </w:tc>
        <w:tc>
          <w:tcPr>
            <w:tcW w:w="1105" w:type="pct"/>
            <w:shd w:val="clear"/>
            <w:vAlign w:val="center"/>
          </w:tcPr>
          <w:p>
            <w:pPr>
              <w:pStyle w:val="9"/>
              <w:keepNext w:val="0"/>
              <w:keepLines w:val="0"/>
              <w:widowControl/>
              <w:suppressLineNumbers w:val="0"/>
            </w:pPr>
          </w:p>
        </w:tc>
        <w:tc>
          <w:tcPr>
            <w:tcW w:w="753" w:type="pct"/>
            <w:shd w:val="clear"/>
            <w:vAlign w:val="center"/>
          </w:tcPr>
          <w:p>
            <w:pPr>
              <w:pStyle w:val="9"/>
              <w:keepNext w:val="0"/>
              <w:keepLines w:val="0"/>
              <w:widowControl/>
              <w:suppressLineNumbers w:val="0"/>
            </w:pPr>
          </w:p>
        </w:tc>
        <w:tc>
          <w:tcPr>
            <w:tcW w:w="552" w:type="pct"/>
            <w:shd w:val="clear"/>
            <w:vAlign w:val="center"/>
          </w:tcPr>
          <w:p>
            <w:pPr>
              <w:pStyle w:val="9"/>
              <w:keepNext w:val="0"/>
              <w:keepLines w:val="0"/>
              <w:widowControl/>
              <w:suppressLineNumbers w:val="0"/>
            </w:pPr>
          </w:p>
        </w:tc>
        <w:tc>
          <w:tcPr>
            <w:tcW w:w="552" w:type="pct"/>
            <w:shd w:val="clear"/>
            <w:vAlign w:val="center"/>
          </w:tcPr>
          <w:p>
            <w:pPr>
              <w:pStyle w:val="9"/>
              <w:keepNext w:val="0"/>
              <w:keepLines w:val="0"/>
              <w:widowControl/>
              <w:suppressLineNumbers w:val="0"/>
            </w:pPr>
          </w:p>
        </w:tc>
        <w:tc>
          <w:tcPr>
            <w:tcW w:w="552" w:type="pct"/>
            <w:shd w:val="clear"/>
            <w:vAlign w:val="center"/>
          </w:tcPr>
          <w:p>
            <w:pPr>
              <w:pStyle w:val="9"/>
              <w:keepNext w:val="0"/>
              <w:keepLines w:val="0"/>
              <w:widowControl/>
              <w:suppressLineNumbers w:val="0"/>
            </w:pPr>
          </w:p>
        </w:tc>
        <w:tc>
          <w:tcPr>
            <w:tcW w:w="1105" w:type="pct"/>
            <w:gridSpan w:val="2"/>
            <w:shd w:val="clear"/>
            <w:vAlign w:val="center"/>
          </w:tcPr>
          <w:p>
            <w:pPr>
              <w:pStyle w:val="9"/>
              <w:keepNext w:val="0"/>
              <w:keepLines w:val="0"/>
              <w:widowControl/>
              <w:suppressLineNumbers w:val="0"/>
              <w:jc w:val="right"/>
            </w:pPr>
            <w:r>
              <w:rPr>
                <w:b w:val="0"/>
                <w:bCs w:val="0"/>
                <w:sz w:val="20"/>
                <w:szCs w:val="20"/>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894" w:type="pct"/>
            <w:gridSpan w:val="8"/>
            <w:shd w:val="clear"/>
            <w:vAlign w:val="center"/>
          </w:tcPr>
          <w:p>
            <w:pPr>
              <w:pStyle w:val="9"/>
              <w:keepNext w:val="0"/>
              <w:keepLines w:val="0"/>
              <w:widowControl/>
              <w:suppressLineNumbers w:val="0"/>
              <w:jc w:val="left"/>
            </w:pPr>
            <w:r>
              <w:rPr>
                <w:b w:val="0"/>
                <w:bCs w:val="0"/>
                <w:sz w:val="22"/>
                <w:szCs w:val="22"/>
              </w:rPr>
              <w:t>部门：湘乡市统计局</w:t>
            </w:r>
          </w:p>
        </w:tc>
        <w:tc>
          <w:tcPr>
            <w:tcW w:w="1105" w:type="pct"/>
            <w:gridSpan w:val="2"/>
            <w:shd w:val="clear"/>
            <w:vAlign w:val="center"/>
          </w:tcPr>
          <w:p>
            <w:pPr>
              <w:pStyle w:val="9"/>
              <w:keepNext w:val="0"/>
              <w:keepLines w:val="0"/>
              <w:widowControl/>
              <w:suppressLineNumbers w:val="0"/>
              <w:jc w:val="right"/>
            </w:pPr>
            <w:r>
              <w:rPr>
                <w:b w:val="0"/>
                <w:bCs w:val="0"/>
                <w:sz w:val="20"/>
                <w:szCs w:val="20"/>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76" w:type="pct"/>
            <w:gridSpan w:val="3"/>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科目编码</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科目名称</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本年支出合计</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基本支出</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项目支出</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上缴上级支出</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经营支出</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76" w:type="pct"/>
            <w:gridSpan w:val="3"/>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76" w:type="pct"/>
            <w:gridSpan w:val="3"/>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76" w:type="pct"/>
            <w:gridSpan w:val="3"/>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82" w:type="pct"/>
            <w:gridSpan w:val="4"/>
            <w:tcBorders>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栏次</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82" w:type="pct"/>
            <w:gridSpan w:val="4"/>
            <w:tcBorders>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合计</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288.43</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254.88</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33.55</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7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201</w:t>
            </w:r>
          </w:p>
        </w:tc>
        <w:tc>
          <w:tcPr>
            <w:tcW w:w="110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一般公共服务支出</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248.29</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214.74</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33.55</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7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20105</w:t>
            </w:r>
          </w:p>
        </w:tc>
        <w:tc>
          <w:tcPr>
            <w:tcW w:w="110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统计信息事务</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242.60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209.35</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33.25</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7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2010501</w:t>
            </w:r>
          </w:p>
        </w:tc>
        <w:tc>
          <w:tcPr>
            <w:tcW w:w="110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行政运行</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194.36</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194.36</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7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2010502</w:t>
            </w:r>
          </w:p>
        </w:tc>
        <w:tc>
          <w:tcPr>
            <w:tcW w:w="110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一般行政管理事务</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48.24</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14.99</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33.25</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blCellSpacing w:w="0" w:type="dxa"/>
          <w:jc w:val="center"/>
        </w:trPr>
        <w:tc>
          <w:tcPr>
            <w:tcW w:w="37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20132</w:t>
            </w:r>
          </w:p>
        </w:tc>
        <w:tc>
          <w:tcPr>
            <w:tcW w:w="110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组织事务</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5.69</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5.39</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0.30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7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2013299</w:t>
            </w:r>
          </w:p>
        </w:tc>
        <w:tc>
          <w:tcPr>
            <w:tcW w:w="110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其他组织事务支出</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5.69</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5.39</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0.30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7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208</w:t>
            </w:r>
          </w:p>
        </w:tc>
        <w:tc>
          <w:tcPr>
            <w:tcW w:w="110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社会保障和就业支出</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16.69</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16.69</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7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20805</w:t>
            </w:r>
          </w:p>
        </w:tc>
        <w:tc>
          <w:tcPr>
            <w:tcW w:w="110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行政事业单位养老支出</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16.46</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16.46</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7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2080505</w:t>
            </w:r>
          </w:p>
        </w:tc>
        <w:tc>
          <w:tcPr>
            <w:tcW w:w="110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机关事业单位基本养老保险缴费支出</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16.46</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16.46</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7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20899</w:t>
            </w:r>
          </w:p>
        </w:tc>
        <w:tc>
          <w:tcPr>
            <w:tcW w:w="110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其他社会保障和就业支出</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0.23</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0.23</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7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2089999</w:t>
            </w:r>
          </w:p>
        </w:tc>
        <w:tc>
          <w:tcPr>
            <w:tcW w:w="110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其他社会保障和就业支出</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0.23</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0.23</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7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210</w:t>
            </w:r>
          </w:p>
        </w:tc>
        <w:tc>
          <w:tcPr>
            <w:tcW w:w="110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卫生健康支出</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7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21011</w:t>
            </w:r>
          </w:p>
        </w:tc>
        <w:tc>
          <w:tcPr>
            <w:tcW w:w="110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行政事业单位医疗</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7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2101101</w:t>
            </w:r>
          </w:p>
        </w:tc>
        <w:tc>
          <w:tcPr>
            <w:tcW w:w="110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行政单位医疗</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7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221</w:t>
            </w:r>
          </w:p>
        </w:tc>
        <w:tc>
          <w:tcPr>
            <w:tcW w:w="110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住房保障支出</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7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22102</w:t>
            </w:r>
          </w:p>
        </w:tc>
        <w:tc>
          <w:tcPr>
            <w:tcW w:w="110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住房改革支出</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7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2210201</w:t>
            </w:r>
          </w:p>
        </w:tc>
        <w:tc>
          <w:tcPr>
            <w:tcW w:w="110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住房公积金</w:t>
            </w:r>
          </w:p>
        </w:tc>
        <w:tc>
          <w:tcPr>
            <w:tcW w:w="7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552"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5000" w:type="pct"/>
            <w:gridSpan w:val="10"/>
            <w:shd w:val="clear"/>
            <w:vAlign w:val="center"/>
          </w:tcPr>
          <w:p>
            <w:pPr>
              <w:pStyle w:val="9"/>
              <w:keepNext w:val="0"/>
              <w:keepLines w:val="0"/>
              <w:widowControl/>
              <w:suppressLineNumbers w:val="0"/>
              <w:jc w:val="left"/>
            </w:pPr>
            <w:r>
              <w:rPr>
                <w:b w:val="0"/>
                <w:bCs w:val="0"/>
                <w:sz w:val="22"/>
                <w:szCs w:val="22"/>
              </w:rPr>
              <w:t>注：本表反映部门本年度各项支出情况。本表金额转换为万元时，因四舍五入可能存在尾数误差。</w:t>
            </w:r>
          </w:p>
        </w:tc>
      </w:tr>
    </w:tbl>
    <w:p>
      <w:pPr>
        <w:spacing w:before="0" w:beforeAutospacing="0" w:after="1" w:afterAutospacing="0"/>
        <w:ind w:left="0" w:right="0"/>
        <w:jc w:val="center"/>
        <w:rPr>
          <w:sz w:val="21"/>
          <w:szCs w:val="21"/>
        </w:rPr>
      </w:pPr>
    </w:p>
    <w:tbl>
      <w:tblPr>
        <w:tblW w:w="500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204"/>
        <w:gridCol w:w="529"/>
        <w:gridCol w:w="1559"/>
        <w:gridCol w:w="3692"/>
        <w:gridCol w:w="529"/>
        <w:gridCol w:w="2130"/>
        <w:gridCol w:w="1466"/>
        <w:gridCol w:w="1463"/>
        <w:gridCol w:w="14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5000" w:type="pct"/>
            <w:gridSpan w:val="9"/>
            <w:shd w:val="clear"/>
            <w:vAlign w:val="center"/>
          </w:tcPr>
          <w:p>
            <w:pPr>
              <w:pStyle w:val="9"/>
              <w:keepNext w:val="0"/>
              <w:keepLines w:val="0"/>
              <w:widowControl/>
              <w:suppressLineNumbers w:val="0"/>
              <w:jc w:val="center"/>
            </w:pPr>
            <w:r>
              <w:rPr>
                <w:b w:val="0"/>
                <w:bCs w:val="0"/>
                <w:sz w:val="40"/>
                <w:szCs w:val="40"/>
              </w:rPr>
              <w:t>财政拨款收入支出决算总表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shd w:val="clear"/>
            <w:vAlign w:val="center"/>
          </w:tcPr>
          <w:p>
            <w:pPr>
              <w:pStyle w:val="9"/>
              <w:keepNext w:val="0"/>
              <w:keepLines w:val="0"/>
              <w:widowControl/>
              <w:suppressLineNumbers w:val="0"/>
            </w:pPr>
          </w:p>
        </w:tc>
        <w:tc>
          <w:tcPr>
            <w:tcW w:w="165" w:type="pct"/>
            <w:shd w:val="clear"/>
            <w:vAlign w:val="center"/>
          </w:tcPr>
          <w:p>
            <w:pPr>
              <w:pStyle w:val="9"/>
              <w:keepNext w:val="0"/>
              <w:keepLines w:val="0"/>
              <w:widowControl/>
              <w:suppressLineNumbers w:val="0"/>
            </w:pPr>
          </w:p>
        </w:tc>
        <w:tc>
          <w:tcPr>
            <w:tcW w:w="486" w:type="pct"/>
            <w:shd w:val="clear"/>
            <w:vAlign w:val="center"/>
          </w:tcPr>
          <w:p>
            <w:pPr>
              <w:pStyle w:val="9"/>
              <w:keepNext w:val="0"/>
              <w:keepLines w:val="0"/>
              <w:widowControl/>
              <w:suppressLineNumbers w:val="0"/>
            </w:pPr>
          </w:p>
        </w:tc>
        <w:tc>
          <w:tcPr>
            <w:tcW w:w="1151" w:type="pct"/>
            <w:shd w:val="clear"/>
            <w:vAlign w:val="center"/>
          </w:tcPr>
          <w:p>
            <w:pPr>
              <w:pStyle w:val="9"/>
              <w:keepNext w:val="0"/>
              <w:keepLines w:val="0"/>
              <w:widowControl/>
              <w:suppressLineNumbers w:val="0"/>
            </w:pPr>
          </w:p>
        </w:tc>
        <w:tc>
          <w:tcPr>
            <w:tcW w:w="165" w:type="pct"/>
            <w:shd w:val="clear"/>
            <w:vAlign w:val="center"/>
          </w:tcPr>
          <w:p>
            <w:pPr>
              <w:pStyle w:val="9"/>
              <w:keepNext w:val="0"/>
              <w:keepLines w:val="0"/>
              <w:widowControl/>
              <w:suppressLineNumbers w:val="0"/>
            </w:pPr>
          </w:p>
        </w:tc>
        <w:tc>
          <w:tcPr>
            <w:tcW w:w="664" w:type="pct"/>
            <w:shd w:val="clear"/>
            <w:vAlign w:val="center"/>
          </w:tcPr>
          <w:p>
            <w:pPr>
              <w:pStyle w:val="9"/>
              <w:keepNext w:val="0"/>
              <w:keepLines w:val="0"/>
              <w:widowControl/>
              <w:suppressLineNumbers w:val="0"/>
            </w:pPr>
          </w:p>
        </w:tc>
        <w:tc>
          <w:tcPr>
            <w:tcW w:w="456" w:type="pct"/>
            <w:shd w:val="clear"/>
            <w:vAlign w:val="center"/>
          </w:tcPr>
          <w:p>
            <w:pPr>
              <w:pStyle w:val="9"/>
              <w:keepNext w:val="0"/>
              <w:keepLines w:val="0"/>
              <w:widowControl/>
              <w:suppressLineNumbers w:val="0"/>
            </w:pPr>
          </w:p>
        </w:tc>
        <w:tc>
          <w:tcPr>
            <w:tcW w:w="912" w:type="pct"/>
            <w:gridSpan w:val="2"/>
            <w:shd w:val="clear"/>
            <w:vAlign w:val="center"/>
          </w:tcPr>
          <w:p>
            <w:pPr>
              <w:pStyle w:val="9"/>
              <w:keepNext w:val="0"/>
              <w:keepLines w:val="0"/>
              <w:widowControl/>
              <w:suppressLineNumbers w:val="0"/>
              <w:jc w:val="right"/>
            </w:pPr>
            <w:r>
              <w:rPr>
                <w:b w:val="0"/>
                <w:bCs w:val="0"/>
                <w:sz w:val="20"/>
                <w:szCs w:val="20"/>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4087" w:type="pct"/>
            <w:gridSpan w:val="7"/>
            <w:shd w:val="clear"/>
            <w:vAlign w:val="center"/>
          </w:tcPr>
          <w:p>
            <w:pPr>
              <w:pStyle w:val="9"/>
              <w:keepNext w:val="0"/>
              <w:keepLines w:val="0"/>
              <w:widowControl/>
              <w:suppressLineNumbers w:val="0"/>
              <w:jc w:val="left"/>
            </w:pPr>
            <w:r>
              <w:rPr>
                <w:b w:val="0"/>
                <w:bCs w:val="0"/>
                <w:sz w:val="22"/>
                <w:szCs w:val="22"/>
              </w:rPr>
              <w:t>部门：湘乡市统计局</w:t>
            </w:r>
          </w:p>
        </w:tc>
        <w:tc>
          <w:tcPr>
            <w:tcW w:w="912" w:type="pct"/>
            <w:gridSpan w:val="2"/>
            <w:shd w:val="clear"/>
            <w:vAlign w:val="center"/>
          </w:tcPr>
          <w:p>
            <w:pPr>
              <w:pStyle w:val="9"/>
              <w:keepNext w:val="0"/>
              <w:keepLines w:val="0"/>
              <w:widowControl/>
              <w:suppressLineNumbers w:val="0"/>
              <w:jc w:val="right"/>
            </w:pPr>
            <w:r>
              <w:rPr>
                <w:b w:val="0"/>
                <w:bCs w:val="0"/>
                <w:sz w:val="20"/>
                <w:szCs w:val="20"/>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650"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收 入</w:t>
            </w:r>
          </w:p>
        </w:tc>
        <w:tc>
          <w:tcPr>
            <w:tcW w:w="3349" w:type="pct"/>
            <w:gridSpan w:val="6"/>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项目</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行次</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金额</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项目</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行次</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合计</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一般公共预算财政拨款</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政府性基金预算财政拨款</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栏次</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w:t>
            </w: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栏次</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一、一般公共预算财政拨款</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282.74</w:t>
            </w: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一、一般公共服务支出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33</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242.60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242.60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二、政府性基金预算财政拨款</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二、外交支出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34</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三、国有资本经营财政拨款</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三、国防支出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35</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四、公共安全支出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36</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五、教育支出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37</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6</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六、科学技术支出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38</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7</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七、文化旅游体育与传媒支出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39</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8</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八、社会保障和就业支出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40</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16.69</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16.69</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9</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九、卫生健康支出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41</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10</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十、节能环保支出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42</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11</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十一、城乡社区支出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43</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12</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十二、农林水支出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44</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13</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十三、交通运输支出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45</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14</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十四、资源勘探工业信息等支出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46</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15</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十五、商业服务业等支出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47</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16</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十六、金融支出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48</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17</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十七、援助其他地区支出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49</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18</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十八、自然资源海洋气象等支出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50</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19</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十九、住房保障支出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51</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20</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二十、粮油物资储备支出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52</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21</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二十一、国有资本经营预算支出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53</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22</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二十二、灾害防治及应急管理支出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54</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23</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二十三、其他支出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55</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24</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二十四、债务还本支出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56</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25</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二十五、债务付息支出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57</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26</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二十六、抗疫特别国债安排的支出</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58</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bCs/>
                <w:sz w:val="22"/>
                <w:szCs w:val="22"/>
              </w:rPr>
              <w:t>本年收入合计</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27</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282.74</w:t>
            </w: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bCs/>
                <w:sz w:val="22"/>
                <w:szCs w:val="22"/>
              </w:rPr>
              <w:t>本年支出合计</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59</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282.74</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282.74</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年初财政拨款结转和结余</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28</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年末财政拨款结转和结余</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60</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一般公共预算财政拨款</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29</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61</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政府性基金预算财政拨款</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30</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62</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国有资本经营预算财政拨款</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31</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63</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99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bCs/>
                <w:sz w:val="22"/>
                <w:szCs w:val="22"/>
              </w:rPr>
              <w:t>总计</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32</w:t>
            </w:r>
          </w:p>
        </w:tc>
        <w:tc>
          <w:tcPr>
            <w:tcW w:w="48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282.74</w:t>
            </w:r>
          </w:p>
        </w:tc>
        <w:tc>
          <w:tcPr>
            <w:tcW w:w="1151"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bCs/>
                <w:sz w:val="22"/>
                <w:szCs w:val="22"/>
              </w:rPr>
              <w:t>总计</w:t>
            </w:r>
          </w:p>
        </w:tc>
        <w:tc>
          <w:tcPr>
            <w:tcW w:w="165"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64</w:t>
            </w:r>
          </w:p>
        </w:tc>
        <w:tc>
          <w:tcPr>
            <w:tcW w:w="6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282.74</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282.74</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0.00</w:t>
            </w:r>
          </w:p>
        </w:tc>
        <w:tc>
          <w:tcPr>
            <w:tcW w:w="45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5000" w:type="pct"/>
            <w:gridSpan w:val="9"/>
            <w:shd w:val="clear"/>
            <w:vAlign w:val="center"/>
          </w:tcPr>
          <w:p>
            <w:pPr>
              <w:pStyle w:val="9"/>
              <w:keepNext w:val="0"/>
              <w:keepLines w:val="0"/>
              <w:widowControl/>
              <w:suppressLineNumbers w:val="0"/>
              <w:jc w:val="left"/>
            </w:pPr>
            <w:r>
              <w:rPr>
                <w:b w:val="0"/>
                <w:bCs w:val="0"/>
                <w:sz w:val="22"/>
                <w:szCs w:val="22"/>
              </w:rPr>
              <w:t>注：本表反映部门本年度一般公共预算财政拨款、政府性基金预算财政拨款和国有资本经营预算财政拨款的总收支和年末结转结余情况。本表金额转换为万元时，因四舍五入可能存在尾数误差。</w:t>
            </w:r>
          </w:p>
        </w:tc>
      </w:tr>
    </w:tbl>
    <w:p>
      <w:pPr>
        <w:spacing w:before="0" w:beforeAutospacing="0" w:after="1" w:afterAutospacing="0"/>
        <w:ind w:left="0" w:right="0"/>
        <w:jc w:val="center"/>
        <w:rPr>
          <w:sz w:val="21"/>
          <w:szCs w:val="21"/>
        </w:rPr>
      </w:pPr>
    </w:p>
    <w:tbl>
      <w:tblPr>
        <w:tblW w:w="500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52"/>
        <w:gridCol w:w="452"/>
        <w:gridCol w:w="455"/>
        <w:gridCol w:w="5398"/>
        <w:gridCol w:w="3092"/>
        <w:gridCol w:w="3093"/>
        <w:gridCol w:w="30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5000" w:type="pct"/>
            <w:gridSpan w:val="7"/>
            <w:shd w:val="clear"/>
            <w:vAlign w:val="center"/>
          </w:tcPr>
          <w:p>
            <w:pPr>
              <w:pStyle w:val="9"/>
              <w:keepNext w:val="0"/>
              <w:keepLines w:val="0"/>
              <w:widowControl/>
              <w:suppressLineNumbers w:val="0"/>
              <w:jc w:val="center"/>
            </w:pPr>
            <w:r>
              <w:rPr>
                <w:b w:val="0"/>
                <w:bCs w:val="0"/>
                <w:sz w:val="40"/>
                <w:szCs w:val="40"/>
              </w:rPr>
              <w:t>一般公共预算财政拨款支出决算表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41" w:type="pct"/>
            <w:shd w:val="clear"/>
            <w:vAlign w:val="center"/>
          </w:tcPr>
          <w:p>
            <w:pPr>
              <w:pStyle w:val="9"/>
              <w:keepNext w:val="0"/>
              <w:keepLines w:val="0"/>
              <w:widowControl/>
              <w:suppressLineNumbers w:val="0"/>
            </w:pPr>
          </w:p>
        </w:tc>
        <w:tc>
          <w:tcPr>
            <w:tcW w:w="141" w:type="pct"/>
            <w:shd w:val="clear"/>
            <w:vAlign w:val="center"/>
          </w:tcPr>
          <w:p>
            <w:pPr>
              <w:pStyle w:val="9"/>
              <w:keepNext w:val="0"/>
              <w:keepLines w:val="0"/>
              <w:widowControl/>
              <w:suppressLineNumbers w:val="0"/>
            </w:pPr>
          </w:p>
        </w:tc>
        <w:tc>
          <w:tcPr>
            <w:tcW w:w="141" w:type="pct"/>
            <w:shd w:val="clear"/>
            <w:vAlign w:val="center"/>
          </w:tcPr>
          <w:p>
            <w:pPr>
              <w:pStyle w:val="9"/>
              <w:keepNext w:val="0"/>
              <w:keepLines w:val="0"/>
              <w:widowControl/>
              <w:suppressLineNumbers w:val="0"/>
            </w:pPr>
          </w:p>
        </w:tc>
        <w:tc>
          <w:tcPr>
            <w:tcW w:w="1683" w:type="pct"/>
            <w:shd w:val="clear"/>
            <w:vAlign w:val="center"/>
          </w:tcPr>
          <w:p>
            <w:pPr>
              <w:pStyle w:val="9"/>
              <w:keepNext w:val="0"/>
              <w:keepLines w:val="0"/>
              <w:widowControl/>
              <w:suppressLineNumbers w:val="0"/>
            </w:pPr>
          </w:p>
        </w:tc>
        <w:tc>
          <w:tcPr>
            <w:tcW w:w="964" w:type="pct"/>
            <w:shd w:val="clear"/>
            <w:vAlign w:val="center"/>
          </w:tcPr>
          <w:p>
            <w:pPr>
              <w:pStyle w:val="9"/>
              <w:keepNext w:val="0"/>
              <w:keepLines w:val="0"/>
              <w:widowControl/>
              <w:suppressLineNumbers w:val="0"/>
            </w:pPr>
          </w:p>
        </w:tc>
        <w:tc>
          <w:tcPr>
            <w:tcW w:w="1928" w:type="pct"/>
            <w:gridSpan w:val="2"/>
            <w:shd w:val="clear"/>
            <w:vAlign w:val="center"/>
          </w:tcPr>
          <w:p>
            <w:pPr>
              <w:pStyle w:val="9"/>
              <w:keepNext w:val="0"/>
              <w:keepLines w:val="0"/>
              <w:widowControl/>
              <w:suppressLineNumbers w:val="0"/>
              <w:jc w:val="right"/>
            </w:pPr>
            <w:r>
              <w:rPr>
                <w:b w:val="0"/>
                <w:bCs w:val="0"/>
                <w:sz w:val="20"/>
                <w:szCs w:val="20"/>
              </w:rPr>
              <w:t>公开05表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071" w:type="pct"/>
            <w:gridSpan w:val="5"/>
            <w:shd w:val="clear"/>
            <w:vAlign w:val="center"/>
          </w:tcPr>
          <w:p>
            <w:pPr>
              <w:pStyle w:val="9"/>
              <w:keepNext w:val="0"/>
              <w:keepLines w:val="0"/>
              <w:widowControl/>
              <w:suppressLineNumbers w:val="0"/>
              <w:jc w:val="left"/>
            </w:pPr>
            <w:r>
              <w:rPr>
                <w:b w:val="0"/>
                <w:bCs w:val="0"/>
                <w:sz w:val="22"/>
                <w:szCs w:val="22"/>
              </w:rPr>
              <w:t>部门：湘乡市统计局</w:t>
            </w:r>
          </w:p>
        </w:tc>
        <w:tc>
          <w:tcPr>
            <w:tcW w:w="1928" w:type="pct"/>
            <w:gridSpan w:val="2"/>
            <w:shd w:val="clear"/>
            <w:vAlign w:val="center"/>
          </w:tcPr>
          <w:p>
            <w:pPr>
              <w:pStyle w:val="9"/>
              <w:keepNext w:val="0"/>
              <w:keepLines w:val="0"/>
              <w:widowControl/>
              <w:suppressLineNumbers w:val="0"/>
              <w:jc w:val="right"/>
            </w:pPr>
            <w:r>
              <w:rPr>
                <w:b w:val="0"/>
                <w:bCs w:val="0"/>
                <w:sz w:val="20"/>
                <w:szCs w:val="20"/>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24" w:type="pct"/>
            <w:gridSpan w:val="3"/>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科目编码</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科目名称</w:t>
            </w:r>
          </w:p>
        </w:tc>
        <w:tc>
          <w:tcPr>
            <w:tcW w:w="2892"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424" w:type="pct"/>
            <w:gridSpan w:val="3"/>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24"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合计</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基本支出</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424" w:type="pct"/>
            <w:gridSpan w:val="3"/>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24"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24" w:type="pct"/>
            <w:gridSpan w:val="3"/>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24"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107" w:type="pct"/>
            <w:gridSpan w:val="4"/>
            <w:tcBorders>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栏次</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7</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8</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107" w:type="pct"/>
            <w:gridSpan w:val="4"/>
            <w:tcBorders>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合计</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282.74</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249.49</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33.25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24"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201</w:t>
            </w:r>
          </w:p>
        </w:tc>
        <w:tc>
          <w:tcPr>
            <w:tcW w:w="168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一般公共服务支出</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242.60</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209.35</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33.25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24"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20105</w:t>
            </w:r>
          </w:p>
        </w:tc>
        <w:tc>
          <w:tcPr>
            <w:tcW w:w="168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统计信息事务</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242.60</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209.35</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33.25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24"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2010501</w:t>
            </w:r>
          </w:p>
        </w:tc>
        <w:tc>
          <w:tcPr>
            <w:tcW w:w="168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行政运行</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194.36</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194.36</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24"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2010502</w:t>
            </w:r>
          </w:p>
        </w:tc>
        <w:tc>
          <w:tcPr>
            <w:tcW w:w="168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一般行政管理事务</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48.24</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14.99</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33.25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24"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208</w:t>
            </w:r>
          </w:p>
        </w:tc>
        <w:tc>
          <w:tcPr>
            <w:tcW w:w="168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社会保障和就业支出</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16.69</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16.69</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424"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20805</w:t>
            </w:r>
          </w:p>
        </w:tc>
        <w:tc>
          <w:tcPr>
            <w:tcW w:w="168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行政事业单位养老支出</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16.46</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16.46</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24"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2080505</w:t>
            </w:r>
          </w:p>
        </w:tc>
        <w:tc>
          <w:tcPr>
            <w:tcW w:w="168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机关事业单位基本养老保险缴费支出</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16.46</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16.46</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24"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20899</w:t>
            </w:r>
          </w:p>
        </w:tc>
        <w:tc>
          <w:tcPr>
            <w:tcW w:w="168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其他社会保障和就业支出</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0.23</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0.23</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24"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2089999</w:t>
            </w:r>
          </w:p>
        </w:tc>
        <w:tc>
          <w:tcPr>
            <w:tcW w:w="168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其他社会保障和就业支出</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0.23</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0.23</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24"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210</w:t>
            </w:r>
          </w:p>
        </w:tc>
        <w:tc>
          <w:tcPr>
            <w:tcW w:w="168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卫生健康支出</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24"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21011</w:t>
            </w:r>
          </w:p>
        </w:tc>
        <w:tc>
          <w:tcPr>
            <w:tcW w:w="168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行政事业单位医疗</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24"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2101101</w:t>
            </w:r>
          </w:p>
        </w:tc>
        <w:tc>
          <w:tcPr>
            <w:tcW w:w="168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行政单位医疗</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24"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221</w:t>
            </w:r>
          </w:p>
        </w:tc>
        <w:tc>
          <w:tcPr>
            <w:tcW w:w="168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住房保障支出</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24"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22102</w:t>
            </w:r>
          </w:p>
        </w:tc>
        <w:tc>
          <w:tcPr>
            <w:tcW w:w="168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住房改革支出</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424"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2210201</w:t>
            </w:r>
          </w:p>
        </w:tc>
        <w:tc>
          <w:tcPr>
            <w:tcW w:w="168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住房公积金</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14.71</w:t>
            </w:r>
          </w:p>
        </w:tc>
        <w:tc>
          <w:tcPr>
            <w:tcW w:w="96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5000" w:type="pct"/>
            <w:gridSpan w:val="7"/>
            <w:shd w:val="clear"/>
            <w:vAlign w:val="center"/>
          </w:tcPr>
          <w:p>
            <w:pPr>
              <w:pStyle w:val="9"/>
              <w:keepNext w:val="0"/>
              <w:keepLines w:val="0"/>
              <w:widowControl/>
              <w:suppressLineNumbers w:val="0"/>
              <w:jc w:val="left"/>
            </w:pPr>
            <w:r>
              <w:rPr>
                <w:b w:val="0"/>
                <w:bCs w:val="0"/>
                <w:sz w:val="22"/>
                <w:szCs w:val="22"/>
              </w:rPr>
              <w:t>注：本表反映部门本年度一般公共预算财政拨款支出情况。本表金额转换为万元时，因四舍五入可能存在尾数误差。</w:t>
            </w:r>
          </w:p>
        </w:tc>
      </w:tr>
    </w:tbl>
    <w:p>
      <w:pPr>
        <w:spacing w:before="0" w:beforeAutospacing="0" w:after="1" w:afterAutospacing="0"/>
        <w:ind w:left="0" w:right="0"/>
        <w:jc w:val="center"/>
        <w:rPr>
          <w:sz w:val="21"/>
          <w:szCs w:val="21"/>
        </w:rPr>
      </w:pPr>
    </w:p>
    <w:tbl>
      <w:tblPr>
        <w:tblW w:w="500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718"/>
        <w:gridCol w:w="3380"/>
        <w:gridCol w:w="1726"/>
        <w:gridCol w:w="719"/>
        <w:gridCol w:w="2659"/>
        <w:gridCol w:w="1726"/>
        <w:gridCol w:w="722"/>
        <w:gridCol w:w="2659"/>
        <w:gridCol w:w="172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5000" w:type="pct"/>
            <w:gridSpan w:val="9"/>
            <w:shd w:val="clear"/>
            <w:vAlign w:val="center"/>
          </w:tcPr>
          <w:p>
            <w:pPr>
              <w:pStyle w:val="9"/>
              <w:keepNext w:val="0"/>
              <w:keepLines w:val="0"/>
              <w:widowControl/>
              <w:suppressLineNumbers w:val="0"/>
              <w:jc w:val="center"/>
            </w:pPr>
            <w:r>
              <w:rPr>
                <w:b w:val="0"/>
                <w:bCs w:val="0"/>
                <w:sz w:val="40"/>
                <w:szCs w:val="40"/>
              </w:rPr>
              <w:t>一般公共预算财政拨款基本支出决算明细表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224" w:type="pct"/>
            <w:shd w:val="clear"/>
            <w:vAlign w:val="center"/>
          </w:tcPr>
          <w:p>
            <w:pPr>
              <w:pStyle w:val="9"/>
              <w:keepNext w:val="0"/>
              <w:keepLines w:val="0"/>
              <w:widowControl/>
              <w:suppressLineNumbers w:val="0"/>
            </w:pPr>
          </w:p>
        </w:tc>
        <w:tc>
          <w:tcPr>
            <w:tcW w:w="1053" w:type="pct"/>
            <w:shd w:val="clear"/>
            <w:vAlign w:val="center"/>
          </w:tcPr>
          <w:p>
            <w:pPr>
              <w:pStyle w:val="9"/>
              <w:keepNext w:val="0"/>
              <w:keepLines w:val="0"/>
              <w:widowControl/>
              <w:suppressLineNumbers w:val="0"/>
            </w:pPr>
          </w:p>
        </w:tc>
        <w:tc>
          <w:tcPr>
            <w:tcW w:w="538" w:type="pct"/>
            <w:shd w:val="clear"/>
            <w:vAlign w:val="center"/>
          </w:tcPr>
          <w:p>
            <w:pPr>
              <w:pStyle w:val="9"/>
              <w:keepNext w:val="0"/>
              <w:keepLines w:val="0"/>
              <w:widowControl/>
              <w:suppressLineNumbers w:val="0"/>
            </w:pPr>
          </w:p>
        </w:tc>
        <w:tc>
          <w:tcPr>
            <w:tcW w:w="224" w:type="pct"/>
            <w:shd w:val="clear"/>
            <w:vAlign w:val="center"/>
          </w:tcPr>
          <w:p>
            <w:pPr>
              <w:pStyle w:val="9"/>
              <w:keepNext w:val="0"/>
              <w:keepLines w:val="0"/>
              <w:widowControl/>
              <w:suppressLineNumbers w:val="0"/>
            </w:pPr>
          </w:p>
        </w:tc>
        <w:tc>
          <w:tcPr>
            <w:tcW w:w="829" w:type="pct"/>
            <w:shd w:val="clear"/>
            <w:vAlign w:val="center"/>
          </w:tcPr>
          <w:p>
            <w:pPr>
              <w:pStyle w:val="9"/>
              <w:keepNext w:val="0"/>
              <w:keepLines w:val="0"/>
              <w:widowControl/>
              <w:suppressLineNumbers w:val="0"/>
            </w:pPr>
          </w:p>
        </w:tc>
        <w:tc>
          <w:tcPr>
            <w:tcW w:w="538" w:type="pct"/>
            <w:shd w:val="clear"/>
            <w:vAlign w:val="center"/>
          </w:tcPr>
          <w:p>
            <w:pPr>
              <w:pStyle w:val="9"/>
              <w:keepNext w:val="0"/>
              <w:keepLines w:val="0"/>
              <w:widowControl/>
              <w:suppressLineNumbers w:val="0"/>
            </w:pPr>
          </w:p>
        </w:tc>
        <w:tc>
          <w:tcPr>
            <w:tcW w:w="224" w:type="pct"/>
            <w:shd w:val="clear"/>
            <w:vAlign w:val="center"/>
          </w:tcPr>
          <w:p>
            <w:pPr>
              <w:pStyle w:val="9"/>
              <w:keepNext w:val="0"/>
              <w:keepLines w:val="0"/>
              <w:widowControl/>
              <w:suppressLineNumbers w:val="0"/>
            </w:pPr>
          </w:p>
        </w:tc>
        <w:tc>
          <w:tcPr>
            <w:tcW w:w="1367" w:type="pct"/>
            <w:gridSpan w:val="2"/>
            <w:shd w:val="clear"/>
            <w:vAlign w:val="center"/>
          </w:tcPr>
          <w:p>
            <w:pPr>
              <w:pStyle w:val="9"/>
              <w:keepNext w:val="0"/>
              <w:keepLines w:val="0"/>
              <w:widowControl/>
              <w:suppressLineNumbers w:val="0"/>
              <w:jc w:val="right"/>
            </w:pPr>
            <w:r>
              <w:rPr>
                <w:b w:val="0"/>
                <w:bCs w:val="0"/>
                <w:sz w:val="18"/>
                <w:szCs w:val="18"/>
              </w:rPr>
              <w:t>公开06表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632" w:type="pct"/>
            <w:gridSpan w:val="7"/>
            <w:shd w:val="clear"/>
            <w:vAlign w:val="center"/>
          </w:tcPr>
          <w:p>
            <w:pPr>
              <w:pStyle w:val="9"/>
              <w:keepNext w:val="0"/>
              <w:keepLines w:val="0"/>
              <w:widowControl/>
              <w:suppressLineNumbers w:val="0"/>
              <w:jc w:val="left"/>
            </w:pPr>
            <w:r>
              <w:rPr>
                <w:b w:val="0"/>
                <w:bCs w:val="0"/>
                <w:sz w:val="22"/>
                <w:szCs w:val="22"/>
              </w:rPr>
              <w:t>部门：湘乡市统计局</w:t>
            </w:r>
          </w:p>
        </w:tc>
        <w:tc>
          <w:tcPr>
            <w:tcW w:w="1367" w:type="pct"/>
            <w:gridSpan w:val="2"/>
            <w:shd w:val="clear"/>
            <w:vAlign w:val="center"/>
          </w:tcPr>
          <w:p>
            <w:pPr>
              <w:pStyle w:val="9"/>
              <w:keepNext w:val="0"/>
              <w:keepLines w:val="0"/>
              <w:widowControl/>
              <w:suppressLineNumbers w:val="0"/>
              <w:jc w:val="right"/>
            </w:pPr>
            <w:r>
              <w:rPr>
                <w:b w:val="0"/>
                <w:bCs w:val="0"/>
                <w:sz w:val="18"/>
                <w:szCs w:val="18"/>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816"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人员经费</w:t>
            </w:r>
          </w:p>
        </w:tc>
        <w:tc>
          <w:tcPr>
            <w:tcW w:w="3183" w:type="pct"/>
            <w:gridSpan w:val="6"/>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科目编码</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科目名称</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决算数</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科目编码</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科目名称</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决算数</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科目编码</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科目名称</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bCs/>
                <w:sz w:val="22"/>
                <w:szCs w:val="22"/>
              </w:rPr>
              <w:t>301</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bCs/>
                <w:sz w:val="22"/>
                <w:szCs w:val="22"/>
              </w:rPr>
              <w:t>工资福利支出</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195.64</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bCs/>
                <w:sz w:val="22"/>
                <w:szCs w:val="22"/>
              </w:rPr>
              <w:t>302</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bCs/>
                <w:sz w:val="22"/>
                <w:szCs w:val="22"/>
              </w:rPr>
              <w:t>商品和服务支出</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39.35</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bCs/>
                <w:sz w:val="22"/>
                <w:szCs w:val="22"/>
              </w:rPr>
              <w:t>307</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bCs/>
                <w:sz w:val="22"/>
                <w:szCs w:val="22"/>
              </w:rPr>
              <w:t>债务利息及费用支出</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30101</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基本工资</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63.00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30201</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办公费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6.80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30701</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国内债务付息</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30102</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津贴补贴</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23.31</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30202</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印刷费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0.51</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30702</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国外债务付息</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30103</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奖金</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36.01</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30203</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咨询费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bCs/>
                <w:sz w:val="22"/>
                <w:szCs w:val="22"/>
              </w:rPr>
              <w:t>310</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bCs/>
                <w:sz w:val="22"/>
                <w:szCs w:val="22"/>
              </w:rPr>
              <w:t>资本性支出</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30106</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伙食补助费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30204</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手续费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31001</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房屋建筑物购建</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30107</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绩效工资</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13.46</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30205</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水费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0.25</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31002</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办公设备购置</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30108</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机关事业单位基本养老保险缴费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16.46</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30206</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电费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31003</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专用设备购置</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30109</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职业年金缴费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30207</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邮电费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0.45</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31005</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基础设施建设</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30110</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职工基本医疗保险缴费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8.75</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30208</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取暖费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31006</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大型修缮</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30111</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公务员医疗补助缴费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0.28</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30209</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物业管理费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31007</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信息网络及软件购置更新</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30112</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其他社会保障缴费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1.54</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30211</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差旅费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0.53</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31008</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物资储备</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30113</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住房公积金</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15.96</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30212</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因公出国（境）费用</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31009</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土地补偿</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30114</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医疗费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30213</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维修（护）费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31010</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安置补助</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30199</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其他工资福利支出</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16.86</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30214</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租赁费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31011</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地上附着物和青苗补偿</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bCs/>
                <w:sz w:val="22"/>
                <w:szCs w:val="22"/>
              </w:rPr>
              <w:t>303</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bCs/>
                <w:sz w:val="22"/>
                <w:szCs w:val="22"/>
              </w:rPr>
              <w:t>对个人和家庭的补助</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14.51</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30215</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会议费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31012</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拆迁补偿</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30301</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离休费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30216</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培训费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0.17</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31013</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公务用车购置</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30302</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退休费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30217</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公务接待费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31019</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其他交通工具购置</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30303</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退职（役）费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30218</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专用材料费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31021</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文物和陈列品购置</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30304</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抚恤金</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30224</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被装购置费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31022</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无形资产购置</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30305</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生活补助</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14.38</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30225</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专用燃料费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31099</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其他资本性支出</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30306</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救济费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30226</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劳务费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bCs/>
                <w:sz w:val="22"/>
                <w:szCs w:val="22"/>
              </w:rPr>
              <w:t>399</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bCs/>
                <w:sz w:val="22"/>
                <w:szCs w:val="22"/>
              </w:rPr>
              <w:t>其他支出</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30307</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医疗费补助</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30227</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委托业务费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39906</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赠与</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30308</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助学金</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30228</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工会经费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7.90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39907</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国家赔偿费用支出</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30309</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奖励金</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30229</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福利费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3.39</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39908</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对民间非营利组织和群众性自治组织补贴</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30310</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个人农业生产补贴</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30231</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公务用车运行维护费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39999</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其他支出</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30311</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代缴社会保险费</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30239</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其他交通费用</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12.06</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30399</w:t>
            </w: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其他对个人和家庭的补助</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0.13</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30240</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税金及附加费用</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blCellSpacing w:w="0" w:type="dxa"/>
          <w:jc w:val="center"/>
        </w:trPr>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053"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30299</w:t>
            </w: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r>
              <w:rPr>
                <w:b w:val="0"/>
                <w:bCs w:val="0"/>
                <w:sz w:val="22"/>
                <w:szCs w:val="22"/>
              </w:rPr>
              <w:t>其他商品和服务支出</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6.29</w:t>
            </w:r>
          </w:p>
        </w:tc>
        <w:tc>
          <w:tcPr>
            <w:tcW w:w="224"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829"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278" w:type="pct"/>
            <w:gridSpan w:val="2"/>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bCs/>
                <w:sz w:val="22"/>
                <w:szCs w:val="22"/>
              </w:rPr>
              <w:t>人员经费合计</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210.14</w:t>
            </w:r>
          </w:p>
        </w:tc>
        <w:tc>
          <w:tcPr>
            <w:tcW w:w="2645" w:type="pct"/>
            <w:gridSpan w:val="5"/>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bCs/>
                <w:sz w:val="22"/>
                <w:szCs w:val="22"/>
              </w:rPr>
              <w:t>公用经费合计</w:t>
            </w:r>
          </w:p>
        </w:tc>
        <w:tc>
          <w:tcPr>
            <w:tcW w:w="538"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bCs/>
                <w:sz w:val="22"/>
                <w:szCs w:val="22"/>
              </w:rPr>
              <w:t>39.35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5000" w:type="pct"/>
            <w:gridSpan w:val="9"/>
            <w:shd w:val="clear"/>
            <w:vAlign w:val="center"/>
          </w:tcPr>
          <w:p>
            <w:pPr>
              <w:pStyle w:val="9"/>
              <w:keepNext w:val="0"/>
              <w:keepLines w:val="0"/>
              <w:widowControl/>
              <w:suppressLineNumbers w:val="0"/>
              <w:jc w:val="left"/>
            </w:pPr>
            <w:r>
              <w:rPr>
                <w:b w:val="0"/>
                <w:bCs w:val="0"/>
                <w:sz w:val="22"/>
                <w:szCs w:val="22"/>
              </w:rPr>
              <w:t>注：本表反映部门本年度一般公共预算财政拨款基本支出明细情况。本表金额转换为万元时，因四舍五入可能存在尾数误差。</w:t>
            </w:r>
          </w:p>
        </w:tc>
      </w:tr>
    </w:tbl>
    <w:p>
      <w:pPr>
        <w:spacing w:before="0" w:beforeAutospacing="0" w:after="1" w:afterAutospacing="0"/>
        <w:ind w:left="0" w:right="0"/>
        <w:jc w:val="center"/>
        <w:rPr>
          <w:sz w:val="21"/>
          <w:szCs w:val="21"/>
        </w:rPr>
      </w:pPr>
    </w:p>
    <w:tbl>
      <w:tblPr>
        <w:tblW w:w="500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346"/>
        <w:gridCol w:w="346"/>
        <w:gridCol w:w="346"/>
        <w:gridCol w:w="3599"/>
        <w:gridCol w:w="1860"/>
        <w:gridCol w:w="2050"/>
        <w:gridCol w:w="1812"/>
        <w:gridCol w:w="1777"/>
        <w:gridCol w:w="1813"/>
        <w:gridCol w:w="20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5000" w:type="pct"/>
            <w:gridSpan w:val="10"/>
            <w:shd w:val="clear"/>
            <w:vAlign w:val="center"/>
          </w:tcPr>
          <w:p>
            <w:pPr>
              <w:pStyle w:val="9"/>
              <w:keepNext w:val="0"/>
              <w:keepLines w:val="0"/>
              <w:widowControl/>
              <w:suppressLineNumbers w:val="0"/>
              <w:jc w:val="center"/>
            </w:pPr>
            <w:r>
              <w:rPr>
                <w:b w:val="0"/>
                <w:bCs w:val="0"/>
                <w:sz w:val="40"/>
                <w:szCs w:val="40"/>
              </w:rPr>
              <w:t>政府性基金预算财政拨款收入支出决算表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08" w:type="pct"/>
            <w:shd w:val="clear"/>
            <w:vAlign w:val="center"/>
          </w:tcPr>
          <w:p>
            <w:pPr>
              <w:pStyle w:val="9"/>
              <w:keepNext w:val="0"/>
              <w:keepLines w:val="0"/>
              <w:widowControl/>
              <w:suppressLineNumbers w:val="0"/>
              <w:jc w:val="left"/>
            </w:pPr>
          </w:p>
        </w:tc>
        <w:tc>
          <w:tcPr>
            <w:tcW w:w="108" w:type="pct"/>
            <w:shd w:val="clear"/>
            <w:vAlign w:val="center"/>
          </w:tcPr>
          <w:p>
            <w:pPr>
              <w:pStyle w:val="9"/>
              <w:keepNext w:val="0"/>
              <w:keepLines w:val="0"/>
              <w:widowControl/>
              <w:suppressLineNumbers w:val="0"/>
              <w:jc w:val="left"/>
            </w:pPr>
          </w:p>
        </w:tc>
        <w:tc>
          <w:tcPr>
            <w:tcW w:w="108" w:type="pct"/>
            <w:shd w:val="clear"/>
            <w:vAlign w:val="center"/>
          </w:tcPr>
          <w:p>
            <w:pPr>
              <w:pStyle w:val="9"/>
              <w:keepNext w:val="0"/>
              <w:keepLines w:val="0"/>
              <w:widowControl/>
              <w:suppressLineNumbers w:val="0"/>
              <w:jc w:val="left"/>
            </w:pPr>
          </w:p>
        </w:tc>
        <w:tc>
          <w:tcPr>
            <w:tcW w:w="1122" w:type="pct"/>
            <w:shd w:val="clear"/>
            <w:vAlign w:val="center"/>
          </w:tcPr>
          <w:p>
            <w:pPr>
              <w:pStyle w:val="9"/>
              <w:keepNext w:val="0"/>
              <w:keepLines w:val="0"/>
              <w:widowControl/>
              <w:suppressLineNumbers w:val="0"/>
              <w:jc w:val="left"/>
            </w:pPr>
          </w:p>
        </w:tc>
        <w:tc>
          <w:tcPr>
            <w:tcW w:w="580" w:type="pct"/>
            <w:shd w:val="clear"/>
            <w:vAlign w:val="center"/>
          </w:tcPr>
          <w:p>
            <w:pPr>
              <w:pStyle w:val="9"/>
              <w:keepNext w:val="0"/>
              <w:keepLines w:val="0"/>
              <w:widowControl/>
              <w:suppressLineNumbers w:val="0"/>
              <w:jc w:val="left"/>
            </w:pPr>
          </w:p>
        </w:tc>
        <w:tc>
          <w:tcPr>
            <w:tcW w:w="639" w:type="pct"/>
            <w:shd w:val="clear"/>
            <w:vAlign w:val="center"/>
          </w:tcPr>
          <w:p>
            <w:pPr>
              <w:pStyle w:val="9"/>
              <w:keepNext w:val="0"/>
              <w:keepLines w:val="0"/>
              <w:widowControl/>
              <w:suppressLineNumbers w:val="0"/>
              <w:jc w:val="left"/>
            </w:pPr>
          </w:p>
        </w:tc>
        <w:tc>
          <w:tcPr>
            <w:tcW w:w="565" w:type="pct"/>
            <w:shd w:val="clear"/>
            <w:vAlign w:val="center"/>
          </w:tcPr>
          <w:p>
            <w:pPr>
              <w:pStyle w:val="9"/>
              <w:keepNext w:val="0"/>
              <w:keepLines w:val="0"/>
              <w:widowControl/>
              <w:suppressLineNumbers w:val="0"/>
              <w:jc w:val="left"/>
            </w:pPr>
          </w:p>
        </w:tc>
        <w:tc>
          <w:tcPr>
            <w:tcW w:w="551" w:type="pct"/>
            <w:shd w:val="clear"/>
            <w:vAlign w:val="center"/>
          </w:tcPr>
          <w:p>
            <w:pPr>
              <w:pStyle w:val="9"/>
              <w:keepNext w:val="0"/>
              <w:keepLines w:val="0"/>
              <w:widowControl/>
              <w:suppressLineNumbers w:val="0"/>
              <w:jc w:val="left"/>
            </w:pPr>
          </w:p>
        </w:tc>
        <w:tc>
          <w:tcPr>
            <w:tcW w:w="565" w:type="pct"/>
            <w:shd w:val="clear"/>
            <w:vAlign w:val="center"/>
          </w:tcPr>
          <w:p>
            <w:pPr>
              <w:pStyle w:val="9"/>
              <w:keepNext w:val="0"/>
              <w:keepLines w:val="0"/>
              <w:widowControl/>
              <w:suppressLineNumbers w:val="0"/>
              <w:jc w:val="left"/>
            </w:pPr>
          </w:p>
        </w:tc>
        <w:tc>
          <w:tcPr>
            <w:tcW w:w="649" w:type="pct"/>
            <w:shd w:val="clear"/>
            <w:vAlign w:val="center"/>
          </w:tcPr>
          <w:p>
            <w:pPr>
              <w:pStyle w:val="9"/>
              <w:keepNext w:val="0"/>
              <w:keepLines w:val="0"/>
              <w:widowControl/>
              <w:suppressLineNumbers w:val="0"/>
              <w:jc w:val="right"/>
            </w:pPr>
            <w:r>
              <w:rPr>
                <w:b w:val="0"/>
                <w:bCs w:val="0"/>
                <w:sz w:val="20"/>
                <w:szCs w:val="20"/>
              </w:rPr>
              <w:t>公开07表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3784" w:type="pct"/>
            <w:gridSpan w:val="8"/>
            <w:shd w:val="clear"/>
            <w:vAlign w:val="center"/>
          </w:tcPr>
          <w:p>
            <w:pPr>
              <w:pStyle w:val="9"/>
              <w:keepNext w:val="0"/>
              <w:keepLines w:val="0"/>
              <w:widowControl/>
              <w:suppressLineNumbers w:val="0"/>
              <w:jc w:val="left"/>
            </w:pPr>
            <w:r>
              <w:rPr>
                <w:b w:val="0"/>
                <w:bCs w:val="0"/>
                <w:sz w:val="20"/>
                <w:szCs w:val="20"/>
              </w:rPr>
              <w:t>部门：湘乡市统计局</w:t>
            </w:r>
          </w:p>
        </w:tc>
        <w:tc>
          <w:tcPr>
            <w:tcW w:w="565" w:type="pct"/>
            <w:shd w:val="clear"/>
            <w:vAlign w:val="center"/>
          </w:tcPr>
          <w:p>
            <w:pPr>
              <w:pStyle w:val="9"/>
              <w:keepNext w:val="0"/>
              <w:keepLines w:val="0"/>
              <w:widowControl/>
              <w:suppressLineNumbers w:val="0"/>
              <w:jc w:val="left"/>
            </w:pPr>
          </w:p>
        </w:tc>
        <w:tc>
          <w:tcPr>
            <w:tcW w:w="649" w:type="pct"/>
            <w:shd w:val="clear"/>
            <w:vAlign w:val="center"/>
          </w:tcPr>
          <w:p>
            <w:pPr>
              <w:pStyle w:val="9"/>
              <w:keepNext w:val="0"/>
              <w:keepLines w:val="0"/>
              <w:widowControl/>
              <w:suppressLineNumbers w:val="0"/>
              <w:jc w:val="right"/>
            </w:pPr>
            <w:r>
              <w:rPr>
                <w:b w:val="0"/>
                <w:bCs w:val="0"/>
                <w:sz w:val="20"/>
                <w:szCs w:val="20"/>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46" w:type="pct"/>
            <w:gridSpan w:val="4"/>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项目</w:t>
            </w:r>
          </w:p>
        </w:tc>
        <w:tc>
          <w:tcPr>
            <w:tcW w:w="0" w:type="pct"/>
            <w:vMerge w:val="restart"/>
            <w:tcBorders>
              <w:top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年初结转和结余</w:t>
            </w:r>
          </w:p>
        </w:tc>
        <w:tc>
          <w:tcPr>
            <w:tcW w:w="0" w:type="pct"/>
            <w:vMerge w:val="restart"/>
            <w:tcBorders>
              <w:top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本年收入</w:t>
            </w:r>
          </w:p>
        </w:tc>
        <w:tc>
          <w:tcPr>
            <w:tcW w:w="1683" w:type="pct"/>
            <w:gridSpan w:val="3"/>
            <w:tcBorders>
              <w:top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本年支出</w:t>
            </w:r>
          </w:p>
        </w:tc>
        <w:tc>
          <w:tcPr>
            <w:tcW w:w="0" w:type="pct"/>
            <w:vMerge w:val="restart"/>
            <w:tcBorders>
              <w:top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年末结转和结余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24" w:type="pct"/>
            <w:gridSpan w:val="3"/>
            <w:vMerge w:val="restart"/>
            <w:tcBorders>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科目代码</w:t>
            </w:r>
          </w:p>
        </w:tc>
        <w:tc>
          <w:tcPr>
            <w:tcW w:w="0" w:type="pct"/>
            <w:vMerge w:val="restart"/>
            <w:tcBorders>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科目名称</w:t>
            </w:r>
          </w:p>
        </w:tc>
        <w:tc>
          <w:tcPr>
            <w:tcW w:w="0" w:type="pct"/>
            <w:vMerge w:val="continue"/>
            <w:tcBorders>
              <w:top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restart"/>
            <w:tcBorders>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小计</w:t>
            </w:r>
          </w:p>
        </w:tc>
        <w:tc>
          <w:tcPr>
            <w:tcW w:w="0" w:type="pct"/>
            <w:vMerge w:val="restart"/>
            <w:tcBorders>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基本支出</w:t>
            </w:r>
          </w:p>
        </w:tc>
        <w:tc>
          <w:tcPr>
            <w:tcW w:w="0" w:type="pct"/>
            <w:vMerge w:val="restart"/>
            <w:tcBorders>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项目支出</w:t>
            </w:r>
          </w:p>
        </w:tc>
        <w:tc>
          <w:tcPr>
            <w:tcW w:w="0" w:type="pct"/>
            <w:vMerge w:val="continue"/>
            <w:tcBorders>
              <w:top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24" w:type="pct"/>
            <w:gridSpan w:val="3"/>
            <w:vMerge w:val="continue"/>
            <w:tcBorders>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24" w:type="pct"/>
            <w:gridSpan w:val="3"/>
            <w:vMerge w:val="continue"/>
            <w:tcBorders>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46" w:type="pct"/>
            <w:gridSpan w:val="4"/>
            <w:tcBorders>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栏次</w:t>
            </w:r>
          </w:p>
        </w:tc>
        <w:tc>
          <w:tcPr>
            <w:tcW w:w="580" w:type="pct"/>
            <w:tcBorders>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w:t>
            </w:r>
          </w:p>
        </w:tc>
        <w:tc>
          <w:tcPr>
            <w:tcW w:w="639" w:type="pct"/>
            <w:tcBorders>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w:t>
            </w:r>
          </w:p>
        </w:tc>
        <w:tc>
          <w:tcPr>
            <w:tcW w:w="565" w:type="pct"/>
            <w:tcBorders>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w:t>
            </w:r>
          </w:p>
        </w:tc>
        <w:tc>
          <w:tcPr>
            <w:tcW w:w="551" w:type="pct"/>
            <w:tcBorders>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w:t>
            </w:r>
          </w:p>
        </w:tc>
        <w:tc>
          <w:tcPr>
            <w:tcW w:w="565" w:type="pct"/>
            <w:tcBorders>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w:t>
            </w:r>
          </w:p>
        </w:tc>
        <w:tc>
          <w:tcPr>
            <w:tcW w:w="649" w:type="pct"/>
            <w:tcBorders>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1446" w:type="pct"/>
            <w:gridSpan w:val="4"/>
            <w:tcBorders>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合计</w:t>
            </w:r>
          </w:p>
        </w:tc>
        <w:tc>
          <w:tcPr>
            <w:tcW w:w="580"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639"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65"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51"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65"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649"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24" w:type="pct"/>
            <w:gridSpan w:val="3"/>
            <w:tcBorders>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122" w:type="pct"/>
            <w:tcBorders>
              <w:bottom w:val="single" w:color="666666" w:sz="4" w:space="0"/>
              <w:right w:val="single" w:color="666666" w:sz="4" w:space="0"/>
            </w:tcBorders>
            <w:shd w:val="clear"/>
            <w:vAlign w:val="center"/>
          </w:tcPr>
          <w:p>
            <w:pPr>
              <w:pStyle w:val="9"/>
              <w:keepNext w:val="0"/>
              <w:keepLines w:val="0"/>
              <w:widowControl/>
              <w:suppressLineNumbers w:val="0"/>
              <w:jc w:val="left"/>
            </w:pPr>
          </w:p>
        </w:tc>
        <w:tc>
          <w:tcPr>
            <w:tcW w:w="580"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639"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65"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51"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65"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649"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24" w:type="pct"/>
            <w:gridSpan w:val="3"/>
            <w:tcBorders>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122" w:type="pct"/>
            <w:tcBorders>
              <w:bottom w:val="single" w:color="666666" w:sz="4" w:space="0"/>
              <w:right w:val="single" w:color="666666" w:sz="4" w:space="0"/>
            </w:tcBorders>
            <w:shd w:val="clear"/>
            <w:vAlign w:val="center"/>
          </w:tcPr>
          <w:p>
            <w:pPr>
              <w:pStyle w:val="9"/>
              <w:keepNext w:val="0"/>
              <w:keepLines w:val="0"/>
              <w:widowControl/>
              <w:suppressLineNumbers w:val="0"/>
              <w:jc w:val="left"/>
            </w:pPr>
          </w:p>
        </w:tc>
        <w:tc>
          <w:tcPr>
            <w:tcW w:w="580"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639"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65"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51"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65"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649"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24" w:type="pct"/>
            <w:gridSpan w:val="3"/>
            <w:tcBorders>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122" w:type="pct"/>
            <w:tcBorders>
              <w:bottom w:val="single" w:color="666666" w:sz="4" w:space="0"/>
              <w:right w:val="single" w:color="666666" w:sz="4" w:space="0"/>
            </w:tcBorders>
            <w:shd w:val="clear"/>
            <w:vAlign w:val="center"/>
          </w:tcPr>
          <w:p>
            <w:pPr>
              <w:pStyle w:val="9"/>
              <w:keepNext w:val="0"/>
              <w:keepLines w:val="0"/>
              <w:widowControl/>
              <w:suppressLineNumbers w:val="0"/>
              <w:jc w:val="left"/>
            </w:pPr>
          </w:p>
        </w:tc>
        <w:tc>
          <w:tcPr>
            <w:tcW w:w="580"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639"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65"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51"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65"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649"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24" w:type="pct"/>
            <w:gridSpan w:val="3"/>
            <w:tcBorders>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122" w:type="pct"/>
            <w:tcBorders>
              <w:bottom w:val="single" w:color="666666" w:sz="4" w:space="0"/>
              <w:right w:val="single" w:color="666666" w:sz="4" w:space="0"/>
            </w:tcBorders>
            <w:shd w:val="clear"/>
            <w:vAlign w:val="center"/>
          </w:tcPr>
          <w:p>
            <w:pPr>
              <w:pStyle w:val="9"/>
              <w:keepNext w:val="0"/>
              <w:keepLines w:val="0"/>
              <w:widowControl/>
              <w:suppressLineNumbers w:val="0"/>
              <w:jc w:val="left"/>
            </w:pPr>
          </w:p>
        </w:tc>
        <w:tc>
          <w:tcPr>
            <w:tcW w:w="580"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639"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65"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51"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65"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649"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24" w:type="pct"/>
            <w:gridSpan w:val="3"/>
            <w:tcBorders>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122" w:type="pct"/>
            <w:tcBorders>
              <w:bottom w:val="single" w:color="666666" w:sz="4" w:space="0"/>
              <w:right w:val="single" w:color="666666" w:sz="4" w:space="0"/>
            </w:tcBorders>
            <w:shd w:val="clear"/>
            <w:vAlign w:val="center"/>
          </w:tcPr>
          <w:p>
            <w:pPr>
              <w:pStyle w:val="9"/>
              <w:keepNext w:val="0"/>
              <w:keepLines w:val="0"/>
              <w:widowControl/>
              <w:suppressLineNumbers w:val="0"/>
              <w:jc w:val="left"/>
            </w:pPr>
          </w:p>
        </w:tc>
        <w:tc>
          <w:tcPr>
            <w:tcW w:w="580"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639"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65"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51"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65"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649"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324" w:type="pct"/>
            <w:gridSpan w:val="3"/>
            <w:tcBorders>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122" w:type="pct"/>
            <w:tcBorders>
              <w:bottom w:val="single" w:color="666666" w:sz="4" w:space="0"/>
              <w:right w:val="single" w:color="666666" w:sz="4" w:space="0"/>
            </w:tcBorders>
            <w:shd w:val="clear"/>
            <w:vAlign w:val="center"/>
          </w:tcPr>
          <w:p>
            <w:pPr>
              <w:pStyle w:val="9"/>
              <w:keepNext w:val="0"/>
              <w:keepLines w:val="0"/>
              <w:widowControl/>
              <w:suppressLineNumbers w:val="0"/>
              <w:jc w:val="left"/>
            </w:pPr>
          </w:p>
        </w:tc>
        <w:tc>
          <w:tcPr>
            <w:tcW w:w="580"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639"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65"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51"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565"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649" w:type="pct"/>
            <w:tcBorders>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5000" w:type="pct"/>
            <w:gridSpan w:val="10"/>
            <w:shd w:val="clear"/>
            <w:vAlign w:val="center"/>
          </w:tcPr>
          <w:p>
            <w:pPr>
              <w:pStyle w:val="9"/>
              <w:keepNext w:val="0"/>
              <w:keepLines w:val="0"/>
              <w:widowControl/>
              <w:suppressLineNumbers w:val="0"/>
              <w:jc w:val="left"/>
            </w:pPr>
            <w:r>
              <w:rPr>
                <w:b w:val="0"/>
                <w:bCs w:val="0"/>
                <w:sz w:val="22"/>
                <w:szCs w:val="22"/>
              </w:rPr>
              <w:t>注：本表反映部门本年度政府性基金预算财政拨款收入、支出及结转和结余情况。本表金额转换为万元时，因四舍五入可能存在尾数误差。</w:t>
            </w:r>
          </w:p>
        </w:tc>
      </w:tr>
    </w:tbl>
    <w:p>
      <w:pPr>
        <w:spacing w:before="0" w:beforeAutospacing="0" w:after="1" w:afterAutospacing="0"/>
        <w:ind w:left="0" w:right="0"/>
        <w:jc w:val="center"/>
        <w:rPr>
          <w:sz w:val="21"/>
          <w:szCs w:val="21"/>
        </w:rPr>
      </w:pPr>
    </w:p>
    <w:tbl>
      <w:tblPr>
        <w:tblW w:w="500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462"/>
        <w:gridCol w:w="462"/>
        <w:gridCol w:w="462"/>
        <w:gridCol w:w="5507"/>
        <w:gridCol w:w="3047"/>
        <w:gridCol w:w="3047"/>
        <w:gridCol w:w="30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blCellSpacing w:w="0" w:type="dxa"/>
          <w:jc w:val="center"/>
        </w:trPr>
        <w:tc>
          <w:tcPr>
            <w:tcW w:w="5000" w:type="pct"/>
            <w:gridSpan w:val="7"/>
            <w:shd w:val="clear"/>
            <w:vAlign w:val="center"/>
          </w:tcPr>
          <w:p>
            <w:pPr>
              <w:pStyle w:val="9"/>
              <w:keepNext w:val="0"/>
              <w:keepLines w:val="0"/>
              <w:widowControl/>
              <w:suppressLineNumbers w:val="0"/>
              <w:jc w:val="center"/>
            </w:pPr>
            <w:r>
              <w:rPr>
                <w:b w:val="0"/>
                <w:bCs w:val="0"/>
                <w:sz w:val="40"/>
                <w:szCs w:val="40"/>
              </w:rPr>
              <w:t>国有资本经营预算财政拨款支出决算表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144" w:type="pct"/>
            <w:shd w:val="clear"/>
            <w:vAlign w:val="center"/>
          </w:tcPr>
          <w:p>
            <w:pPr>
              <w:pStyle w:val="9"/>
              <w:keepNext w:val="0"/>
              <w:keepLines w:val="0"/>
              <w:widowControl/>
              <w:suppressLineNumbers w:val="0"/>
              <w:jc w:val="left"/>
            </w:pPr>
          </w:p>
        </w:tc>
        <w:tc>
          <w:tcPr>
            <w:tcW w:w="144" w:type="pct"/>
            <w:shd w:val="clear"/>
            <w:vAlign w:val="center"/>
          </w:tcPr>
          <w:p>
            <w:pPr>
              <w:pStyle w:val="9"/>
              <w:keepNext w:val="0"/>
              <w:keepLines w:val="0"/>
              <w:widowControl/>
              <w:suppressLineNumbers w:val="0"/>
              <w:jc w:val="left"/>
            </w:pPr>
          </w:p>
        </w:tc>
        <w:tc>
          <w:tcPr>
            <w:tcW w:w="144" w:type="pct"/>
            <w:shd w:val="clear"/>
            <w:vAlign w:val="center"/>
          </w:tcPr>
          <w:p>
            <w:pPr>
              <w:pStyle w:val="9"/>
              <w:keepNext w:val="0"/>
              <w:keepLines w:val="0"/>
              <w:widowControl/>
              <w:suppressLineNumbers w:val="0"/>
              <w:jc w:val="left"/>
            </w:pPr>
          </w:p>
        </w:tc>
        <w:tc>
          <w:tcPr>
            <w:tcW w:w="1716" w:type="pct"/>
            <w:shd w:val="clear"/>
            <w:vAlign w:val="center"/>
          </w:tcPr>
          <w:p>
            <w:pPr>
              <w:pStyle w:val="9"/>
              <w:keepNext w:val="0"/>
              <w:keepLines w:val="0"/>
              <w:widowControl/>
              <w:suppressLineNumbers w:val="0"/>
              <w:jc w:val="left"/>
            </w:pPr>
          </w:p>
        </w:tc>
        <w:tc>
          <w:tcPr>
            <w:tcW w:w="950" w:type="pct"/>
            <w:shd w:val="clear"/>
            <w:vAlign w:val="center"/>
          </w:tcPr>
          <w:p>
            <w:pPr>
              <w:pStyle w:val="9"/>
              <w:keepNext w:val="0"/>
              <w:keepLines w:val="0"/>
              <w:widowControl/>
              <w:suppressLineNumbers w:val="0"/>
              <w:jc w:val="right"/>
            </w:pPr>
          </w:p>
        </w:tc>
        <w:tc>
          <w:tcPr>
            <w:tcW w:w="1900" w:type="pct"/>
            <w:gridSpan w:val="2"/>
            <w:shd w:val="clear"/>
            <w:vAlign w:val="center"/>
          </w:tcPr>
          <w:p>
            <w:pPr>
              <w:pStyle w:val="9"/>
              <w:keepNext w:val="0"/>
              <w:keepLines w:val="0"/>
              <w:widowControl/>
              <w:suppressLineNumbers w:val="0"/>
              <w:jc w:val="right"/>
            </w:pPr>
            <w:r>
              <w:rPr>
                <w:b w:val="0"/>
                <w:bCs w:val="0"/>
                <w:sz w:val="20"/>
                <w:szCs w:val="20"/>
              </w:rPr>
              <w:t>公开08表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2149" w:type="pct"/>
            <w:gridSpan w:val="4"/>
            <w:shd w:val="clear"/>
            <w:vAlign w:val="center"/>
          </w:tcPr>
          <w:p>
            <w:pPr>
              <w:pStyle w:val="9"/>
              <w:keepNext w:val="0"/>
              <w:keepLines w:val="0"/>
              <w:widowControl/>
              <w:suppressLineNumbers w:val="0"/>
              <w:jc w:val="left"/>
            </w:pPr>
            <w:r>
              <w:rPr>
                <w:b w:val="0"/>
                <w:bCs w:val="0"/>
                <w:sz w:val="20"/>
                <w:szCs w:val="20"/>
              </w:rPr>
              <w:t>部门：湘乡市统计局</w:t>
            </w:r>
          </w:p>
        </w:tc>
        <w:tc>
          <w:tcPr>
            <w:tcW w:w="950" w:type="pct"/>
            <w:shd w:val="clear"/>
            <w:vAlign w:val="center"/>
          </w:tcPr>
          <w:p>
            <w:pPr>
              <w:pStyle w:val="9"/>
              <w:keepNext w:val="0"/>
              <w:keepLines w:val="0"/>
              <w:widowControl/>
              <w:suppressLineNumbers w:val="0"/>
              <w:jc w:val="right"/>
            </w:pPr>
          </w:p>
        </w:tc>
        <w:tc>
          <w:tcPr>
            <w:tcW w:w="1900" w:type="pct"/>
            <w:gridSpan w:val="2"/>
            <w:shd w:val="clear"/>
            <w:vAlign w:val="center"/>
          </w:tcPr>
          <w:p>
            <w:pPr>
              <w:pStyle w:val="9"/>
              <w:keepNext w:val="0"/>
              <w:keepLines w:val="0"/>
              <w:widowControl/>
              <w:suppressLineNumbers w:val="0"/>
              <w:jc w:val="right"/>
            </w:pPr>
            <w:r>
              <w:rPr>
                <w:b w:val="0"/>
                <w:bCs w:val="0"/>
                <w:sz w:val="20"/>
                <w:szCs w:val="20"/>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32" w:type="pct"/>
            <w:gridSpan w:val="3"/>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科目编码</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科目名称</w:t>
            </w:r>
          </w:p>
        </w:tc>
        <w:tc>
          <w:tcPr>
            <w:tcW w:w="2850"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本年支出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32" w:type="pct"/>
            <w:gridSpan w:val="3"/>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32"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合计</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基本支出</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项目支出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32" w:type="pct"/>
            <w:gridSpan w:val="3"/>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32"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32" w:type="pct"/>
            <w:gridSpan w:val="3"/>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32"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149" w:type="pct"/>
            <w:gridSpan w:val="4"/>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栏次</w:t>
            </w: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w:t>
            </w: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w:t>
            </w: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2149" w:type="pct"/>
            <w:gridSpan w:val="4"/>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合计</w:t>
            </w: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PrEx>
        <w:trPr>
          <w:tblCellSpacing w:w="0" w:type="dxa"/>
          <w:jc w:val="center"/>
        </w:trPr>
        <w:tc>
          <w:tcPr>
            <w:tcW w:w="432"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7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432"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7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432"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7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432"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7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432"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7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blCellSpacing w:w="0" w:type="dxa"/>
          <w:jc w:val="center"/>
        </w:trPr>
        <w:tc>
          <w:tcPr>
            <w:tcW w:w="432"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17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lef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c>
          <w:tcPr>
            <w:tcW w:w="950"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PrEx>
        <w:trPr>
          <w:tblCellSpacing w:w="0" w:type="dxa"/>
          <w:jc w:val="center"/>
        </w:trPr>
        <w:tc>
          <w:tcPr>
            <w:tcW w:w="5000" w:type="pct"/>
            <w:gridSpan w:val="7"/>
            <w:shd w:val="clear"/>
            <w:vAlign w:val="center"/>
          </w:tcPr>
          <w:p>
            <w:pPr>
              <w:pStyle w:val="9"/>
              <w:keepNext w:val="0"/>
              <w:keepLines w:val="0"/>
              <w:widowControl/>
              <w:suppressLineNumbers w:val="0"/>
              <w:jc w:val="left"/>
            </w:pPr>
            <w:r>
              <w:rPr>
                <w:b w:val="0"/>
                <w:bCs w:val="0"/>
                <w:sz w:val="22"/>
                <w:szCs w:val="22"/>
              </w:rPr>
              <w:t>注：本表反映部门本年度国有资本经营预算财政拨款支出情况。本表金额转换为万元时，因四舍五入可能存在尾数误差。</w:t>
            </w:r>
          </w:p>
        </w:tc>
      </w:tr>
    </w:tbl>
    <w:p>
      <w:pPr>
        <w:spacing w:before="0" w:beforeAutospacing="0" w:after="1" w:afterAutospacing="0"/>
        <w:ind w:left="0" w:right="0"/>
        <w:jc w:val="center"/>
        <w:rPr>
          <w:sz w:val="21"/>
          <w:szCs w:val="21"/>
        </w:rPr>
      </w:pPr>
    </w:p>
    <w:tbl>
      <w:tblPr>
        <w:tblW w:w="5000" w:type="pct"/>
        <w:jc w:val="center"/>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Layout w:type="autofit"/>
        <w:tblCellMar>
          <w:top w:w="0" w:type="dxa"/>
          <w:left w:w="0" w:type="dxa"/>
          <w:bottom w:w="0" w:type="dxa"/>
          <w:right w:w="0" w:type="dxa"/>
        </w:tblCellMar>
      </w:tblPr>
      <w:tblGrid>
        <w:gridCol w:w="1334"/>
        <w:gridCol w:w="1334"/>
        <w:gridCol w:w="1334"/>
        <w:gridCol w:w="1334"/>
        <w:gridCol w:w="1341"/>
        <w:gridCol w:w="1347"/>
        <w:gridCol w:w="1334"/>
        <w:gridCol w:w="1334"/>
        <w:gridCol w:w="1334"/>
        <w:gridCol w:w="1342"/>
        <w:gridCol w:w="1335"/>
        <w:gridCol w:w="133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5000" w:type="pct"/>
            <w:gridSpan w:val="12"/>
            <w:shd w:val="clear"/>
            <w:vAlign w:val="center"/>
          </w:tcPr>
          <w:p>
            <w:pPr>
              <w:pStyle w:val="9"/>
              <w:keepNext w:val="0"/>
              <w:keepLines w:val="0"/>
              <w:widowControl/>
              <w:suppressLineNumbers w:val="0"/>
              <w:jc w:val="center"/>
            </w:pPr>
            <w:r>
              <w:rPr>
                <w:b w:val="0"/>
                <w:bCs w:val="0"/>
                <w:sz w:val="40"/>
                <w:szCs w:val="40"/>
              </w:rPr>
              <w:t>财政拨款“三公”经费支出决算表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416" w:type="pct"/>
            <w:shd w:val="clear"/>
            <w:vAlign w:val="center"/>
          </w:tcPr>
          <w:p>
            <w:pPr>
              <w:pStyle w:val="9"/>
              <w:keepNext w:val="0"/>
              <w:keepLines w:val="0"/>
              <w:widowControl/>
              <w:suppressLineNumbers w:val="0"/>
            </w:pPr>
          </w:p>
        </w:tc>
        <w:tc>
          <w:tcPr>
            <w:tcW w:w="416" w:type="pct"/>
            <w:shd w:val="clear"/>
            <w:vAlign w:val="center"/>
          </w:tcPr>
          <w:p>
            <w:pPr>
              <w:pStyle w:val="9"/>
              <w:keepNext w:val="0"/>
              <w:keepLines w:val="0"/>
              <w:widowControl/>
              <w:suppressLineNumbers w:val="0"/>
            </w:pPr>
          </w:p>
        </w:tc>
        <w:tc>
          <w:tcPr>
            <w:tcW w:w="416" w:type="pct"/>
            <w:shd w:val="clear"/>
            <w:vAlign w:val="center"/>
          </w:tcPr>
          <w:p>
            <w:pPr>
              <w:pStyle w:val="9"/>
              <w:keepNext w:val="0"/>
              <w:keepLines w:val="0"/>
              <w:widowControl/>
              <w:suppressLineNumbers w:val="0"/>
            </w:pPr>
          </w:p>
        </w:tc>
        <w:tc>
          <w:tcPr>
            <w:tcW w:w="416" w:type="pct"/>
            <w:shd w:val="clear"/>
            <w:vAlign w:val="center"/>
          </w:tcPr>
          <w:p>
            <w:pPr>
              <w:pStyle w:val="9"/>
              <w:keepNext w:val="0"/>
              <w:keepLines w:val="0"/>
              <w:widowControl/>
              <w:suppressLineNumbers w:val="0"/>
            </w:pPr>
          </w:p>
        </w:tc>
        <w:tc>
          <w:tcPr>
            <w:tcW w:w="416" w:type="pct"/>
            <w:shd w:val="clear"/>
            <w:vAlign w:val="center"/>
          </w:tcPr>
          <w:p>
            <w:pPr>
              <w:pStyle w:val="9"/>
              <w:keepNext w:val="0"/>
              <w:keepLines w:val="0"/>
              <w:widowControl/>
              <w:suppressLineNumbers w:val="0"/>
            </w:pPr>
          </w:p>
        </w:tc>
        <w:tc>
          <w:tcPr>
            <w:tcW w:w="416" w:type="pct"/>
            <w:shd w:val="clear"/>
            <w:vAlign w:val="center"/>
          </w:tcPr>
          <w:p>
            <w:pPr>
              <w:pStyle w:val="9"/>
              <w:keepNext w:val="0"/>
              <w:keepLines w:val="0"/>
              <w:widowControl/>
              <w:suppressLineNumbers w:val="0"/>
            </w:pPr>
          </w:p>
        </w:tc>
        <w:tc>
          <w:tcPr>
            <w:tcW w:w="416" w:type="pct"/>
            <w:shd w:val="clear"/>
            <w:vAlign w:val="center"/>
          </w:tcPr>
          <w:p>
            <w:pPr>
              <w:pStyle w:val="9"/>
              <w:keepNext w:val="0"/>
              <w:keepLines w:val="0"/>
              <w:widowControl/>
              <w:suppressLineNumbers w:val="0"/>
            </w:pPr>
          </w:p>
        </w:tc>
        <w:tc>
          <w:tcPr>
            <w:tcW w:w="416" w:type="pct"/>
            <w:shd w:val="clear"/>
            <w:vAlign w:val="center"/>
          </w:tcPr>
          <w:p>
            <w:pPr>
              <w:pStyle w:val="9"/>
              <w:keepNext w:val="0"/>
              <w:keepLines w:val="0"/>
              <w:widowControl/>
              <w:suppressLineNumbers w:val="0"/>
            </w:pPr>
          </w:p>
        </w:tc>
        <w:tc>
          <w:tcPr>
            <w:tcW w:w="416" w:type="pct"/>
            <w:shd w:val="clear"/>
            <w:vAlign w:val="center"/>
          </w:tcPr>
          <w:p>
            <w:pPr>
              <w:pStyle w:val="9"/>
              <w:keepNext w:val="0"/>
              <w:keepLines w:val="0"/>
              <w:widowControl/>
              <w:suppressLineNumbers w:val="0"/>
            </w:pPr>
          </w:p>
        </w:tc>
        <w:tc>
          <w:tcPr>
            <w:tcW w:w="416" w:type="pct"/>
            <w:shd w:val="clear"/>
            <w:vAlign w:val="center"/>
          </w:tcPr>
          <w:p>
            <w:pPr>
              <w:pStyle w:val="9"/>
              <w:keepNext w:val="0"/>
              <w:keepLines w:val="0"/>
              <w:widowControl/>
              <w:suppressLineNumbers w:val="0"/>
            </w:pPr>
          </w:p>
        </w:tc>
        <w:tc>
          <w:tcPr>
            <w:tcW w:w="833" w:type="pct"/>
            <w:gridSpan w:val="2"/>
            <w:shd w:val="clear"/>
            <w:vAlign w:val="center"/>
          </w:tcPr>
          <w:p>
            <w:pPr>
              <w:pStyle w:val="9"/>
              <w:keepNext w:val="0"/>
              <w:keepLines w:val="0"/>
              <w:widowControl/>
              <w:suppressLineNumbers w:val="0"/>
              <w:jc w:val="right"/>
            </w:pPr>
            <w:r>
              <w:rPr>
                <w:b w:val="0"/>
                <w:bCs w:val="0"/>
                <w:sz w:val="20"/>
                <w:szCs w:val="20"/>
              </w:rPr>
              <w:t>公开09表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166" w:type="pct"/>
            <w:gridSpan w:val="10"/>
            <w:shd w:val="clear"/>
            <w:vAlign w:val="center"/>
          </w:tcPr>
          <w:p>
            <w:pPr>
              <w:pStyle w:val="9"/>
              <w:keepNext w:val="0"/>
              <w:keepLines w:val="0"/>
              <w:widowControl/>
              <w:suppressLineNumbers w:val="0"/>
              <w:jc w:val="left"/>
            </w:pPr>
            <w:r>
              <w:rPr>
                <w:b w:val="0"/>
                <w:bCs w:val="0"/>
                <w:sz w:val="22"/>
                <w:szCs w:val="22"/>
              </w:rPr>
              <w:t>部门：湘乡市统计局</w:t>
            </w:r>
          </w:p>
        </w:tc>
        <w:tc>
          <w:tcPr>
            <w:tcW w:w="833" w:type="pct"/>
            <w:gridSpan w:val="2"/>
            <w:shd w:val="clear"/>
            <w:vAlign w:val="center"/>
          </w:tcPr>
          <w:p>
            <w:pPr>
              <w:pStyle w:val="9"/>
              <w:keepNext w:val="0"/>
              <w:keepLines w:val="0"/>
              <w:widowControl/>
              <w:suppressLineNumbers w:val="0"/>
              <w:jc w:val="right"/>
            </w:pPr>
            <w:r>
              <w:rPr>
                <w:b w:val="0"/>
                <w:bCs w:val="0"/>
                <w:sz w:val="20"/>
                <w:szCs w:val="20"/>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2500" w:type="pct"/>
            <w:gridSpan w:val="6"/>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预算数</w:t>
            </w:r>
          </w:p>
        </w:tc>
        <w:tc>
          <w:tcPr>
            <w:tcW w:w="2500" w:type="pct"/>
            <w:gridSpan w:val="6"/>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合计</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因公出国（境）费</w:t>
            </w:r>
          </w:p>
        </w:tc>
        <w:tc>
          <w:tcPr>
            <w:tcW w:w="1250"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公务用车购置及运行费</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公务接待费</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合计</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因公出国（境）费</w:t>
            </w:r>
          </w:p>
        </w:tc>
        <w:tc>
          <w:tcPr>
            <w:tcW w:w="1250" w:type="pct"/>
            <w:gridSpan w:val="3"/>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公务用车购置及运行费</w:t>
            </w:r>
          </w:p>
        </w:tc>
        <w:tc>
          <w:tcPr>
            <w:tcW w:w="0" w:type="pct"/>
            <w:vMerge w:val="restar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公务接待费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tblCellMar>
            <w:top w:w="0" w:type="dxa"/>
            <w:left w:w="0" w:type="dxa"/>
            <w:bottom w:w="0" w:type="dxa"/>
            <w:right w:w="0" w:type="dxa"/>
          </w:tblCellMar>
        </w:tblPrEx>
        <w:trPr>
          <w:tblCellSpacing w:w="0" w:type="dxa"/>
          <w:jc w:val="center"/>
        </w:trPr>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小计</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公务用车购置费</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公务用车运行费</w:t>
            </w: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小计</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公务用车购置费</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公务用车运行费</w:t>
            </w:r>
          </w:p>
        </w:tc>
        <w:tc>
          <w:tcPr>
            <w:tcW w:w="0" w:type="pct"/>
            <w:vMerge w:val="continue"/>
            <w:tcBorders>
              <w:top w:val="single" w:color="666666" w:sz="4" w:space="0"/>
              <w:left w:val="single" w:color="666666" w:sz="4" w:space="0"/>
              <w:bottom w:val="single" w:color="666666" w:sz="4" w:space="0"/>
              <w:right w:val="single" w:color="666666" w:sz="4" w:space="0"/>
            </w:tcBorders>
            <w:shd w:val="clear"/>
            <w:vAlign w:val="center"/>
          </w:tcPr>
          <w:p>
            <w:pPr>
              <w:rPr>
                <w:rFonts w:hint="eastAsia" w:ascii="宋体"/>
                <w:b w:val="0"/>
                <w:bCs w:val="0"/>
                <w:sz w:val="22"/>
                <w:szCs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2</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3</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4</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5</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6</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7</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8</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9</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10</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11</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center"/>
            </w:pPr>
            <w:r>
              <w:rPr>
                <w:b w:val="0"/>
                <w:bCs w:val="0"/>
                <w:sz w:val="22"/>
                <w:szCs w:val="22"/>
              </w:rPr>
              <w:t>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3</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3.00</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2.95</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0.00</w:t>
            </w:r>
          </w:p>
        </w:tc>
        <w:tc>
          <w:tcPr>
            <w:tcW w:w="416" w:type="pct"/>
            <w:tcBorders>
              <w:top w:val="single" w:color="666666" w:sz="4" w:space="0"/>
              <w:left w:val="single" w:color="666666" w:sz="4" w:space="0"/>
              <w:bottom w:val="single" w:color="666666" w:sz="4" w:space="0"/>
              <w:right w:val="single" w:color="666666" w:sz="4" w:space="0"/>
            </w:tcBorders>
            <w:shd w:val="clear"/>
            <w:vAlign w:val="center"/>
          </w:tcPr>
          <w:p>
            <w:pPr>
              <w:pStyle w:val="9"/>
              <w:keepNext w:val="0"/>
              <w:keepLines w:val="0"/>
              <w:widowControl/>
              <w:suppressLineNumbers w:val="0"/>
              <w:jc w:val="right"/>
            </w:pPr>
            <w:r>
              <w:rPr>
                <w:b w:val="0"/>
                <w:bCs w:val="0"/>
                <w:sz w:val="22"/>
                <w:szCs w:val="22"/>
              </w:rPr>
              <w:t>2.95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blCellSpacing w:w="0" w:type="dxa"/>
          <w:jc w:val="center"/>
        </w:trPr>
        <w:tc>
          <w:tcPr>
            <w:tcW w:w="5000" w:type="pct"/>
            <w:gridSpan w:val="12"/>
            <w:shd w:val="clear"/>
            <w:vAlign w:val="center"/>
          </w:tcPr>
          <w:p>
            <w:pPr>
              <w:pStyle w:val="9"/>
              <w:keepNext w:val="0"/>
              <w:keepLines w:val="0"/>
              <w:widowControl/>
              <w:suppressLineNumbers w:val="0"/>
              <w:jc w:val="left"/>
            </w:pPr>
            <w:r>
              <w:rPr>
                <w:b w:val="0"/>
                <w:bCs w:val="0"/>
                <w:sz w:val="22"/>
                <w:szCs w:val="22"/>
              </w:rPr>
              <w:t>注：本表反映部门本年度财政拨款“三公”经费支出预决算情况。其中，预算数为“三公”经费全年预算数，反映按规定程序调整后的预算数；决算数是包括当年财政拨款和以前年度结转资金安排的实际支出。本表金额转换为万元时，因四舍五入可能存在尾数误差。</w:t>
            </w:r>
          </w:p>
        </w:tc>
      </w:tr>
    </w:tbl>
    <w:p>
      <w:pPr>
        <w:rPr>
          <w:color w:val="000000"/>
          <w:sz w:val="32"/>
          <w:szCs w:val="32"/>
        </w:rPr>
        <w:sectPr>
          <w:pgSz w:w="16838" w:h="11906"/>
          <w:pgMar w:top="1080" w:right="400" w:bottom="1080" w:left="400" w:header="851" w:footer="992" w:gutter="0"/>
          <w:paperSrc/>
          <w:cols w:space="0" w:num="1"/>
          <w:docGrid w:type="linesAndChars" w:linePitch="160" w:charSpace="0"/>
        </w:sectPr>
      </w:pPr>
    </w:p>
    <w:p>
      <w:pPr>
        <w:spacing w:before="0" w:beforeAutospacing="0" w:after="1" w:afterAutospacing="0"/>
        <w:jc w:val="center"/>
        <w:rPr>
          <w:sz w:val="21"/>
          <w:szCs w:val="21"/>
        </w:rPr>
      </w:pPr>
      <w:r>
        <w:rPr>
          <w:rFonts w:hint="eastAsia" w:ascii="宋体" w:hAnsi="宋体" w:eastAsia="宋体" w:cs="宋体"/>
          <w:b/>
          <w:bCs/>
          <w:color w:val="000000"/>
          <w:sz w:val="36"/>
          <w:szCs w:val="36"/>
        </w:rPr>
        <w:t>第三部分 2022年度部门决算情况说明</w:t>
      </w:r>
      <w:r>
        <w:rPr>
          <w:color w:val="000000"/>
          <w:sz w:val="21"/>
          <w:szCs w:val="21"/>
        </w:rPr>
        <w:t xml:space="preserve"> </w:t>
      </w:r>
    </w:p>
    <w:p/>
    <w:p>
      <w:pPr>
        <w:pStyle w:val="14"/>
        <w:spacing w:before="0" w:beforeAutospacing="0" w:after="1" w:afterAutospacing="0"/>
        <w:ind w:left="0" w:firstLine="641"/>
        <w:rPr>
          <w:sz w:val="27"/>
          <w:szCs w:val="27"/>
        </w:rPr>
      </w:pPr>
      <w:r>
        <w:rPr>
          <w:rFonts w:hint="eastAsia" w:ascii="宋体" w:hAnsi="宋体" w:eastAsia="宋体" w:cs="宋体"/>
          <w:b/>
          <w:bCs/>
          <w:color w:val="000000"/>
          <w:sz w:val="32"/>
          <w:szCs w:val="32"/>
        </w:rPr>
        <w:t>一、收入支出决算总体情况说明</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color w:val="000000"/>
          <w:sz w:val="32"/>
          <w:szCs w:val="32"/>
        </w:rPr>
        <w:t>2022年度收入总计389.58万元。与上一年度相比减少362.12万元，下降48.17%。支出总计389.58万元。与上一年度相比减少362.12万元，下降48.17%。主要原因是一、应在2020年支付的的第七次全国人口普查两员劳动报酬，由于资金拨付困难，是在2021年年初支付，导致2022年支出较2021年度大幅度下降；二、2022年七人普专项经费支出比2021年大幅度减少。</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b/>
          <w:bCs/>
          <w:color w:val="000000"/>
          <w:sz w:val="32"/>
          <w:szCs w:val="32"/>
        </w:rPr>
        <w:t>二、收入决算情况说明</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2022年度收入合计316.37万元，其中：财政拨款收入282.74万元，占89.37%；上级补助收入0万元，占0%；事业收入0万元，占0%；经营收入0万元，占0%；附属单位上缴收入0万元，占0%；其他收入33.63万元，占10.63%。</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b/>
          <w:bCs/>
          <w:color w:val="000000"/>
          <w:sz w:val="32"/>
          <w:szCs w:val="32"/>
        </w:rPr>
        <w:t>三、支出决算情况说明</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2022年度支出合计288.43万元，其中：基本支出254.88万元，占88.37%；项目支出33.55万元，占11.63%；上缴上级支出0万元，占0%；经营支出0万元，占0%；对附属单位补助支出0万元，占0%。</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b/>
          <w:bCs/>
          <w:color w:val="000000"/>
          <w:sz w:val="32"/>
          <w:szCs w:val="32"/>
        </w:rPr>
        <w:t>四、财政拨款收入支出决算总体情况说明</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2022年度财政拨款收入总计282.74万元。与上一年度相比减少270.66万元，下降48.91%。2022年度财政拨款支出总计282.74万元。与上一年度相比减少270.66万元，下降48.91%。主要原因是一、应在2020年支付的的第七次全国人口普查两员劳动报酬，由于资金拨付困难，是在2021年年初支付，而2022年没有该项支出；二、2022年七人普专项经费支出比2021年大幅度减少。</w:t>
      </w:r>
    </w:p>
    <w:p>
      <w:pPr>
        <w:pStyle w:val="14"/>
        <w:spacing w:before="0" w:beforeAutospacing="0" w:after="1" w:afterAutospacing="0"/>
        <w:ind w:left="0" w:firstLine="641"/>
        <w:rPr>
          <w:sz w:val="27"/>
          <w:szCs w:val="27"/>
        </w:rPr>
      </w:pPr>
      <w:r>
        <w:rPr>
          <w:rFonts w:hint="eastAsia" w:ascii="宋体" w:hAnsi="宋体" w:eastAsia="宋体" w:cs="宋体"/>
          <w:b/>
          <w:bCs/>
          <w:color w:val="000000"/>
          <w:sz w:val="32"/>
          <w:szCs w:val="32"/>
        </w:rPr>
        <w:t>五、一般公共预算财政拨款支出决算情况说明</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b/>
          <w:bCs/>
          <w:color w:val="000000"/>
          <w:sz w:val="32"/>
          <w:szCs w:val="32"/>
        </w:rPr>
        <w:t>（一）财政拨款支出决算总体情况</w:t>
      </w:r>
      <w:r>
        <w:rPr>
          <w:color w:val="000000"/>
          <w:sz w:val="27"/>
          <w:szCs w:val="27"/>
        </w:rPr>
        <w:t xml:space="preserve"> </w:t>
      </w:r>
    </w:p>
    <w:p>
      <w:pPr>
        <w:pStyle w:val="14"/>
        <w:spacing w:before="0" w:beforeAutospacing="0" w:after="1" w:afterAutospacing="0"/>
        <w:ind w:left="0" w:firstLine="855"/>
        <w:rPr>
          <w:sz w:val="27"/>
          <w:szCs w:val="27"/>
        </w:rPr>
      </w:pPr>
      <w:r>
        <w:rPr>
          <w:rFonts w:hint="eastAsia" w:ascii="宋体" w:hAnsi="宋体" w:eastAsia="宋体" w:cs="宋体"/>
          <w:color w:val="000000"/>
          <w:sz w:val="32"/>
          <w:szCs w:val="32"/>
        </w:rPr>
        <w:t>2022年度财政拨款支出282.74万元，占本年支出合计的98.03%。与上一年度相比，财政拨款支出减少270.66万元，下降48.91%。主要是因为一、应在2020年支付的的第七次全国人口普查两员劳动报酬，由于资金拨付困难，是在2021年年初支付，而2022年没有该项支出；二、2022年七人普专项经费支出比2021年大幅度减少。</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b/>
          <w:bCs/>
          <w:color w:val="000000"/>
          <w:sz w:val="32"/>
          <w:szCs w:val="32"/>
        </w:rPr>
        <w:t>（二）财政拨款支出决算结构情况</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2022年度财政拨款支出282.74万元，主要用于以下方面：一般公共服务支出242.6万元，占85.81%；社会保障和就业支出16.69万元，占5.9%；卫生健康支出8.75万元，占3.09%；住房保障支出14.71万元，占5.2%。</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b/>
          <w:bCs/>
          <w:color w:val="000000"/>
          <w:sz w:val="32"/>
          <w:szCs w:val="32"/>
        </w:rPr>
        <w:t>（三）财政拨款支出决算具体情况</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2022年度财政拨款支出年初预算数为273.21万元，支出决算数为282.74万元，完成年初预算的103.49%，其中：</w:t>
      </w:r>
      <w:r>
        <w:rPr>
          <w:color w:val="000000"/>
          <w:sz w:val="27"/>
          <w:szCs w:val="27"/>
        </w:rPr>
        <w:t xml:space="preserve"> </w:t>
      </w:r>
    </w:p>
    <w:p>
      <w:pPr>
        <w:pStyle w:val="14"/>
        <w:spacing w:before="0" w:beforeAutospacing="0" w:after="1" w:afterAutospacing="0"/>
        <w:ind w:left="0" w:firstLine="641"/>
        <w:rPr>
          <w:sz w:val="27"/>
          <w:szCs w:val="27"/>
        </w:rPr>
      </w:pPr>
      <w:r>
        <w:rPr>
          <w:rStyle w:val="12"/>
          <w:rFonts w:hint="eastAsia" w:ascii="宋体" w:hAnsi="宋体" w:eastAsia="宋体" w:cs="宋体"/>
          <w:color w:val="000000"/>
          <w:sz w:val="32"/>
          <w:szCs w:val="32"/>
        </w:rPr>
        <w:t>1、一般公共服务支出（类）统计信息事务（款）行政运行（项）</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color w:val="000000"/>
          <w:sz w:val="32"/>
          <w:szCs w:val="32"/>
        </w:rPr>
        <w:t>年初预算为173.06万元，支出决算为194.36万元，完成年初预算的112.31%。决算数大于年初预算数的主要原因是：在职人员较2021年度增加1人，在职人员职级晋升工资调增等。</w:t>
      </w:r>
      <w:r>
        <w:rPr>
          <w:color w:val="000000"/>
          <w:sz w:val="27"/>
          <w:szCs w:val="27"/>
        </w:rPr>
        <w:t xml:space="preserve"> </w:t>
      </w:r>
    </w:p>
    <w:p>
      <w:pPr>
        <w:pStyle w:val="14"/>
        <w:spacing w:before="0" w:beforeAutospacing="0" w:after="1" w:afterAutospacing="0"/>
        <w:ind w:left="0" w:firstLine="641"/>
        <w:rPr>
          <w:sz w:val="27"/>
          <w:szCs w:val="27"/>
        </w:rPr>
      </w:pPr>
      <w:r>
        <w:rPr>
          <w:rStyle w:val="12"/>
          <w:rFonts w:hint="eastAsia" w:ascii="宋体" w:hAnsi="宋体" w:eastAsia="宋体" w:cs="宋体"/>
          <w:color w:val="000000"/>
          <w:sz w:val="32"/>
          <w:szCs w:val="32"/>
        </w:rPr>
        <w:t>2、一般公共服务支出（类）统计信息事务（款）一般行政管理事务（项）</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color w:val="000000"/>
          <w:sz w:val="32"/>
          <w:szCs w:val="32"/>
        </w:rPr>
        <w:t>年初预算为50万元，支出决算为48.24万元，完成年初预算的96.48%。决算数小于年初预算数的主要原因是：厉行节约，压缩支出。</w:t>
      </w:r>
      <w:r>
        <w:rPr>
          <w:color w:val="000000"/>
          <w:sz w:val="27"/>
          <w:szCs w:val="27"/>
        </w:rPr>
        <w:t xml:space="preserve"> </w:t>
      </w:r>
    </w:p>
    <w:p>
      <w:pPr>
        <w:pStyle w:val="14"/>
        <w:spacing w:before="0" w:beforeAutospacing="0" w:after="1" w:afterAutospacing="0"/>
        <w:ind w:left="0" w:firstLine="641"/>
        <w:rPr>
          <w:sz w:val="27"/>
          <w:szCs w:val="27"/>
        </w:rPr>
      </w:pPr>
      <w:r>
        <w:rPr>
          <w:rStyle w:val="12"/>
          <w:rFonts w:hint="eastAsia" w:ascii="宋体" w:hAnsi="宋体" w:eastAsia="宋体" w:cs="宋体"/>
          <w:color w:val="000000"/>
          <w:sz w:val="32"/>
          <w:szCs w:val="32"/>
        </w:rPr>
        <w:t>3、一般公共服务支出（类）统计信息事务（款）专项普查活动（项）</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color w:val="000000"/>
          <w:sz w:val="32"/>
          <w:szCs w:val="32"/>
        </w:rPr>
        <w:t>年初预算为10万元，支出决算为0万元，完成年初预算的0%。决算数小于年初预算数的主要原因是：应上级统计部门要求，未在2022年开展七人普表彰等活动。</w:t>
      </w:r>
      <w:r>
        <w:rPr>
          <w:color w:val="000000"/>
          <w:sz w:val="27"/>
          <w:szCs w:val="27"/>
        </w:rPr>
        <w:t xml:space="preserve"> </w:t>
      </w:r>
    </w:p>
    <w:p>
      <w:pPr>
        <w:pStyle w:val="14"/>
        <w:spacing w:before="0" w:beforeAutospacing="0" w:after="1" w:afterAutospacing="0"/>
        <w:ind w:left="0" w:firstLine="641"/>
        <w:rPr>
          <w:sz w:val="27"/>
          <w:szCs w:val="27"/>
        </w:rPr>
      </w:pPr>
      <w:r>
        <w:rPr>
          <w:rStyle w:val="12"/>
          <w:rFonts w:hint="eastAsia" w:ascii="宋体" w:hAnsi="宋体" w:eastAsia="宋体" w:cs="宋体"/>
          <w:color w:val="000000"/>
          <w:sz w:val="32"/>
          <w:szCs w:val="32"/>
        </w:rPr>
        <w:t>4、社会保障和就业支出（类）行政事业单位养老支出（款）机关事业单位基本养老保险缴费支出（项）</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color w:val="000000"/>
          <w:sz w:val="32"/>
          <w:szCs w:val="32"/>
        </w:rPr>
        <w:t>年初预算为16.46万元，支出决算为16.46万元，完成年初预算的100%。决算数与年初预算数一致，我单位严格按预算执行决算。</w:t>
      </w:r>
      <w:r>
        <w:rPr>
          <w:color w:val="000000"/>
          <w:sz w:val="27"/>
          <w:szCs w:val="27"/>
        </w:rPr>
        <w:t xml:space="preserve"> </w:t>
      </w:r>
    </w:p>
    <w:p>
      <w:pPr>
        <w:pStyle w:val="14"/>
        <w:spacing w:before="0" w:beforeAutospacing="0" w:after="1" w:afterAutospacing="0"/>
        <w:ind w:left="0" w:firstLine="641"/>
        <w:rPr>
          <w:sz w:val="27"/>
          <w:szCs w:val="27"/>
        </w:rPr>
      </w:pPr>
      <w:r>
        <w:rPr>
          <w:rStyle w:val="12"/>
          <w:rFonts w:hint="eastAsia" w:ascii="宋体" w:hAnsi="宋体" w:eastAsia="宋体" w:cs="宋体"/>
          <w:color w:val="000000"/>
          <w:sz w:val="32"/>
          <w:szCs w:val="32"/>
        </w:rPr>
        <w:t>5、社会保障和就业支出（类）其他社会保障和就业支出（款）其他社会保障和就业支出（项）</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color w:val="000000"/>
          <w:sz w:val="32"/>
          <w:szCs w:val="32"/>
        </w:rPr>
        <w:t>年初预算为0.23万元，支出决算为0.23万元，完成年初预算的100%。决算数与年初预算数一致，我单位严格按预算执行决算。</w:t>
      </w:r>
      <w:r>
        <w:rPr>
          <w:color w:val="000000"/>
          <w:sz w:val="27"/>
          <w:szCs w:val="27"/>
        </w:rPr>
        <w:t xml:space="preserve"> </w:t>
      </w:r>
    </w:p>
    <w:p>
      <w:pPr>
        <w:pStyle w:val="14"/>
        <w:spacing w:before="0" w:beforeAutospacing="0" w:after="1" w:afterAutospacing="0"/>
        <w:ind w:left="0" w:firstLine="641"/>
        <w:rPr>
          <w:sz w:val="27"/>
          <w:szCs w:val="27"/>
        </w:rPr>
      </w:pPr>
      <w:r>
        <w:rPr>
          <w:rStyle w:val="12"/>
          <w:rFonts w:hint="eastAsia" w:ascii="宋体" w:hAnsi="宋体" w:eastAsia="宋体" w:cs="宋体"/>
          <w:color w:val="000000"/>
          <w:sz w:val="32"/>
          <w:szCs w:val="32"/>
        </w:rPr>
        <w:t>6、卫生健康支出（类）行政事业单位医疗（款）行政单位医疗（项）</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color w:val="000000"/>
          <w:sz w:val="32"/>
          <w:szCs w:val="32"/>
        </w:rPr>
        <w:t>年初预算为8.75万元，支出决算为8.75万元，完成年初预算的100%。决算数与年初预算数一致，我单位严格按预算执行决算。</w:t>
      </w:r>
      <w:r>
        <w:rPr>
          <w:color w:val="000000"/>
          <w:sz w:val="27"/>
          <w:szCs w:val="27"/>
        </w:rPr>
        <w:t xml:space="preserve"> </w:t>
      </w:r>
    </w:p>
    <w:p>
      <w:pPr>
        <w:pStyle w:val="14"/>
        <w:spacing w:before="0" w:beforeAutospacing="0" w:after="1" w:afterAutospacing="0"/>
        <w:ind w:left="0" w:firstLine="641"/>
        <w:rPr>
          <w:sz w:val="27"/>
          <w:szCs w:val="27"/>
        </w:rPr>
      </w:pPr>
      <w:r>
        <w:rPr>
          <w:rStyle w:val="12"/>
          <w:rFonts w:hint="eastAsia" w:ascii="宋体" w:hAnsi="宋体" w:eastAsia="宋体" w:cs="宋体"/>
          <w:color w:val="000000"/>
          <w:sz w:val="32"/>
          <w:szCs w:val="32"/>
        </w:rPr>
        <w:t>7、住房保障支出（类）住房改革支出（款）住房公积金（项）</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color w:val="000000"/>
          <w:sz w:val="32"/>
          <w:szCs w:val="32"/>
        </w:rPr>
        <w:t>年初预算为14.71万元，支出决算为14.71万元，完成年初预算的100%。决算数与年初预算数一致，我单位严格按预算执行决算。</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b/>
          <w:bCs/>
          <w:color w:val="000000"/>
          <w:sz w:val="32"/>
          <w:szCs w:val="32"/>
        </w:rPr>
        <w:t>六、一般公共预算财政拨款基本支出决算情况说明</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color w:val="000000"/>
          <w:sz w:val="32"/>
          <w:szCs w:val="32"/>
        </w:rPr>
        <w:t>2022年度财政拨款基本支出249.49万元，其中：</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color w:val="000000"/>
          <w:sz w:val="32"/>
          <w:szCs w:val="32"/>
        </w:rPr>
        <w:t xml:space="preserve">人员经费210.14万元，占基本支出的84.23%，主要包括：基本工资、津贴补贴、奖金、绩效工资、机关事业单位基本养老保险缴费、职工基本医疗保险缴费、公务员医疗补助缴费、其他社会保障缴费、住房公积金、其他工资福利支出、生活补助、其他对个人和家庭的补助。 </w:t>
      </w:r>
    </w:p>
    <w:p>
      <w:pPr>
        <w:pStyle w:val="14"/>
        <w:spacing w:before="0" w:beforeAutospacing="0" w:after="1" w:afterAutospacing="0"/>
        <w:ind w:left="0" w:firstLine="641"/>
        <w:rPr>
          <w:sz w:val="27"/>
          <w:szCs w:val="27"/>
        </w:rPr>
      </w:pPr>
      <w:r>
        <w:rPr>
          <w:rFonts w:hint="eastAsia" w:ascii="宋体" w:hAnsi="宋体" w:eastAsia="宋体" w:cs="宋体"/>
          <w:color w:val="000000"/>
          <w:sz w:val="32"/>
          <w:szCs w:val="32"/>
        </w:rPr>
        <w:t xml:space="preserve">公用经费39.35万元，占基本支出的15.77%，主要包括：办公费、印刷费、水费、邮电费、差旅费、培训费、公务接待费、工会经费、福利费、其他交通费用、其他商品和服务支出。 </w:t>
      </w:r>
    </w:p>
    <w:p>
      <w:pPr>
        <w:pStyle w:val="14"/>
        <w:spacing w:before="0" w:beforeAutospacing="0" w:after="1" w:afterAutospacing="0"/>
        <w:ind w:left="0" w:firstLine="641"/>
        <w:rPr>
          <w:sz w:val="27"/>
          <w:szCs w:val="27"/>
        </w:rPr>
      </w:pPr>
      <w:r>
        <w:rPr>
          <w:rFonts w:hint="eastAsia" w:ascii="宋体" w:hAnsi="宋体" w:eastAsia="宋体" w:cs="宋体"/>
          <w:b/>
          <w:bCs/>
          <w:color w:val="000000"/>
          <w:sz w:val="32"/>
          <w:szCs w:val="32"/>
        </w:rPr>
        <w:t>七、一般公共预算财政拨款三公经费支出决算情况说明</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b/>
          <w:bCs/>
          <w:color w:val="000000"/>
          <w:sz w:val="32"/>
          <w:szCs w:val="32"/>
        </w:rPr>
        <w:t>（一）“三公”经费财政拨款支出决算总体情况说明</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2022年度“三公”经费财政拨款支出预算为3万元，支出决算为2.95万元，完成预算的98.33%，</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其中：</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因公出国（境）费支出预算为0万元，支出决算为0万元，由于年初预算为0万元，无法计算百分比，决算数与预算数一致，主要原因是我单位严格执行预算，因公出国（境）费支出与上年持平。</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公务接待费支出预算为3万元，支出决算为2.95万元，完成预算的98.33%，决算数小于预算数的主要原因是严格贯彻落实中央八项规定，厉行节约，厉行节约，进一步从严控制“三公”经费开支 ，与上年相比减少0.57万元，下降16.19%，下降的主要原因是2022年上级部门来湘乡开展的公务接待活动较上年度减少。</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公务用车购置费支出预算为0万元，支出决算为0万元，由于年初预算为0万元，无法计算百分比，决算数与预算数一致，主要原因是我单位严格执行预算，公务用车购置费支出与上年持平。</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公务用车运行维护费支出预算为0万元，支出决算为0万元，由于年初预算为0万元，无法计算百分比，决算数与预算数一致，主要原因是我单位严格执行预算，公务用车运行维护费支出与上年持平。</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b/>
          <w:bCs/>
          <w:color w:val="000000"/>
          <w:sz w:val="32"/>
          <w:szCs w:val="32"/>
        </w:rPr>
        <w:t>（二）“三公”经费财政拨款支出决算具体情况说明</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2022年度“三公”经费财政拨款支出决算中，公务接待费支出决算2.95万元，占100%，因公出国（境）费支出决算0万元，占0%，公务用车购置费及运行维护费支出决算0万元，占0%。其中：</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1、因公出国（境）费支出决算为0万元，全年安排因公出国（境）团组0个，累计0人次，我单位2022年度无因公出国（境）费支出。</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2、公务接待费支出决算为2.95万元，全年共接待来访团组20个、来宾410人次，主要是上级督查、调研、国家统计督查、湘潭市局数据核查、统计执法等发生的接待支出。</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3、公务用车购置费及运行维护费支出决算为0万元，其中：公务用车购置费0万元，湘乡市统计局更新公务用车0辆。公务用车运行维护费0万元，截至2022年12月31日，我单位开支财政拨款的公务用车保有量为0辆。我单位2022年度无公务用车购置费及运行维护费支出。</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b/>
          <w:bCs/>
          <w:color w:val="000000"/>
          <w:sz w:val="32"/>
          <w:szCs w:val="32"/>
        </w:rPr>
        <w:t>八、政府性基金预算收入支出决算情况</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color w:val="000000"/>
          <w:sz w:val="32"/>
          <w:szCs w:val="32"/>
        </w:rPr>
        <w:t xml:space="preserve">湘乡市统计局2022年度没有政府性基金收入，也没有使用政府性基金安排的支出，并已公开空表。 </w:t>
      </w:r>
    </w:p>
    <w:p>
      <w:pPr>
        <w:pStyle w:val="14"/>
        <w:spacing w:before="0" w:beforeAutospacing="0" w:after="1" w:afterAutospacing="0"/>
        <w:ind w:left="0" w:firstLine="641"/>
        <w:rPr>
          <w:sz w:val="27"/>
          <w:szCs w:val="27"/>
        </w:rPr>
      </w:pPr>
      <w:r>
        <w:rPr>
          <w:rFonts w:ascii="宋体" w:hAnsi="宋体" w:eastAsia="宋体" w:cs="宋体"/>
          <w:b/>
          <w:bCs/>
          <w:color w:val="000000"/>
          <w:sz w:val="32"/>
          <w:szCs w:val="32"/>
        </w:rPr>
        <w:t>九、国有资本经营预算收入支出决算情况</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color w:val="000000"/>
          <w:sz w:val="32"/>
          <w:szCs w:val="32"/>
        </w:rPr>
        <w:t xml:space="preserve">湘乡市统计局2022年度没有国有资本经营预算财政拨款收入，也没有使用国有资本经营预算财政拨款的支出，并已公开空表。 </w:t>
      </w:r>
    </w:p>
    <w:p>
      <w:pPr>
        <w:pStyle w:val="14"/>
        <w:spacing w:before="0" w:beforeAutospacing="0" w:after="1" w:afterAutospacing="0"/>
        <w:ind w:left="0" w:firstLine="640"/>
        <w:rPr>
          <w:sz w:val="27"/>
          <w:szCs w:val="27"/>
        </w:rPr>
      </w:pPr>
      <w:r>
        <w:rPr>
          <w:rFonts w:hint="eastAsia" w:ascii="宋体" w:hAnsi="宋体" w:eastAsia="宋体" w:cs="宋体"/>
          <w:b/>
          <w:bCs/>
          <w:color w:val="000000"/>
          <w:sz w:val="32"/>
          <w:szCs w:val="32"/>
        </w:rPr>
        <w:t>十、关于机关运行经费支出说明</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 xml:space="preserve">湘乡市统计局2022年度机关运行经费支出39.35万元，比上年度决算减少25.17万元，下降39.01%。主要原因是：严格贯彻落实中央八项规定，厉行节约，厉行节约，进一步从严控制机关运行经费开支。 </w:t>
      </w:r>
    </w:p>
    <w:p>
      <w:pPr>
        <w:pStyle w:val="14"/>
        <w:spacing w:before="0" w:beforeAutospacing="0" w:after="1" w:afterAutospacing="0"/>
        <w:ind w:left="0" w:firstLine="640"/>
        <w:rPr>
          <w:sz w:val="27"/>
          <w:szCs w:val="27"/>
        </w:rPr>
      </w:pPr>
      <w:r>
        <w:rPr>
          <w:rFonts w:hint="eastAsia" w:ascii="宋体" w:hAnsi="宋体" w:eastAsia="宋体" w:cs="宋体"/>
          <w:b/>
          <w:bCs/>
          <w:color w:val="000000"/>
          <w:sz w:val="32"/>
          <w:szCs w:val="32"/>
        </w:rPr>
        <w:t>十一、一般性支出情况</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2022年度本单位支出会议费0.82万元，用于召开统计年报会议，人数210人，内容为农业、人口等专业年报会议；开支培训费0.17万元，用于统计业务培训，人数65人，内容为固定资产投资业务培训；无该项活动支出。</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b/>
          <w:bCs/>
          <w:color w:val="000000"/>
          <w:sz w:val="32"/>
          <w:szCs w:val="32"/>
        </w:rPr>
        <w:t>十二、关于政府采购支出说明</w:t>
      </w:r>
      <w:r>
        <w:rPr>
          <w:color w:val="000000"/>
          <w:sz w:val="27"/>
          <w:szCs w:val="27"/>
        </w:rPr>
        <w:t xml:space="preserve"> </w:t>
      </w:r>
    </w:p>
    <w:p>
      <w:pPr>
        <w:pStyle w:val="14"/>
        <w:spacing w:before="0" w:beforeAutospacing="0" w:after="1" w:afterAutospacing="0"/>
        <w:ind w:left="0" w:firstLine="640"/>
        <w:jc w:val="both"/>
        <w:rPr>
          <w:sz w:val="27"/>
          <w:szCs w:val="27"/>
        </w:rPr>
      </w:pPr>
      <w:r>
        <w:rPr>
          <w:rFonts w:hint="eastAsia" w:ascii="宋体" w:hAnsi="宋体" w:eastAsia="宋体" w:cs="宋体"/>
          <w:color w:val="000000"/>
          <w:sz w:val="32"/>
          <w:szCs w:val="32"/>
          <w:shd w:val="clear" w:fill="FFFFFF"/>
        </w:rPr>
        <w:t>湘乡市统计局2022年度政府采购支出总额1.42万元，其中：政府采购货物支出1.42万元、政府采购工程支出0万元、政府采购服务支出0万元。授予中小企业合同金额1.42万元，占政府采购支出总额的100%，其中：授予小微企业合同金额1.42万元，占政府采购支出总额的100%。货物采购授予中小企业合同金额占货物支出金额的100%，由于工程支出总额为0万元，无法计算工程采购授予中小企业合同金额占工程支出金额的百分比，由于服务支出总额为0万元，无法计算服务采购授予中小企业合同金额占服务支出金额的百分比</w:t>
      </w:r>
      <w:r>
        <w:rPr>
          <w:rFonts w:ascii="宋体" w:hAnsi="宋体" w:eastAsia="宋体" w:cs="宋体"/>
          <w:color w:val="000000"/>
          <w:sz w:val="32"/>
          <w:szCs w:val="32"/>
          <w:shd w:val="clear" w:fill="FFFFFF"/>
        </w:rPr>
        <w:t>。</w:t>
      </w:r>
      <w:r>
        <w:rPr>
          <w:rFonts w:hint="eastAsia" w:ascii="宋体" w:hAnsi="宋体" w:eastAsia="宋体" w:cs="宋体"/>
          <w:color w:val="000000"/>
          <w:sz w:val="32"/>
          <w:szCs w:val="32"/>
        </w:rPr>
        <w:t xml:space="preserve"> </w:t>
      </w:r>
    </w:p>
    <w:p>
      <w:pPr>
        <w:pStyle w:val="14"/>
        <w:spacing w:before="0" w:beforeAutospacing="0" w:after="1" w:afterAutospacing="0"/>
        <w:ind w:left="0" w:firstLine="640"/>
        <w:rPr>
          <w:sz w:val="27"/>
          <w:szCs w:val="27"/>
        </w:rPr>
      </w:pPr>
      <w:r>
        <w:rPr>
          <w:rFonts w:hint="eastAsia" w:ascii="宋体" w:hAnsi="宋体" w:eastAsia="宋体" w:cs="宋体"/>
          <w:b/>
          <w:bCs/>
          <w:color w:val="000000"/>
          <w:sz w:val="32"/>
          <w:szCs w:val="32"/>
        </w:rPr>
        <w:t>十三、关于国有资产占用情况说明</w:t>
      </w:r>
      <w:r>
        <w:rPr>
          <w:color w:val="000000"/>
          <w:sz w:val="27"/>
          <w:szCs w:val="27"/>
        </w:rPr>
        <w:t xml:space="preserve"> </w:t>
      </w:r>
    </w:p>
    <w:p>
      <w:pPr>
        <w:pStyle w:val="14"/>
        <w:spacing w:before="0" w:beforeAutospacing="0" w:after="1" w:afterAutospacing="0"/>
        <w:ind w:left="0" w:firstLine="640"/>
        <w:rPr>
          <w:sz w:val="27"/>
          <w:szCs w:val="27"/>
        </w:rPr>
      </w:pPr>
      <w:r>
        <w:rPr>
          <w:rFonts w:hint="eastAsia" w:ascii="宋体" w:hAnsi="宋体" w:eastAsia="宋体" w:cs="宋体"/>
          <w:color w:val="000000"/>
          <w:sz w:val="32"/>
          <w:szCs w:val="32"/>
        </w:rPr>
        <w:t>截至2022年12月31日，</w:t>
      </w:r>
      <w:r>
        <w:rPr>
          <w:rFonts w:hint="eastAsia" w:ascii="宋体" w:hAnsi="宋体" w:eastAsia="宋体" w:cs="宋体"/>
          <w:color w:val="000000"/>
          <w:sz w:val="32"/>
          <w:szCs w:val="32"/>
          <w:shd w:val="clear" w:fill="FFFFFF"/>
        </w:rPr>
        <w:t>湘乡市统计局</w:t>
      </w:r>
      <w:r>
        <w:rPr>
          <w:rFonts w:hint="eastAsia" w:ascii="宋体" w:hAnsi="宋体" w:eastAsia="宋体" w:cs="宋体"/>
          <w:color w:val="000000"/>
          <w:sz w:val="32"/>
          <w:szCs w:val="32"/>
        </w:rPr>
        <w:t>共有车辆0辆（台），其中：副部（省）级及以上领导用车0辆、主要领导干部用车0辆、机要通信用车0辆、应急保障用车0辆、执法执勤用车0辆、特种专业技术用车0辆、其他用车0辆；单价100万元（含）以上专用设备0台（套）。</w:t>
      </w:r>
      <w:r>
        <w:rPr>
          <w:color w:val="000000"/>
          <w:sz w:val="27"/>
          <w:szCs w:val="27"/>
        </w:rPr>
        <w:t xml:space="preserve"> </w:t>
      </w:r>
    </w:p>
    <w:p>
      <w:pPr>
        <w:pStyle w:val="14"/>
        <w:spacing w:before="0" w:beforeAutospacing="0" w:after="1" w:afterAutospacing="0"/>
        <w:ind w:left="0" w:firstLine="641"/>
        <w:rPr>
          <w:sz w:val="27"/>
          <w:szCs w:val="27"/>
        </w:rPr>
      </w:pPr>
      <w:r>
        <w:rPr>
          <w:rFonts w:hint="eastAsia" w:ascii="宋体" w:hAnsi="宋体" w:eastAsia="宋体" w:cs="宋体"/>
          <w:b/>
          <w:bCs/>
          <w:color w:val="000000"/>
          <w:sz w:val="32"/>
          <w:szCs w:val="32"/>
        </w:rPr>
        <w:t>十四、关于2022年度预算绩效情况说明</w:t>
      </w:r>
      <w:r>
        <w:rPr>
          <w:color w:val="000000"/>
          <w:sz w:val="27"/>
          <w:szCs w:val="27"/>
        </w:rPr>
        <w:t xml:space="preserve"> </w:t>
      </w:r>
    </w:p>
    <w:p>
      <w:pPr>
        <w:pStyle w:val="14"/>
        <w:spacing w:before="0" w:beforeAutospacing="0" w:after="1" w:afterAutospacing="0"/>
        <w:ind w:left="0" w:firstLine="641"/>
        <w:rPr>
          <w:sz w:val="27"/>
          <w:szCs w:val="27"/>
        </w:rPr>
      </w:pPr>
      <w:r>
        <w:rPr>
          <w:rStyle w:val="12"/>
          <w:rFonts w:ascii="宋体" w:hAnsi="宋体" w:eastAsia="宋体" w:cs="宋体"/>
          <w:b/>
          <w:bCs/>
          <w:color w:val="000000"/>
          <w:sz w:val="32"/>
          <w:szCs w:val="32"/>
        </w:rPr>
        <w:t>（一）部门整体支出绩效情况</w:t>
      </w:r>
      <w:r>
        <w:rPr>
          <w:color w:val="000000"/>
          <w:sz w:val="27"/>
          <w:szCs w:val="27"/>
        </w:rPr>
        <w:t xml:space="preserve"> </w:t>
      </w:r>
    </w:p>
    <w:p>
      <w:pPr>
        <w:pStyle w:val="14"/>
        <w:spacing w:before="0" w:beforeAutospacing="0" w:after="1" w:afterAutospacing="0"/>
        <w:ind w:left="0" w:firstLine="641"/>
        <w:rPr>
          <w:sz w:val="27"/>
          <w:szCs w:val="27"/>
        </w:rPr>
      </w:pPr>
      <w:r>
        <w:rPr>
          <w:rFonts w:ascii="宋体" w:hAnsi="宋体" w:eastAsia="宋体" w:cs="宋体"/>
          <w:color w:val="000000"/>
          <w:sz w:val="32"/>
          <w:szCs w:val="32"/>
        </w:rPr>
        <w:t>根据预算绩效管理要求，我单位组织对2022年度一般公共预算项目支出全面开展绩效自评，其中，一级项目1个，二级项目0个，共涉及资金253.2万元，占一般公共预算项目支出总额的100%。组织对统计局等1个单位开展整体支出绩效评价，涉及一般公共预算支出253.2万元，政府性基金预算支出0万元。从评价情况来看，2022年整体绩效评价结果良好。</w:t>
      </w:r>
      <w:r>
        <w:rPr>
          <w:color w:val="000000"/>
          <w:sz w:val="27"/>
          <w:szCs w:val="27"/>
        </w:rPr>
        <w:t xml:space="preserve"> </w:t>
      </w:r>
    </w:p>
    <w:p>
      <w:pPr>
        <w:pStyle w:val="14"/>
        <w:spacing w:before="0" w:beforeAutospacing="0" w:after="1" w:afterAutospacing="0"/>
        <w:ind w:left="0" w:firstLine="641"/>
        <w:rPr>
          <w:sz w:val="27"/>
          <w:szCs w:val="27"/>
        </w:rPr>
      </w:pPr>
      <w:r>
        <w:rPr>
          <w:rStyle w:val="12"/>
          <w:rFonts w:ascii="宋体" w:hAnsi="宋体" w:eastAsia="宋体" w:cs="宋体"/>
          <w:b/>
          <w:bCs/>
          <w:color w:val="000000"/>
          <w:sz w:val="32"/>
          <w:szCs w:val="32"/>
        </w:rPr>
        <w:t>（二）存在的问题及原因分析</w:t>
      </w:r>
      <w:r>
        <w:rPr>
          <w:color w:val="000000"/>
          <w:sz w:val="27"/>
          <w:szCs w:val="27"/>
        </w:rPr>
        <w:t xml:space="preserve"> </w:t>
      </w:r>
    </w:p>
    <w:p>
      <w:pPr>
        <w:pStyle w:val="14"/>
        <w:spacing w:before="0" w:beforeAutospacing="0" w:after="1" w:afterAutospacing="0"/>
        <w:ind w:left="0" w:firstLine="641"/>
        <w:rPr>
          <w:sz w:val="27"/>
          <w:szCs w:val="27"/>
        </w:rPr>
      </w:pPr>
      <w:r>
        <w:rPr>
          <w:rFonts w:ascii="宋体" w:hAnsi="宋体" w:eastAsia="宋体" w:cs="宋体"/>
          <w:color w:val="000000"/>
          <w:sz w:val="32"/>
          <w:szCs w:val="32"/>
        </w:rPr>
        <w:t>1.预算编制的口径与实际执行出现误差。按照现行的预算编制原则，人员经费和日常公用经费都是按照上年度九月份的工资表反映的人数安排，而实际执行中单位工作人员往往有变动或流动、以及人员工资调整。</w:t>
      </w:r>
      <w:r>
        <w:rPr>
          <w:rFonts w:ascii="宋体" w:hAnsi="宋体" w:eastAsia="宋体" w:cs="宋体"/>
          <w:color w:val="000000"/>
          <w:sz w:val="32"/>
          <w:szCs w:val="32"/>
        </w:rPr>
        <w:br w:type="textWrapping"/>
      </w:r>
      <w:r>
        <w:rPr>
          <w:rFonts w:ascii="宋体" w:hAnsi="宋体" w:eastAsia="宋体" w:cs="宋体"/>
          <w:color w:val="000000"/>
          <w:sz w:val="32"/>
          <w:szCs w:val="32"/>
        </w:rPr>
        <w:t>2.预算编制的分类和实行执行出现脱节。预算编制的功能分类与经济分类不够细化，而实际支出中的情况更加多元化和明细化，出现了分类不一致的情况。</w:t>
      </w:r>
      <w:r>
        <w:rPr>
          <w:color w:val="000000"/>
          <w:sz w:val="27"/>
          <w:szCs w:val="27"/>
        </w:rPr>
        <w:t xml:space="preserve"> </w:t>
      </w:r>
    </w:p>
    <w:p>
      <w:pPr>
        <w:pStyle w:val="9"/>
        <w:keepNext w:val="0"/>
        <w:keepLines w:val="0"/>
        <w:widowControl/>
        <w:suppressLineNumbers w:val="0"/>
        <w:spacing w:before="0" w:beforeAutospacing="0" w:after="1" w:afterAutospacing="0"/>
        <w:jc w:val="both"/>
      </w:pPr>
    </w:p>
    <w:p>
      <w:pPr>
        <w:pStyle w:val="14"/>
        <w:spacing w:before="0" w:beforeAutospacing="0" w:after="1" w:afterAutospacing="0"/>
        <w:ind w:left="0" w:firstLine="641"/>
        <w:rPr>
          <w:sz w:val="27"/>
          <w:szCs w:val="27"/>
        </w:rPr>
      </w:pPr>
    </w:p>
    <w:p/>
    <w:p>
      <w:pPr>
        <w:spacing w:before="0" w:beforeAutospacing="0" w:after="1" w:afterAutospacing="0"/>
        <w:jc w:val="center"/>
        <w:rPr>
          <w:sz w:val="21"/>
          <w:szCs w:val="21"/>
        </w:rPr>
      </w:pPr>
      <w:r>
        <w:rPr>
          <w:rFonts w:ascii="宋体" w:hAnsi="宋体" w:eastAsia="宋体" w:cs="宋体"/>
          <w:b/>
          <w:bCs/>
          <w:color w:val="000000"/>
          <w:sz w:val="36"/>
          <w:szCs w:val="36"/>
        </w:rPr>
        <w:t>第四部分</w:t>
      </w:r>
      <w:r>
        <w:rPr>
          <w:rFonts w:hint="eastAsia" w:ascii="宋体" w:hAnsi="宋体" w:eastAsia="宋体" w:cs="宋体"/>
          <w:b/>
          <w:bCs/>
          <w:color w:val="000000"/>
          <w:sz w:val="36"/>
          <w:szCs w:val="36"/>
        </w:rPr>
        <w:t xml:space="preserve"> </w:t>
      </w:r>
      <w:r>
        <w:rPr>
          <w:rFonts w:ascii="宋体" w:hAnsi="宋体" w:eastAsia="宋体" w:cs="宋体"/>
          <w:b/>
          <w:bCs/>
          <w:color w:val="000000"/>
          <w:sz w:val="36"/>
          <w:szCs w:val="36"/>
        </w:rPr>
        <w:t>名词解释</w:t>
      </w:r>
      <w:r>
        <w:rPr>
          <w:color w:val="000000"/>
          <w:sz w:val="21"/>
          <w:szCs w:val="21"/>
        </w:rPr>
        <w:t xml:space="preserve"> </w:t>
      </w:r>
    </w:p>
    <w:p>
      <w:pPr>
        <w:spacing w:before="0" w:beforeAutospacing="0" w:after="1" w:afterAutospacing="0" w:line="336" w:lineRule="atLeast"/>
        <w:ind w:left="0" w:right="0" w:firstLine="643"/>
        <w:rPr>
          <w:rFonts w:ascii="Calibri" w:hAnsi="Calibri" w:cs="Calibri"/>
          <w:sz w:val="21"/>
          <w:szCs w:val="21"/>
        </w:rPr>
      </w:pPr>
      <w:r>
        <w:rPr>
          <w:rFonts w:ascii="宋体" w:hAnsi="宋体" w:eastAsia="宋体" w:cs="宋体"/>
          <w:b/>
          <w:bCs/>
          <w:color w:val="000000"/>
          <w:sz w:val="32"/>
          <w:szCs w:val="32"/>
        </w:rPr>
        <w:t>财政拨款收入</w:t>
      </w:r>
      <w:r>
        <w:rPr>
          <w:rFonts w:ascii="宋体" w:hAnsi="宋体" w:eastAsia="宋体" w:cs="宋体"/>
          <w:color w:val="000000"/>
          <w:sz w:val="32"/>
          <w:szCs w:val="32"/>
        </w:rPr>
        <w:t>：指财政当年拨付的资金。包括一般公共预算财政拨款和政府性基金财政拨款。</w:t>
      </w:r>
      <w:r>
        <w:rPr>
          <w:rFonts w:hint="default" w:ascii="Calibri" w:hAnsi="Calibri" w:cs="Calibri"/>
          <w:color w:val="000000"/>
          <w:sz w:val="21"/>
          <w:szCs w:val="21"/>
        </w:rPr>
        <w:t xml:space="preserve"> </w:t>
      </w:r>
    </w:p>
    <w:p>
      <w:pPr>
        <w:spacing w:before="0" w:beforeAutospacing="0" w:after="1" w:afterAutospacing="0" w:line="336" w:lineRule="atLeast"/>
        <w:ind w:left="0" w:right="0" w:firstLine="643"/>
        <w:rPr>
          <w:rFonts w:hint="default" w:ascii="Calibri" w:hAnsi="Calibri" w:cs="Calibri"/>
          <w:sz w:val="21"/>
          <w:szCs w:val="21"/>
        </w:rPr>
      </w:pPr>
      <w:r>
        <w:rPr>
          <w:rFonts w:ascii="宋体" w:hAnsi="宋体" w:eastAsia="宋体" w:cs="宋体"/>
          <w:b/>
          <w:bCs/>
          <w:color w:val="000000"/>
          <w:sz w:val="32"/>
          <w:szCs w:val="32"/>
        </w:rPr>
        <w:t>上级补助收入</w:t>
      </w:r>
      <w:r>
        <w:rPr>
          <w:rFonts w:ascii="宋体" w:hAnsi="宋体" w:eastAsia="宋体" w:cs="宋体"/>
          <w:color w:val="000000"/>
          <w:sz w:val="32"/>
          <w:szCs w:val="32"/>
        </w:rPr>
        <w:t>：指事业单位从主管部门和上级单位取得的非财政补助收入。</w:t>
      </w:r>
      <w:r>
        <w:rPr>
          <w:rFonts w:hint="default" w:ascii="Calibri" w:hAnsi="Calibri" w:cs="Calibri"/>
          <w:color w:val="000000"/>
          <w:sz w:val="21"/>
          <w:szCs w:val="21"/>
        </w:rPr>
        <w:t xml:space="preserve"> </w:t>
      </w:r>
    </w:p>
    <w:p>
      <w:pPr>
        <w:spacing w:before="0" w:beforeAutospacing="0" w:after="1" w:afterAutospacing="0" w:line="336" w:lineRule="atLeast"/>
        <w:ind w:left="0" w:right="0" w:firstLine="643"/>
        <w:rPr>
          <w:rFonts w:hint="default" w:ascii="Calibri" w:hAnsi="Calibri" w:cs="Calibri"/>
          <w:sz w:val="21"/>
          <w:szCs w:val="21"/>
        </w:rPr>
      </w:pPr>
      <w:r>
        <w:rPr>
          <w:rFonts w:ascii="宋体" w:hAnsi="宋体" w:eastAsia="宋体" w:cs="宋体"/>
          <w:b/>
          <w:bCs/>
          <w:color w:val="000000"/>
          <w:sz w:val="32"/>
          <w:szCs w:val="32"/>
        </w:rPr>
        <w:t>事业收入：</w:t>
      </w:r>
      <w:r>
        <w:rPr>
          <w:rFonts w:ascii="宋体" w:hAnsi="宋体" w:eastAsia="宋体" w:cs="宋体"/>
          <w:color w:val="000000"/>
          <w:sz w:val="32"/>
          <w:szCs w:val="32"/>
        </w:rPr>
        <w:t>指事业单位开展专业业务活动及辅助活动所取得的收入。</w:t>
      </w:r>
      <w:r>
        <w:rPr>
          <w:rFonts w:hint="default" w:ascii="Calibri" w:hAnsi="Calibri" w:cs="Calibri"/>
          <w:color w:val="000000"/>
          <w:sz w:val="21"/>
          <w:szCs w:val="21"/>
        </w:rPr>
        <w:t xml:space="preserve"> </w:t>
      </w:r>
    </w:p>
    <w:p>
      <w:pPr>
        <w:spacing w:before="0" w:beforeAutospacing="0" w:after="1" w:afterAutospacing="0" w:line="336" w:lineRule="atLeast"/>
        <w:ind w:left="0" w:right="0" w:firstLine="643"/>
        <w:rPr>
          <w:rFonts w:hint="default" w:ascii="Calibri" w:hAnsi="Calibri" w:cs="Calibri"/>
          <w:sz w:val="21"/>
          <w:szCs w:val="21"/>
        </w:rPr>
      </w:pPr>
      <w:r>
        <w:rPr>
          <w:rFonts w:ascii="宋体" w:hAnsi="宋体" w:eastAsia="宋体" w:cs="宋体"/>
          <w:b/>
          <w:bCs/>
          <w:color w:val="000000"/>
          <w:sz w:val="32"/>
          <w:szCs w:val="32"/>
        </w:rPr>
        <w:t>经营收入：</w:t>
      </w:r>
      <w:r>
        <w:rPr>
          <w:rFonts w:ascii="宋体" w:hAnsi="宋体" w:eastAsia="宋体" w:cs="宋体"/>
          <w:color w:val="000000"/>
          <w:sz w:val="32"/>
          <w:szCs w:val="32"/>
        </w:rPr>
        <w:t>指事业单位在专业业务活动及其辅助活动之外开展非独立核算经营活动取得的收入。</w:t>
      </w:r>
      <w:r>
        <w:rPr>
          <w:rFonts w:hint="default" w:ascii="Calibri" w:hAnsi="Calibri" w:cs="Calibri"/>
          <w:color w:val="000000"/>
          <w:sz w:val="21"/>
          <w:szCs w:val="21"/>
        </w:rPr>
        <w:t xml:space="preserve"> </w:t>
      </w:r>
    </w:p>
    <w:p>
      <w:pPr>
        <w:spacing w:before="0" w:beforeAutospacing="0" w:after="1" w:afterAutospacing="0" w:line="336" w:lineRule="atLeast"/>
        <w:ind w:left="0" w:right="0" w:firstLine="643"/>
        <w:rPr>
          <w:rFonts w:hint="default" w:ascii="Calibri" w:hAnsi="Calibri" w:cs="Calibri"/>
          <w:sz w:val="21"/>
          <w:szCs w:val="21"/>
        </w:rPr>
      </w:pPr>
      <w:r>
        <w:rPr>
          <w:rFonts w:ascii="宋体" w:hAnsi="宋体" w:eastAsia="宋体" w:cs="宋体"/>
          <w:b/>
          <w:bCs/>
          <w:color w:val="000000"/>
          <w:sz w:val="32"/>
          <w:szCs w:val="32"/>
        </w:rPr>
        <w:t>附属单位上缴收入</w:t>
      </w:r>
      <w:r>
        <w:rPr>
          <w:rFonts w:ascii="宋体" w:hAnsi="宋体" w:eastAsia="宋体" w:cs="宋体"/>
          <w:color w:val="000000"/>
          <w:sz w:val="32"/>
          <w:szCs w:val="32"/>
        </w:rPr>
        <w:t>：指事业单位附属独立核算单位按照有关规定上缴的收入。</w:t>
      </w:r>
      <w:r>
        <w:rPr>
          <w:rFonts w:hint="default" w:ascii="Calibri" w:hAnsi="Calibri" w:cs="Calibri"/>
          <w:color w:val="000000"/>
          <w:sz w:val="21"/>
          <w:szCs w:val="21"/>
        </w:rPr>
        <w:t xml:space="preserve"> </w:t>
      </w:r>
    </w:p>
    <w:p>
      <w:pPr>
        <w:spacing w:before="0" w:beforeAutospacing="0" w:after="1" w:afterAutospacing="0" w:line="336" w:lineRule="atLeast"/>
        <w:ind w:left="0" w:right="0" w:firstLine="643"/>
        <w:rPr>
          <w:rFonts w:hint="default" w:ascii="Calibri" w:hAnsi="Calibri" w:cs="Calibri"/>
          <w:sz w:val="21"/>
          <w:szCs w:val="21"/>
        </w:rPr>
      </w:pPr>
      <w:r>
        <w:rPr>
          <w:rFonts w:ascii="宋体" w:hAnsi="宋体" w:eastAsia="宋体" w:cs="宋体"/>
          <w:b/>
          <w:bCs/>
          <w:color w:val="000000"/>
          <w:sz w:val="32"/>
          <w:szCs w:val="32"/>
        </w:rPr>
        <w:t>其他收入</w:t>
      </w:r>
      <w:r>
        <w:rPr>
          <w:rFonts w:ascii="宋体" w:hAnsi="宋体" w:eastAsia="宋体" w:cs="宋体"/>
          <w:color w:val="000000"/>
          <w:sz w:val="32"/>
          <w:szCs w:val="32"/>
        </w:rPr>
        <w:t>：指除上述“财政拨款收入”、“事业收入”、“经营收入”等以外的收入。</w:t>
      </w:r>
      <w:r>
        <w:rPr>
          <w:rFonts w:hint="default" w:ascii="Calibri" w:hAnsi="Calibri" w:cs="Calibri"/>
          <w:color w:val="000000"/>
          <w:sz w:val="21"/>
          <w:szCs w:val="21"/>
        </w:rPr>
        <w:t xml:space="preserve"> </w:t>
      </w:r>
    </w:p>
    <w:p>
      <w:pPr>
        <w:spacing w:before="0" w:beforeAutospacing="0" w:after="1" w:afterAutospacing="0" w:line="336" w:lineRule="atLeast"/>
        <w:ind w:left="0" w:right="0" w:firstLine="643"/>
        <w:rPr>
          <w:rFonts w:hint="default" w:ascii="Calibri" w:hAnsi="Calibri" w:cs="Calibri"/>
          <w:sz w:val="21"/>
          <w:szCs w:val="21"/>
        </w:rPr>
      </w:pPr>
      <w:r>
        <w:rPr>
          <w:rFonts w:ascii="宋体" w:hAnsi="宋体" w:eastAsia="宋体" w:cs="宋体"/>
          <w:b/>
          <w:bCs/>
          <w:color w:val="000000"/>
          <w:sz w:val="32"/>
          <w:szCs w:val="32"/>
        </w:rPr>
        <w:t>用事业基金弥补收支差额</w:t>
      </w:r>
      <w:r>
        <w:rPr>
          <w:rFonts w:ascii="宋体" w:hAnsi="宋体" w:eastAsia="宋体" w:cs="宋体"/>
          <w:color w:val="000000"/>
          <w:sz w:val="32"/>
          <w:szCs w:val="32"/>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r>
        <w:rPr>
          <w:rFonts w:hint="default" w:ascii="Calibri" w:hAnsi="Calibri" w:cs="Calibri"/>
          <w:color w:val="000000"/>
          <w:sz w:val="21"/>
          <w:szCs w:val="21"/>
        </w:rPr>
        <w:t xml:space="preserve"> </w:t>
      </w:r>
    </w:p>
    <w:p>
      <w:pPr>
        <w:spacing w:before="0" w:beforeAutospacing="0" w:after="1" w:afterAutospacing="0" w:line="336" w:lineRule="atLeast"/>
        <w:ind w:left="0" w:right="0" w:firstLine="643"/>
        <w:rPr>
          <w:rFonts w:hint="default" w:ascii="Calibri" w:hAnsi="Calibri" w:cs="Calibri"/>
          <w:sz w:val="21"/>
          <w:szCs w:val="21"/>
        </w:rPr>
      </w:pPr>
      <w:r>
        <w:rPr>
          <w:rFonts w:ascii="宋体" w:hAnsi="宋体" w:eastAsia="宋体" w:cs="宋体"/>
          <w:b/>
          <w:bCs/>
          <w:color w:val="000000"/>
          <w:sz w:val="32"/>
          <w:szCs w:val="32"/>
        </w:rPr>
        <w:t>年初结转和结余</w:t>
      </w:r>
      <w:r>
        <w:rPr>
          <w:rFonts w:ascii="宋体" w:hAnsi="宋体" w:eastAsia="宋体" w:cs="宋体"/>
          <w:color w:val="000000"/>
          <w:sz w:val="32"/>
          <w:szCs w:val="32"/>
        </w:rPr>
        <w:t>：指以前年度尚未完成、结转到本年按有关规定继续使用的资金。</w:t>
      </w:r>
      <w:r>
        <w:rPr>
          <w:rFonts w:hint="default" w:ascii="Calibri" w:hAnsi="Calibri" w:cs="Calibri"/>
          <w:color w:val="000000"/>
          <w:sz w:val="21"/>
          <w:szCs w:val="21"/>
        </w:rPr>
        <w:t xml:space="preserve"> </w:t>
      </w:r>
    </w:p>
    <w:p>
      <w:pPr>
        <w:spacing w:before="0" w:beforeAutospacing="0" w:after="1" w:afterAutospacing="0" w:line="336" w:lineRule="atLeast"/>
        <w:ind w:left="0" w:right="0" w:firstLine="643"/>
        <w:rPr>
          <w:rFonts w:hint="default" w:ascii="Calibri" w:hAnsi="Calibri" w:cs="Calibri"/>
          <w:sz w:val="21"/>
          <w:szCs w:val="21"/>
        </w:rPr>
      </w:pPr>
      <w:r>
        <w:rPr>
          <w:rFonts w:ascii="宋体" w:hAnsi="宋体" w:eastAsia="宋体" w:cs="宋体"/>
          <w:b/>
          <w:bCs/>
          <w:color w:val="000000"/>
          <w:sz w:val="32"/>
          <w:szCs w:val="32"/>
        </w:rPr>
        <w:t>结余分配</w:t>
      </w:r>
      <w:r>
        <w:rPr>
          <w:rFonts w:ascii="宋体" w:hAnsi="宋体" w:eastAsia="宋体" w:cs="宋体"/>
          <w:color w:val="000000"/>
          <w:sz w:val="32"/>
          <w:szCs w:val="32"/>
        </w:rPr>
        <w:t>：指事业事位按规定从非财政补助结余中分配的事业基金和职工福利基金等。</w:t>
      </w:r>
      <w:r>
        <w:rPr>
          <w:rFonts w:hint="default" w:ascii="Calibri" w:hAnsi="Calibri" w:cs="Calibri"/>
          <w:color w:val="000000"/>
          <w:sz w:val="21"/>
          <w:szCs w:val="21"/>
        </w:rPr>
        <w:t xml:space="preserve"> </w:t>
      </w:r>
    </w:p>
    <w:p>
      <w:pPr>
        <w:spacing w:before="0" w:beforeAutospacing="0" w:after="1" w:afterAutospacing="0" w:line="336" w:lineRule="atLeast"/>
        <w:ind w:left="0" w:right="0" w:firstLine="643"/>
        <w:rPr>
          <w:rFonts w:hint="default" w:ascii="Calibri" w:hAnsi="Calibri" w:cs="Calibri"/>
          <w:sz w:val="21"/>
          <w:szCs w:val="21"/>
        </w:rPr>
      </w:pPr>
      <w:r>
        <w:rPr>
          <w:rFonts w:ascii="宋体" w:hAnsi="宋体" w:eastAsia="宋体" w:cs="宋体"/>
          <w:b/>
          <w:bCs/>
          <w:color w:val="000000"/>
          <w:sz w:val="32"/>
          <w:szCs w:val="32"/>
        </w:rPr>
        <w:t>年末结转和结余</w:t>
      </w:r>
      <w:r>
        <w:rPr>
          <w:rFonts w:ascii="宋体" w:hAnsi="宋体" w:eastAsia="宋体" w:cs="宋体"/>
          <w:color w:val="000000"/>
          <w:sz w:val="32"/>
          <w:szCs w:val="32"/>
        </w:rPr>
        <w:t>：指本年度或以前年度预算安排、因客观条件发生变化无法按原计划实施，需要延迟到以后年度按有关规定继续使用的资金。</w:t>
      </w:r>
      <w:r>
        <w:rPr>
          <w:rFonts w:hint="default" w:ascii="Calibri" w:hAnsi="Calibri" w:cs="Calibri"/>
          <w:color w:val="000000"/>
          <w:sz w:val="21"/>
          <w:szCs w:val="21"/>
        </w:rPr>
        <w:t xml:space="preserve"> </w:t>
      </w:r>
    </w:p>
    <w:p>
      <w:pPr>
        <w:spacing w:before="0" w:beforeAutospacing="0" w:after="1" w:afterAutospacing="0" w:line="336" w:lineRule="atLeast"/>
        <w:ind w:left="0" w:right="0" w:firstLine="643"/>
        <w:rPr>
          <w:rFonts w:hint="default" w:ascii="Calibri" w:hAnsi="Calibri" w:cs="Calibri"/>
          <w:sz w:val="21"/>
          <w:szCs w:val="21"/>
        </w:rPr>
      </w:pPr>
      <w:r>
        <w:rPr>
          <w:rFonts w:ascii="宋体" w:hAnsi="宋体" w:eastAsia="宋体" w:cs="宋体"/>
          <w:b/>
          <w:bCs/>
          <w:color w:val="000000"/>
          <w:sz w:val="32"/>
          <w:szCs w:val="32"/>
        </w:rPr>
        <w:t>基本支出</w:t>
      </w:r>
      <w:r>
        <w:rPr>
          <w:rFonts w:ascii="宋体" w:hAnsi="宋体" w:eastAsia="宋体" w:cs="宋体"/>
          <w:color w:val="000000"/>
          <w:sz w:val="32"/>
          <w:szCs w:val="32"/>
        </w:rPr>
        <w:t>：指为保障机构正常运转、完成日常工作任务而发生的人员支出和公用支出。</w:t>
      </w:r>
      <w:r>
        <w:rPr>
          <w:rFonts w:hint="default" w:ascii="Calibri" w:hAnsi="Calibri" w:cs="Calibri"/>
          <w:color w:val="000000"/>
          <w:sz w:val="21"/>
          <w:szCs w:val="21"/>
        </w:rPr>
        <w:t xml:space="preserve"> </w:t>
      </w:r>
    </w:p>
    <w:p>
      <w:pPr>
        <w:spacing w:before="0" w:beforeAutospacing="0" w:after="1" w:afterAutospacing="0" w:line="336" w:lineRule="atLeast"/>
        <w:ind w:left="0" w:right="0" w:firstLine="643"/>
        <w:rPr>
          <w:rFonts w:hint="default" w:ascii="Calibri" w:hAnsi="Calibri" w:cs="Calibri"/>
          <w:sz w:val="21"/>
          <w:szCs w:val="21"/>
        </w:rPr>
      </w:pPr>
      <w:r>
        <w:rPr>
          <w:rFonts w:ascii="宋体" w:hAnsi="宋体" w:eastAsia="宋体" w:cs="宋体"/>
          <w:b/>
          <w:bCs/>
          <w:color w:val="000000"/>
          <w:sz w:val="32"/>
          <w:szCs w:val="32"/>
        </w:rPr>
        <w:t>项目支出</w:t>
      </w:r>
      <w:r>
        <w:rPr>
          <w:rFonts w:ascii="宋体" w:hAnsi="宋体" w:eastAsia="宋体" w:cs="宋体"/>
          <w:color w:val="000000"/>
          <w:sz w:val="32"/>
          <w:szCs w:val="32"/>
        </w:rPr>
        <w:t>：指在基本支出之外为完成特定行政任务和事业发展目标所发生的支出。</w:t>
      </w:r>
      <w:r>
        <w:rPr>
          <w:rFonts w:hint="default" w:ascii="Calibri" w:hAnsi="Calibri" w:cs="Calibri"/>
          <w:color w:val="000000"/>
          <w:sz w:val="21"/>
          <w:szCs w:val="21"/>
        </w:rPr>
        <w:t xml:space="preserve"> </w:t>
      </w:r>
    </w:p>
    <w:p>
      <w:pPr>
        <w:spacing w:before="0" w:beforeAutospacing="0" w:after="1" w:afterAutospacing="0" w:line="336" w:lineRule="atLeast"/>
        <w:ind w:left="0" w:right="0" w:firstLine="643"/>
        <w:rPr>
          <w:rFonts w:hint="default" w:ascii="Calibri" w:hAnsi="Calibri" w:cs="Calibri"/>
          <w:sz w:val="21"/>
          <w:szCs w:val="21"/>
        </w:rPr>
      </w:pPr>
      <w:r>
        <w:rPr>
          <w:rFonts w:ascii="宋体" w:hAnsi="宋体" w:eastAsia="宋体" w:cs="宋体"/>
          <w:b/>
          <w:bCs/>
          <w:color w:val="000000"/>
          <w:sz w:val="32"/>
          <w:szCs w:val="32"/>
        </w:rPr>
        <w:t>经营支出</w:t>
      </w:r>
      <w:r>
        <w:rPr>
          <w:rFonts w:ascii="宋体" w:hAnsi="宋体" w:eastAsia="宋体" w:cs="宋体"/>
          <w:color w:val="000000"/>
          <w:sz w:val="32"/>
          <w:szCs w:val="32"/>
        </w:rPr>
        <w:t>：指事业单位在专业业务活动及其辅助活动之外开展非独立核算经营活动所发生的支出。</w:t>
      </w:r>
      <w:r>
        <w:rPr>
          <w:rFonts w:hint="default" w:ascii="Calibri" w:hAnsi="Calibri" w:cs="Calibri"/>
          <w:color w:val="000000"/>
          <w:sz w:val="21"/>
          <w:szCs w:val="21"/>
        </w:rPr>
        <w:t xml:space="preserve"> </w:t>
      </w:r>
    </w:p>
    <w:p>
      <w:pPr>
        <w:spacing w:before="0" w:beforeAutospacing="0" w:after="1" w:afterAutospacing="0" w:line="336" w:lineRule="atLeast"/>
        <w:ind w:left="0" w:right="0" w:firstLine="643"/>
        <w:rPr>
          <w:rFonts w:hint="default" w:ascii="Calibri" w:hAnsi="Calibri" w:cs="Calibri"/>
          <w:sz w:val="21"/>
          <w:szCs w:val="21"/>
        </w:rPr>
      </w:pPr>
      <w:r>
        <w:rPr>
          <w:rFonts w:ascii="宋体" w:hAnsi="宋体" w:eastAsia="宋体" w:cs="宋体"/>
          <w:b/>
          <w:bCs/>
          <w:color w:val="000000"/>
          <w:sz w:val="32"/>
          <w:szCs w:val="32"/>
        </w:rPr>
        <w:t>“三公”经费</w:t>
      </w:r>
      <w:r>
        <w:rPr>
          <w:rFonts w:ascii="宋体" w:hAnsi="宋体" w:eastAsia="宋体" w:cs="宋体"/>
          <w:color w:val="000000"/>
          <w:sz w:val="32"/>
          <w:szCs w:val="32"/>
        </w:rPr>
        <w:t>：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r>
        <w:rPr>
          <w:rFonts w:hint="default" w:ascii="Calibri" w:hAnsi="Calibri" w:cs="Calibri"/>
          <w:color w:val="000000"/>
          <w:sz w:val="21"/>
          <w:szCs w:val="21"/>
        </w:rPr>
        <w:t xml:space="preserve"> </w:t>
      </w:r>
    </w:p>
    <w:p>
      <w:pPr>
        <w:spacing w:before="0" w:beforeAutospacing="0" w:after="1" w:afterAutospacing="0" w:line="336" w:lineRule="atLeast"/>
        <w:ind w:left="0" w:right="0" w:firstLine="643"/>
        <w:rPr>
          <w:rFonts w:hint="default" w:ascii="Calibri" w:hAnsi="Calibri" w:cs="Calibri"/>
          <w:sz w:val="21"/>
          <w:szCs w:val="21"/>
        </w:rPr>
      </w:pPr>
      <w:r>
        <w:rPr>
          <w:rFonts w:ascii="宋体" w:hAnsi="宋体" w:eastAsia="宋体" w:cs="宋体"/>
          <w:b/>
          <w:bCs/>
          <w:color w:val="000000"/>
          <w:sz w:val="32"/>
          <w:szCs w:val="32"/>
        </w:rPr>
        <w:t>机关运行经费</w:t>
      </w:r>
      <w:r>
        <w:rPr>
          <w:rFonts w:ascii="宋体" w:hAnsi="宋体" w:eastAsia="宋体" w:cs="宋体"/>
          <w:color w:val="000000"/>
          <w:sz w:val="32"/>
          <w:szCs w:val="32"/>
        </w:rPr>
        <w:t>：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r>
        <w:rPr>
          <w:rFonts w:hint="default" w:ascii="Calibri" w:hAnsi="Calibri" w:cs="Calibri"/>
          <w:color w:val="000000"/>
          <w:sz w:val="21"/>
          <w:szCs w:val="21"/>
        </w:rPr>
        <w:t xml:space="preserve"> </w:t>
      </w:r>
    </w:p>
    <w:p>
      <w:pPr>
        <w:spacing w:before="0" w:beforeAutospacing="0" w:after="1" w:afterAutospacing="0" w:line="336" w:lineRule="atLeast"/>
        <w:ind w:left="0" w:right="0" w:firstLine="643"/>
        <w:rPr>
          <w:rFonts w:hint="default" w:ascii="Calibri" w:hAnsi="Calibri" w:cs="Calibri"/>
          <w:sz w:val="21"/>
          <w:szCs w:val="21"/>
        </w:rPr>
      </w:pPr>
    </w:p>
    <w:p>
      <w:pPr>
        <w:spacing w:before="0" w:beforeAutospacing="0" w:after="1" w:afterAutospacing="0"/>
        <w:jc w:val="center"/>
        <w:rPr>
          <w:sz w:val="21"/>
          <w:szCs w:val="21"/>
        </w:rPr>
      </w:pPr>
      <w:r>
        <w:rPr>
          <w:rFonts w:ascii="宋体" w:hAnsi="宋体" w:eastAsia="宋体" w:cs="宋体"/>
          <w:b/>
          <w:bCs/>
          <w:color w:val="000000"/>
          <w:sz w:val="36"/>
          <w:szCs w:val="36"/>
        </w:rPr>
        <w:t>第五部分</w:t>
      </w:r>
      <w:r>
        <w:rPr>
          <w:rFonts w:hint="eastAsia" w:ascii="宋体" w:hAnsi="宋体" w:eastAsia="宋体" w:cs="宋体"/>
          <w:b/>
          <w:bCs/>
          <w:color w:val="000000"/>
          <w:sz w:val="36"/>
          <w:szCs w:val="36"/>
        </w:rPr>
        <w:t xml:space="preserve"> </w:t>
      </w:r>
      <w:r>
        <w:rPr>
          <w:rFonts w:ascii="宋体" w:hAnsi="宋体" w:eastAsia="宋体" w:cs="宋体"/>
          <w:b/>
          <w:bCs/>
          <w:color w:val="000000"/>
          <w:sz w:val="36"/>
          <w:szCs w:val="36"/>
        </w:rPr>
        <w:t>附件</w:t>
      </w:r>
      <w:r>
        <w:rPr>
          <w:color w:val="000000"/>
          <w:sz w:val="21"/>
          <w:szCs w:val="21"/>
        </w:rPr>
        <w:t xml:space="preserve"> </w:t>
      </w:r>
    </w:p>
    <w:p>
      <w:pPr>
        <w:spacing w:before="0" w:beforeAutospacing="0" w:after="1" w:afterAutospacing="0"/>
        <w:jc w:val="center"/>
        <w:rPr>
          <w:sz w:val="21"/>
          <w:szCs w:val="21"/>
        </w:rPr>
      </w:pPr>
      <w:r>
        <w:rPr>
          <w:rFonts w:ascii="宋体" w:hAnsi="宋体" w:eastAsia="宋体" w:cs="宋体"/>
          <w:sz w:val="28"/>
          <w:szCs w:val="28"/>
          <w:shd w:val="clear" w:fill="FFFFFF"/>
        </w:rPr>
        <w:fldChar w:fldCharType="begin"/>
      </w:r>
      <w:r>
        <w:rPr>
          <w:rFonts w:ascii="宋体" w:hAnsi="宋体" w:eastAsia="宋体" w:cs="宋体"/>
          <w:sz w:val="28"/>
          <w:szCs w:val="28"/>
          <w:shd w:val="clear" w:fill="FFFFFF"/>
        </w:rPr>
        <w:instrText xml:space="preserve"> HYPERLINK "http://www.xxs.gov.cn/czjyjs//home/downloadAttachment?attachGUID=7eb97b37383343ba8834442d6bb97f7f" \t "_blank" </w:instrText>
      </w:r>
      <w:r>
        <w:rPr>
          <w:rFonts w:ascii="宋体" w:hAnsi="宋体" w:eastAsia="宋体" w:cs="宋体"/>
          <w:sz w:val="28"/>
          <w:szCs w:val="28"/>
          <w:shd w:val="clear" w:fill="FFFFFF"/>
        </w:rPr>
        <w:fldChar w:fldCharType="separate"/>
      </w:r>
      <w:r>
        <w:rPr>
          <w:rStyle w:val="13"/>
          <w:rFonts w:ascii="宋体" w:hAnsi="宋体" w:eastAsia="宋体" w:cs="宋体"/>
          <w:sz w:val="28"/>
          <w:szCs w:val="28"/>
          <w:shd w:val="clear" w:fill="FFFFFF"/>
        </w:rPr>
        <w:t>2022年整体支出绩效评价自评报告.doc</w:t>
      </w:r>
      <w:r>
        <w:rPr>
          <w:rFonts w:ascii="宋体" w:hAnsi="宋体" w:eastAsia="宋体" w:cs="宋体"/>
          <w:sz w:val="28"/>
          <w:szCs w:val="28"/>
          <w:shd w:val="clear" w:fill="FFFFFF"/>
        </w:rPr>
        <w:fldChar w:fldCharType="end"/>
      </w:r>
    </w:p>
    <w:p>
      <w:pPr>
        <w:spacing w:before="0" w:beforeAutospacing="0" w:after="1" w:afterAutospacing="0"/>
        <w:jc w:val="center"/>
        <w:rPr>
          <w:sz w:val="21"/>
          <w:szCs w:val="21"/>
        </w:rPr>
      </w:pPr>
    </w:p>
    <w:p>
      <w:pPr>
        <w:spacing w:before="0" w:beforeAutospacing="0" w:after="1" w:afterAutospacing="0"/>
        <w:jc w:val="center"/>
        <w:rPr>
          <w:sz w:val="21"/>
          <w:szCs w:val="21"/>
        </w:rPr>
      </w:pPr>
    </w:p>
    <w:sectPr>
      <w:pgSz w:w="11906" w:h="16838" w:orient="landscape"/>
      <w:pgMar w:top="1440" w:right="1080" w:bottom="1440" w:left="1080" w:header="851" w:footer="992" w:gutter="0"/>
      <w:paperSrc/>
      <w:cols w:space="0" w:num="1"/>
      <w:docGrid w:type="lines" w:linePitch="1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auto"/>
    <w:pitch w:val="fixed"/>
    <w:sig w:usb0="800002BF" w:usb1="38CF7CFA" w:usb2="00000016" w:usb3="00000000" w:csb0="00040001" w:csb1="00000000"/>
  </w:font>
  <w:font w:name="微软雅黑">
    <w:panose1 w:val="020B0503020204020204"/>
    <w:charset w:val="86"/>
    <w:family w:val="auto"/>
    <w:pitch w:val="variable"/>
    <w:sig w:usb0="80000287" w:usb1="2ACF3C50" w:usb2="00000016" w:usb3="00000000" w:csb0="0004001F" w:csb1="00000000"/>
  </w:font>
  <w:font w:name="@宋体">
    <w:panose1 w:val="02010600030101010101"/>
    <w:charset w:val="86"/>
    <w:family w:val="auto"/>
    <w:pitch w:val="variable"/>
    <w:sig w:usb0="00000203" w:usb1="288F0000" w:usb2="00000006" w:usb3="00000000" w:csb0="00040001" w:csb1="00000000"/>
  </w:font>
  <w:font w:name="楷体">
    <w:panose1 w:val="02010609060101010101"/>
    <w:charset w:val="86"/>
    <w:family w:val="auto"/>
    <w:pitch w:val="fixed"/>
    <w:sig w:usb0="800002BF" w:usb1="38CF7CFA" w:usb2="00000016" w:usb3="00000000" w:csb0="00040001" w:csb1="00000000"/>
  </w:font>
  <w:font w:name="Cambria Math">
    <w:panose1 w:val="02040503050406030204"/>
    <w:charset w:val="00"/>
    <w:family w:val="auto"/>
    <w:pitch w:val="variable"/>
    <w:sig w:usb0="E00006FF" w:usb1="420024FF" w:usb2="02000000" w:usb3="00000000" w:csb0="2000019F" w:csb1="00000000"/>
  </w:font>
  <w:font w:name="Verdana">
    <w:panose1 w:val="020B0604030504040204"/>
    <w:charset w:val="00"/>
    <w:family w:val="auto"/>
    <w:pitch w:val="variable"/>
    <w:sig w:usb0="A00006FF" w:usb1="4000205B" w:usb2="00000010" w:usb3="00000000" w:csb0="2000019F" w:csb1="00000000"/>
  </w:font>
  <w:font w:name="@黑体">
    <w:panose1 w:val="02010609060101010101"/>
    <w:charset w:val="86"/>
    <w:family w:val="auto"/>
    <w:pitch w:val="fixed"/>
    <w:sig w:usb0="800002BF" w:usb1="38CF7CFA" w:usb2="00000016" w:usb3="00000000" w:csb0="00040001" w:csb1="00000000"/>
  </w:font>
  <w:font w:name="@新宋体">
    <w:panose1 w:val="02010609030101010101"/>
    <w:charset w:val="86"/>
    <w:family w:val="auto"/>
    <w:pitch w:val="fixed"/>
    <w:sig w:usb0="00000203" w:usb1="288F0000" w:usb2="00000006" w:usb3="00000000" w:csb0="00040001" w:csb1="00000000"/>
  </w:font>
  <w:font w:name="@楷体">
    <w:panose1 w:val="02010609060101010101"/>
    <w:charset w:val="86"/>
    <w:family w:val="auto"/>
    <w:pitch w:val="fixed"/>
    <w:sig w:usb0="800002BF" w:usb1="38CF7CFA" w:usb2="00000016" w:usb3="00000000" w:csb0="00040001" w:csb1="00000000"/>
  </w:font>
  <w:font w:name="@微软雅黑">
    <w:panose1 w:val="020B0503020204020204"/>
    <w:charset w:val="86"/>
    <w:family w:val="auto"/>
    <w:pitch w:val="variable"/>
    <w:sig w:usb0="80000287" w:usb1="2ACF3C50" w:usb2="00000016" w:usb3="00000000" w:csb0="0004001F" w:csb1="00000000"/>
  </w:font>
  <w:font w:name="Arial Black">
    <w:panose1 w:val="020B0A04020102020204"/>
    <w:charset w:val="00"/>
    <w:family w:val="auto"/>
    <w:pitch w:val="variable"/>
    <w:sig w:usb0="A00002AF" w:usb1="400078FB" w:usb2="00000000" w:usb3="00000000" w:csb0="6000009F" w:csb1="DFD70000"/>
  </w:font>
  <w:font w:name="新宋体">
    <w:panose1 w:val="02010609030101010101"/>
    <w:charset w:val="86"/>
    <w:family w:val="auto"/>
    <w:pitch w:val="fixed"/>
    <w:sig w:usb0="00000203" w:usb1="288F0000" w:usb2="00000006" w:usb3="00000000" w:csb0="00040001" w:csb1="00000000"/>
  </w:font>
  <w:font w:name="Tahoma">
    <w:panose1 w:val="020B0604030504040204"/>
    <w:charset w:val="00"/>
    <w:family w:val="auto"/>
    <w:pitch w:val="variable"/>
    <w:sig w:usb0="E1002EFF" w:usb1="C000605B" w:usb2="00000029" w:usb3="00000000" w:csb0="200101FF" w:csb1="20280000"/>
  </w:font>
  <w:font w:name="@等线">
    <w:panose1 w:val="02010600030101010101"/>
    <w:charset w:val="86"/>
    <w:family w:val="auto"/>
    <w:pitch w:val="variable"/>
    <w:sig w:usb0="A00002BF" w:usb1="38CF7CFA" w:usb2="00000016" w:usb3="00000000" w:csb0="0004000F" w:csb1="00000000"/>
  </w:font>
  <w:font w:name="仿宋">
    <w:panose1 w:val="02010609060101010101"/>
    <w:charset w:val="86"/>
    <w:family w:val="auto"/>
    <w:pitch w:val="fixed"/>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web"/>
  <w:zoom w:percent="7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4271FF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keepNext w:val="0"/>
      <w:keepLines w:val="0"/>
      <w:widowControl w:val="0"/>
      <w:suppressLineNumbers w:val="0"/>
      <w:spacing w:before="0" w:beforeAutospacing="0" w:after="0" w:afterAutospacing="0"/>
      <w:ind w:left="0" w:right="0"/>
      <w:jc w:val="both"/>
    </w:pPr>
    <w:rPr>
      <w:rFonts w:hint="eastAsia" w:ascii="等线" w:hAnsi="等线" w:eastAsia="等线" w:cs="Times New Roman"/>
      <w:kern w:val="2"/>
      <w:sz w:val="21"/>
      <w:szCs w:val="22"/>
      <w:lang w:val="en-US" w:eastAsia="zh-CN" w:bidi="ar"/>
    </w:rPr>
  </w:style>
  <w:style w:type="paragraph" w:styleId="2">
    <w:name w:val="heading 1"/>
    <w:basedOn w:val="1"/>
    <w:next w:val="1"/>
    <w:qFormat/>
    <w:uiPriority w:val="0"/>
    <w:pPr>
      <w:widowControl/>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widowControl/>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4">
    <w:name w:val="heading 3"/>
    <w:basedOn w:val="1"/>
    <w:next w:val="1"/>
    <w:semiHidden/>
    <w:unhideWhenUsed/>
    <w:qFormat/>
    <w:uiPriority w:val="0"/>
    <w:pPr>
      <w:widowControl/>
      <w:spacing w:before="0" w:beforeAutospacing="1" w:after="0" w:afterAutospacing="1"/>
      <w:jc w:val="left"/>
    </w:pPr>
    <w:rPr>
      <w:rFonts w:hint="eastAsia" w:ascii="宋体" w:hAnsi="宋体" w:eastAsia="宋体" w:cs="宋体"/>
      <w:b/>
      <w:bCs/>
      <w:kern w:val="0"/>
      <w:sz w:val="27"/>
      <w:szCs w:val="27"/>
      <w:lang w:val="en-US" w:eastAsia="zh-CN" w:bidi="ar"/>
    </w:rPr>
  </w:style>
  <w:style w:type="paragraph" w:styleId="5">
    <w:name w:val="heading 4"/>
    <w:basedOn w:val="1"/>
    <w:next w:val="1"/>
    <w:semiHidden/>
    <w:unhideWhenUsed/>
    <w:qFormat/>
    <w:uiPriority w:val="0"/>
    <w:pPr>
      <w:widowControl/>
      <w:spacing w:before="0" w:beforeAutospacing="1" w:after="0" w:afterAutospacing="1"/>
      <w:jc w:val="left"/>
    </w:pPr>
    <w:rPr>
      <w:rFonts w:hint="eastAsia" w:ascii="宋体" w:hAnsi="宋体" w:eastAsia="宋体" w:cs="宋体"/>
      <w:b/>
      <w:bCs/>
      <w:kern w:val="0"/>
      <w:sz w:val="24"/>
      <w:szCs w:val="24"/>
      <w:lang w:val="en-US" w:eastAsia="zh-CN" w:bidi="ar"/>
    </w:rPr>
  </w:style>
  <w:style w:type="paragraph" w:styleId="6">
    <w:name w:val="heading 5"/>
    <w:basedOn w:val="1"/>
    <w:next w:val="1"/>
    <w:semiHidden/>
    <w:unhideWhenUsed/>
    <w:qFormat/>
    <w:uiPriority w:val="0"/>
    <w:pPr>
      <w:widowControl/>
      <w:spacing w:before="0" w:beforeAutospacing="1" w:after="0" w:afterAutospacing="1"/>
      <w:jc w:val="left"/>
    </w:pPr>
    <w:rPr>
      <w:rFonts w:hint="eastAsia" w:ascii="宋体" w:hAnsi="宋体" w:eastAsia="宋体" w:cs="宋体"/>
      <w:b/>
      <w:bCs/>
      <w:kern w:val="0"/>
      <w:sz w:val="20"/>
      <w:szCs w:val="20"/>
      <w:lang w:val="en-US" w:eastAsia="zh-CN" w:bidi="ar"/>
    </w:rPr>
  </w:style>
  <w:style w:type="paragraph" w:styleId="7">
    <w:name w:val="heading 6"/>
    <w:basedOn w:val="1"/>
    <w:next w:val="1"/>
    <w:semiHidden/>
    <w:unhideWhenUsed/>
    <w:qFormat/>
    <w:uiPriority w:val="0"/>
    <w:pPr>
      <w:widowControl/>
      <w:spacing w:before="0" w:beforeAutospacing="1" w:after="0" w:afterAutospacing="1"/>
      <w:jc w:val="left"/>
    </w:pPr>
    <w:rPr>
      <w:rFonts w:hint="eastAsia" w:ascii="宋体" w:hAnsi="宋体" w:eastAsia="宋体" w:cs="宋体"/>
      <w:b/>
      <w:bCs/>
      <w:kern w:val="0"/>
      <w:sz w:val="15"/>
      <w:szCs w:val="15"/>
      <w:lang w:val="en-US" w:eastAsia="zh-CN" w:bidi="ar"/>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8">
    <w:name w:val="HTML Preformatted"/>
    <w:basedOn w:val="1"/>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9">
    <w:name w:val="Normal (Web)"/>
    <w:basedOn w:val="1"/>
    <w:uiPriority w:val="0"/>
    <w:pPr>
      <w:widowControl/>
      <w:spacing w:before="0" w:beforeAutospacing="1" w:after="0" w:afterAutospacing="1"/>
      <w:ind w:left="0" w:right="0"/>
      <w:jc w:val="left"/>
    </w:pPr>
    <w:rPr>
      <w:rFonts w:hint="default" w:ascii="宋体" w:hAnsi="宋体" w:eastAsia="宋体" w:cs="宋体"/>
      <w:kern w:val="0"/>
      <w:sz w:val="24"/>
      <w:szCs w:val="24"/>
      <w:lang w:val="en-US" w:eastAsia="zh-CN" w:bidi="ar"/>
    </w:rPr>
  </w:style>
  <w:style w:type="character" w:styleId="12">
    <w:name w:val="Strong"/>
    <w:basedOn w:val="11"/>
    <w:qFormat/>
    <w:uiPriority w:val="0"/>
    <w:rPr>
      <w:b/>
    </w:rPr>
  </w:style>
  <w:style w:type="character" w:styleId="13">
    <w:name w:val="Hyperlink"/>
    <w:basedOn w:val="11"/>
    <w:uiPriority w:val="0"/>
    <w:rPr>
      <w:color w:val="0000FF"/>
      <w:u w:val="single"/>
    </w:rPr>
  </w:style>
  <w:style w:type="paragraph" w:customStyle="1" w:styleId="14">
    <w:name w:val="18"/>
    <w:basedOn w:val="1"/>
    <w:uiPriority w:val="0"/>
    <w:pPr>
      <w:keepNext w:val="0"/>
      <w:keepLines w:val="0"/>
      <w:widowControl w:val="0"/>
      <w:suppressLineNumbers w:val="0"/>
      <w:spacing w:before="0" w:beforeAutospacing="0" w:after="0" w:afterAutospacing="0"/>
      <w:ind w:left="0" w:right="0"/>
      <w:jc w:val="both"/>
    </w:pPr>
    <w:rPr>
      <w:rFonts w:hint="eastAsia" w:ascii="等线" w:hAnsi="等线" w:eastAsia="等线" w:cs="Times New Roman"/>
      <w:kern w:val="2"/>
      <w:sz w:val="21"/>
      <w:szCs w:val="22"/>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9</Pages>
  <TotalTime>0</TotalTime>
  <ScaleCrop>false</ScaleCrop>
  <LinksUpToDate>false</LinksUpToDate>
  <Application>WPS Office_12.1.0.16729_F1E327BC-269C-435d-A152-05C5408002CA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2024-06-11T07:06:17Z</dcterms:created>
  <dc:creator>Lenovo</dc:creator>
  <cp:lastModifiedBy>文林</cp:lastModifiedBy>
  <dcterms:modified xsi:type="dcterms:W3CDTF">2024-06-11T07:06:36Z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48523E5959724E5D8E0C15113C5FD1B8_13</vt:lpwstr>
  </property>
</Properties>
</file>