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atLeast"/>
        <w:jc w:val="center"/>
        <w:rPr>
          <w:rFonts w:ascii="宋体" w:hAnsi="宋体" w:eastAsia="宋体" w:cs="Times New Roman"/>
          <w:b/>
          <w:bCs/>
          <w:kern w:val="0"/>
          <w:sz w:val="44"/>
          <w:szCs w:val="44"/>
        </w:rPr>
      </w:pPr>
      <w:r>
        <w:rPr>
          <w:rFonts w:hint="eastAsia" w:ascii="宋体" w:hAnsi="宋体" w:eastAsia="宋体" w:cs="Times New Roman"/>
          <w:b/>
          <w:bCs/>
          <w:kern w:val="0"/>
          <w:sz w:val="44"/>
          <w:szCs w:val="44"/>
        </w:rPr>
        <w:t>湘乡市公安局</w:t>
      </w:r>
      <w:r>
        <w:rPr>
          <w:rFonts w:ascii="宋体" w:hAnsi="宋体" w:eastAsia="宋体" w:cs="Times New Roman"/>
          <w:b/>
          <w:bCs/>
          <w:kern w:val="0"/>
          <w:sz w:val="44"/>
          <w:szCs w:val="44"/>
        </w:rPr>
        <w:t>2022年政府信息公开工作</w:t>
      </w:r>
    </w:p>
    <w:p>
      <w:pPr>
        <w:widowControl/>
        <w:spacing w:line="560" w:lineRule="atLeast"/>
        <w:jc w:val="center"/>
        <w:rPr>
          <w:rFonts w:ascii="宋体" w:hAnsi="宋体" w:eastAsia="宋体" w:cs="Times New Roman"/>
          <w:b/>
          <w:bCs/>
          <w:kern w:val="0"/>
          <w:sz w:val="44"/>
          <w:szCs w:val="44"/>
        </w:rPr>
      </w:pPr>
      <w:r>
        <w:rPr>
          <w:rFonts w:ascii="宋体" w:hAnsi="宋体" w:eastAsia="宋体" w:cs="Times New Roman"/>
          <w:b/>
          <w:bCs/>
          <w:kern w:val="0"/>
          <w:sz w:val="44"/>
          <w:szCs w:val="44"/>
        </w:rPr>
        <w:t>年度报告</w:t>
      </w:r>
    </w:p>
    <w:p>
      <w:pPr>
        <w:widowControl/>
        <w:spacing w:line="560" w:lineRule="atLeast"/>
        <w:ind w:firstLine="420"/>
        <w:rPr>
          <w:rFonts w:ascii="Times New Roman" w:hAnsi="Times New Roman" w:eastAsia="宋体" w:cs="Times New Roman"/>
          <w:kern w:val="0"/>
          <w:sz w:val="24"/>
          <w:szCs w:val="24"/>
        </w:rPr>
      </w:pPr>
      <w:bookmarkStart w:id="0" w:name="OLE_LINK1"/>
      <w:r>
        <w:rPr>
          <w:rFonts w:hint="eastAsia" w:ascii="黑体" w:hAnsi="黑体" w:eastAsia="黑体" w:cs="Times New Roman"/>
          <w:kern w:val="0"/>
          <w:sz w:val="32"/>
          <w:szCs w:val="32"/>
        </w:rPr>
        <w:t>一、总体情况</w:t>
      </w:r>
    </w:p>
    <w:p>
      <w:pPr>
        <w:widowControl/>
        <w:shd w:val="clear" w:color="auto" w:fill="FFFFFF"/>
        <w:spacing w:line="600" w:lineRule="atLeast"/>
        <w:ind w:firstLine="482"/>
        <w:rPr>
          <w:rFonts w:ascii="Times New Roman" w:hAnsi="Times New Roman" w:eastAsia="宋体" w:cs="Times New Roman"/>
          <w:kern w:val="0"/>
          <w:szCs w:val="21"/>
        </w:rPr>
      </w:pPr>
      <w:r>
        <w:rPr>
          <w:rFonts w:hint="eastAsia" w:ascii="楷体" w:hAnsi="楷体" w:eastAsia="楷体" w:cs="Times New Roman"/>
          <w:b/>
          <w:bCs/>
          <w:color w:val="333333"/>
          <w:kern w:val="0"/>
          <w:sz w:val="32"/>
          <w:szCs w:val="32"/>
          <w:shd w:val="clear" w:color="auto" w:fill="FFFFFF"/>
        </w:rPr>
        <w:t>（一）强化组织领导,压实工作责任</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进一步强化政府信息的主动公开工作，规范主动公开的范围，我局成立了由湘乡市人民政府副市长、公安局党委书记、局长王光武任组长的政务公开工作领导小组,领导小组下设办公室,负责政府信息公开内容维护、组织协调等日常工作。安排专人负责政府信息</w:t>
      </w:r>
      <w:r>
        <w:rPr>
          <w:rFonts w:hint="eastAsia" w:ascii="仿宋" w:hAnsi="仿宋" w:eastAsia="仿宋" w:cs="Times New Roman"/>
          <w:color w:val="333333"/>
          <w:kern w:val="0"/>
          <w:sz w:val="32"/>
          <w:szCs w:val="32"/>
          <w:shd w:val="clear" w:color="auto" w:fill="FFFFFF"/>
          <w:lang w:val="en-US" w:eastAsia="zh-CN"/>
        </w:rPr>
        <w:t>公开</w:t>
      </w:r>
      <w:bookmarkStart w:id="1" w:name="_GoBack"/>
      <w:bookmarkEnd w:id="1"/>
      <w:r>
        <w:rPr>
          <w:rFonts w:hint="eastAsia" w:ascii="仿宋" w:hAnsi="仿宋" w:eastAsia="仿宋" w:cs="Times New Roman"/>
          <w:color w:val="333333"/>
          <w:kern w:val="0"/>
          <w:sz w:val="32"/>
          <w:szCs w:val="32"/>
          <w:shd w:val="clear" w:color="auto" w:fill="FFFFFF"/>
        </w:rPr>
        <w:t>申请工作，进一步拓展申请公开受理渠道，本着依法公开和应公开尽公开的原则，严格按照法定时限履行答复程序，制定统一规范的答复格式，依法依规做好答复工作。</w:t>
      </w:r>
    </w:p>
    <w:p>
      <w:pPr>
        <w:widowControl/>
        <w:shd w:val="clear" w:color="auto" w:fill="FFFFFF"/>
        <w:spacing w:line="600" w:lineRule="atLeast"/>
        <w:ind w:firstLine="482"/>
        <w:rPr>
          <w:rFonts w:ascii="Times New Roman" w:hAnsi="Times New Roman" w:eastAsia="宋体" w:cs="Times New Roman"/>
          <w:kern w:val="0"/>
          <w:szCs w:val="21"/>
        </w:rPr>
      </w:pPr>
      <w:r>
        <w:rPr>
          <w:rFonts w:hint="eastAsia" w:ascii="楷体" w:hAnsi="楷体" w:eastAsia="楷体" w:cs="Times New Roman"/>
          <w:b/>
          <w:bCs/>
          <w:color w:val="333333"/>
          <w:kern w:val="0"/>
          <w:sz w:val="32"/>
          <w:szCs w:val="32"/>
          <w:shd w:val="clear" w:color="auto" w:fill="FFFFFF"/>
        </w:rPr>
        <w:t>（二）完善栏目建设,丰富服务功能</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我局把推进政务信息公开工作作为全局一项重点工作来抓。对在日常工作中发现问题的单位进行逐个整改,加强网站平台建设,及时调整优化网站栏目。大力建设亲民惠民为民的“湘乡公安”微信、微博政务新媒体，公安新媒体逐步成为联系群众、服务群众、凝聚群众的重要渠道，引导网上舆论、构建清朗网络空间的重要阵地。</w:t>
      </w:r>
    </w:p>
    <w:p>
      <w:pPr>
        <w:widowControl/>
        <w:shd w:val="clear" w:color="auto" w:fill="FFFFFF"/>
        <w:spacing w:line="600" w:lineRule="atLeast"/>
        <w:ind w:firstLine="482"/>
        <w:rPr>
          <w:rFonts w:ascii="楷体" w:hAnsi="楷体" w:eastAsia="楷体" w:cs="Times New Roman"/>
          <w:b/>
          <w:bCs/>
          <w:color w:val="333333"/>
          <w:kern w:val="0"/>
          <w:sz w:val="32"/>
          <w:szCs w:val="32"/>
          <w:shd w:val="clear" w:color="auto" w:fill="FFFFFF"/>
        </w:rPr>
      </w:pPr>
      <w:r>
        <w:rPr>
          <w:rFonts w:hint="eastAsia" w:ascii="楷体" w:hAnsi="楷体" w:eastAsia="楷体" w:cs="Times New Roman"/>
          <w:b/>
          <w:bCs/>
          <w:color w:val="333333"/>
          <w:kern w:val="0"/>
          <w:sz w:val="32"/>
          <w:szCs w:val="32"/>
          <w:shd w:val="clear" w:color="auto" w:fill="FFFFFF"/>
        </w:rPr>
        <w:t>（三）202</w:t>
      </w:r>
      <w:r>
        <w:rPr>
          <w:rFonts w:ascii="楷体" w:hAnsi="楷体" w:eastAsia="楷体" w:cs="Times New Roman"/>
          <w:b/>
          <w:bCs/>
          <w:color w:val="333333"/>
          <w:kern w:val="0"/>
          <w:sz w:val="32"/>
          <w:szCs w:val="32"/>
          <w:shd w:val="clear" w:color="auto" w:fill="FFFFFF"/>
        </w:rPr>
        <w:t>2</w:t>
      </w:r>
      <w:r>
        <w:rPr>
          <w:rFonts w:hint="eastAsia" w:ascii="楷体" w:hAnsi="楷体" w:eastAsia="楷体" w:cs="Times New Roman"/>
          <w:b/>
          <w:bCs/>
          <w:color w:val="333333"/>
          <w:kern w:val="0"/>
          <w:sz w:val="32"/>
          <w:szCs w:val="32"/>
          <w:shd w:val="clear" w:color="auto" w:fill="FFFFFF"/>
        </w:rPr>
        <w:t>年度网上工作开展情况</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202</w:t>
      </w:r>
      <w:r>
        <w:rPr>
          <w:rFonts w:ascii="仿宋" w:hAnsi="仿宋" w:eastAsia="仿宋" w:cs="Times New Roman"/>
          <w:color w:val="333333"/>
          <w:kern w:val="0"/>
          <w:sz w:val="32"/>
          <w:szCs w:val="32"/>
          <w:shd w:val="clear" w:color="auto" w:fill="FFFFFF"/>
        </w:rPr>
        <w:t>2</w:t>
      </w:r>
      <w:r>
        <w:rPr>
          <w:rFonts w:hint="eastAsia" w:ascii="仿宋" w:hAnsi="仿宋" w:eastAsia="仿宋" w:cs="Times New Roman"/>
          <w:color w:val="333333"/>
          <w:kern w:val="0"/>
          <w:sz w:val="32"/>
          <w:szCs w:val="32"/>
          <w:shd w:val="clear" w:color="auto" w:fill="FFFFFF"/>
        </w:rPr>
        <w:t>年,网上公安局访问量</w:t>
      </w:r>
      <w:r>
        <w:rPr>
          <w:rFonts w:hint="eastAsia" w:ascii="仿宋" w:hAnsi="仿宋" w:eastAsia="仿宋" w:cs="Times New Roman"/>
          <w:kern w:val="0"/>
          <w:sz w:val="32"/>
          <w:szCs w:val="32"/>
          <w:shd w:val="clear" w:color="auto" w:fill="FFFFFF"/>
        </w:rPr>
        <w:t>2</w:t>
      </w:r>
      <w:r>
        <w:rPr>
          <w:rFonts w:hint="eastAsia" w:ascii="仿宋" w:hAnsi="仿宋" w:eastAsia="仿宋" w:cs="Times New Roman"/>
          <w:color w:val="333333"/>
          <w:kern w:val="0"/>
          <w:sz w:val="32"/>
          <w:szCs w:val="32"/>
          <w:shd w:val="clear" w:color="auto" w:fill="FFFFFF"/>
        </w:rPr>
        <w:t>万余次,回应公众关注热点或重大舆情</w:t>
      </w:r>
      <w:r>
        <w:rPr>
          <w:rFonts w:ascii="仿宋" w:hAnsi="仿宋" w:eastAsia="仿宋" w:cs="Times New Roman"/>
          <w:kern w:val="0"/>
          <w:sz w:val="32"/>
          <w:szCs w:val="32"/>
          <w:shd w:val="clear" w:color="auto" w:fill="FFFFFF"/>
        </w:rPr>
        <w:t>20</w:t>
      </w:r>
      <w:r>
        <w:rPr>
          <w:rFonts w:hint="eastAsia" w:ascii="仿宋" w:hAnsi="仿宋" w:eastAsia="仿宋" w:cs="Times New Roman"/>
          <w:color w:val="333333"/>
          <w:kern w:val="0"/>
          <w:sz w:val="32"/>
          <w:szCs w:val="32"/>
          <w:shd w:val="clear" w:color="auto" w:fill="FFFFFF"/>
        </w:rPr>
        <w:t>余次,湘乡公安微博、微信粉丝4.</w:t>
      </w:r>
      <w:r>
        <w:rPr>
          <w:rFonts w:ascii="仿宋" w:hAnsi="仿宋" w:eastAsia="仿宋" w:cs="Times New Roman"/>
          <w:color w:val="333333"/>
          <w:kern w:val="0"/>
          <w:sz w:val="32"/>
          <w:szCs w:val="32"/>
          <w:shd w:val="clear" w:color="auto" w:fill="FFFFFF"/>
        </w:rPr>
        <w:t>7</w:t>
      </w:r>
      <w:r>
        <w:rPr>
          <w:rFonts w:hint="eastAsia" w:ascii="仿宋" w:hAnsi="仿宋" w:eastAsia="仿宋" w:cs="Times New Roman"/>
          <w:color w:val="333333"/>
          <w:kern w:val="0"/>
          <w:sz w:val="32"/>
          <w:szCs w:val="32"/>
          <w:shd w:val="clear" w:color="auto" w:fill="FFFFFF"/>
        </w:rPr>
        <w:t>万余人，网上公安局和双微平台累计接受群众咨询求助</w:t>
      </w:r>
      <w:r>
        <w:rPr>
          <w:rFonts w:ascii="仿宋" w:hAnsi="仿宋" w:eastAsia="仿宋" w:cs="Times New Roman"/>
          <w:color w:val="333333"/>
          <w:kern w:val="0"/>
          <w:sz w:val="32"/>
          <w:szCs w:val="32"/>
          <w:shd w:val="clear" w:color="auto" w:fill="FFFFFF"/>
        </w:rPr>
        <w:t>300</w:t>
      </w:r>
      <w:r>
        <w:rPr>
          <w:rFonts w:hint="eastAsia" w:ascii="仿宋" w:hAnsi="仿宋" w:eastAsia="仿宋" w:cs="Times New Roman"/>
          <w:color w:val="333333"/>
          <w:kern w:val="0"/>
          <w:sz w:val="32"/>
          <w:szCs w:val="32"/>
          <w:shd w:val="clear" w:color="auto" w:fill="FFFFFF"/>
        </w:rPr>
        <w:t>余次；发布各类微博</w:t>
      </w:r>
      <w:r>
        <w:rPr>
          <w:rFonts w:ascii="仿宋" w:hAnsi="仿宋" w:eastAsia="仿宋" w:cs="Times New Roman"/>
          <w:color w:val="333333"/>
          <w:kern w:val="0"/>
          <w:sz w:val="32"/>
          <w:szCs w:val="32"/>
          <w:shd w:val="clear" w:color="auto" w:fill="FFFFFF"/>
        </w:rPr>
        <w:t>495</w:t>
      </w:r>
      <w:r>
        <w:rPr>
          <w:rFonts w:hint="eastAsia" w:ascii="仿宋" w:hAnsi="仿宋" w:eastAsia="仿宋" w:cs="Times New Roman"/>
          <w:color w:val="333333"/>
          <w:kern w:val="0"/>
          <w:sz w:val="32"/>
          <w:szCs w:val="32"/>
          <w:shd w:val="clear" w:color="auto" w:fill="FFFFFF"/>
        </w:rPr>
        <w:t>条，微信4</w:t>
      </w:r>
      <w:r>
        <w:rPr>
          <w:rFonts w:ascii="仿宋" w:hAnsi="仿宋" w:eastAsia="仿宋" w:cs="Times New Roman"/>
          <w:color w:val="333333"/>
          <w:kern w:val="0"/>
          <w:sz w:val="32"/>
          <w:szCs w:val="32"/>
          <w:shd w:val="clear" w:color="auto" w:fill="FFFFFF"/>
        </w:rPr>
        <w:t>39</w:t>
      </w:r>
      <w:r>
        <w:rPr>
          <w:rFonts w:hint="eastAsia" w:ascii="仿宋" w:hAnsi="仿宋" w:eastAsia="仿宋" w:cs="Times New Roman"/>
          <w:color w:val="333333"/>
          <w:kern w:val="0"/>
          <w:sz w:val="32"/>
          <w:szCs w:val="32"/>
          <w:shd w:val="clear" w:color="auto" w:fill="FFFFFF"/>
        </w:rPr>
        <w:t>条；接受网友咨询、报警、投诉、建议等</w:t>
      </w:r>
      <w:r>
        <w:rPr>
          <w:rFonts w:ascii="仿宋" w:hAnsi="仿宋" w:eastAsia="仿宋" w:cs="Times New Roman"/>
          <w:color w:val="333333"/>
          <w:kern w:val="0"/>
          <w:sz w:val="32"/>
          <w:szCs w:val="32"/>
          <w:shd w:val="clear" w:color="auto" w:fill="FFFFFF"/>
        </w:rPr>
        <w:t>190</w:t>
      </w:r>
      <w:r>
        <w:rPr>
          <w:rFonts w:hint="eastAsia" w:ascii="仿宋" w:hAnsi="仿宋" w:eastAsia="仿宋" w:cs="Times New Roman"/>
          <w:color w:val="333333"/>
          <w:kern w:val="0"/>
          <w:sz w:val="32"/>
          <w:szCs w:val="32"/>
          <w:shd w:val="clear" w:color="auto" w:fill="FFFFFF"/>
        </w:rPr>
        <w:t>次。</w:t>
      </w:r>
    </w:p>
    <w:p>
      <w:pPr>
        <w:widowControl/>
        <w:spacing w:line="560" w:lineRule="atLeast"/>
        <w:ind w:firstLine="420"/>
        <w:rPr>
          <w:rFonts w:ascii="黑体" w:hAnsi="黑体" w:eastAsia="黑体" w:cs="Times New Roman"/>
          <w:kern w:val="0"/>
          <w:sz w:val="32"/>
          <w:szCs w:val="32"/>
        </w:rPr>
      </w:pPr>
      <w:r>
        <w:rPr>
          <w:rFonts w:hint="eastAsia" w:ascii="黑体" w:hAnsi="黑体" w:eastAsia="黑体" w:cs="Times New Roman"/>
          <w:kern w:val="0"/>
          <w:sz w:val="32"/>
          <w:szCs w:val="32"/>
        </w:rPr>
        <w:t>二、主动公开政府信息情况</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为保障公民、法人或其他组织依法获取信息，我单位将本机关在履行职责过程中制作或获取的信息主动向公众公布。依照《国家保密法》及其他相关法律、法规和国家有关规定，涉及国家秘密、商业秘密和个人隐私的政府信息不公开。</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1、本机关主动公开的信息共分三个大类，包含警务公开、公共服务、公众参与等内容。</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2、本机关的政府信息主要通过政务网站向公众公开，同时以新闻发布会、政府公报以及报刊、广播、电视、公安微信微博或设立公共查阅室、资料索取点、信息公告栏、电子信息屏等形式公开政府信息。</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3、本机关公开以上信息的时限为自信息产生后的20日内公开(法律、法规对政府信息公开的期限另有规定的，从其规定)。</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4、本机关的办公地址：湘乡市经开区红仑大道6号;信息公开工作机构：湘乡市公安局;办公时间：8：00-12：00、14：30-17：30;联系电话：0731-56768321;邮政编码：411400;</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ascii="Calibri" w:hAnsi="Calibri" w:eastAsia="仿宋" w:cs="Calibri"/>
          <w:color w:val="333333"/>
          <w:kern w:val="0"/>
          <w:sz w:val="32"/>
          <w:szCs w:val="32"/>
          <w:shd w:val="clear" w:color="auto" w:fill="FFFFFF"/>
        </w:rPr>
        <w:t> </w:t>
      </w:r>
    </w:p>
    <w:tbl>
      <w:tblPr>
        <w:tblStyle w:val="3"/>
        <w:tblW w:w="9060" w:type="dxa"/>
        <w:jc w:val="center"/>
        <w:tblLayout w:type="autofit"/>
        <w:tblCellMar>
          <w:top w:w="0" w:type="dxa"/>
          <w:left w:w="0" w:type="dxa"/>
          <w:bottom w:w="0" w:type="dxa"/>
          <w:right w:w="0" w:type="dxa"/>
        </w:tblCellMar>
      </w:tblPr>
      <w:tblGrid>
        <w:gridCol w:w="3113"/>
        <w:gridCol w:w="1881"/>
        <w:gridCol w:w="1979"/>
        <w:gridCol w:w="2091"/>
      </w:tblGrid>
      <w:tr>
        <w:tblPrEx>
          <w:tblCellMar>
            <w:top w:w="0" w:type="dxa"/>
            <w:left w:w="0" w:type="dxa"/>
            <w:bottom w:w="0" w:type="dxa"/>
            <w:right w:w="0" w:type="dxa"/>
          </w:tblCellMar>
        </w:tblPrEx>
        <w:trPr>
          <w:trHeight w:val="606" w:hRule="atLeast"/>
          <w:jc w:val="center"/>
        </w:trPr>
        <w:tc>
          <w:tcPr>
            <w:tcW w:w="9064" w:type="dxa"/>
            <w:gridSpan w:val="4"/>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第二十条第（一）项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信息内容</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本年制发件数</w:t>
            </w:r>
          </w:p>
        </w:tc>
        <w:tc>
          <w:tcPr>
            <w:tcW w:w="197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本年废止件数</w:t>
            </w:r>
          </w:p>
        </w:tc>
        <w:tc>
          <w:tcPr>
            <w:tcW w:w="209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现行有效件数</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规章</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0</w:t>
            </w:r>
          </w:p>
        </w:tc>
        <w:tc>
          <w:tcPr>
            <w:tcW w:w="197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0</w:t>
            </w:r>
          </w:p>
        </w:tc>
        <w:tc>
          <w:tcPr>
            <w:tcW w:w="209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0</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行政规范性文件</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1979"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0</w:t>
            </w:r>
          </w:p>
        </w:tc>
        <w:tc>
          <w:tcPr>
            <w:tcW w:w="2091" w:type="dxa"/>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1</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第二十条第（五）项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信息内容</w:t>
            </w:r>
          </w:p>
        </w:tc>
        <w:tc>
          <w:tcPr>
            <w:tcW w:w="5951"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行政许可</w:t>
            </w:r>
          </w:p>
        </w:tc>
        <w:tc>
          <w:tcPr>
            <w:tcW w:w="5951"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55326</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第二十条第（六）项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信息内容</w:t>
            </w:r>
          </w:p>
        </w:tc>
        <w:tc>
          <w:tcPr>
            <w:tcW w:w="5951"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本年处理决定数量</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行政处罚</w:t>
            </w:r>
          </w:p>
        </w:tc>
        <w:tc>
          <w:tcPr>
            <w:tcW w:w="5951"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61033</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行政强制</w:t>
            </w:r>
          </w:p>
        </w:tc>
        <w:tc>
          <w:tcPr>
            <w:tcW w:w="5951" w:type="dxa"/>
            <w:gridSpan w:val="3"/>
            <w:tcBorders>
              <w:top w:val="nil"/>
              <w:left w:val="nil"/>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11103</w:t>
            </w:r>
          </w:p>
        </w:tc>
      </w:tr>
      <w:tr>
        <w:tblPrEx>
          <w:tblCellMar>
            <w:top w:w="0" w:type="dxa"/>
            <w:left w:w="0" w:type="dxa"/>
            <w:bottom w:w="0" w:type="dxa"/>
            <w:right w:w="0" w:type="dxa"/>
          </w:tblCellMar>
        </w:tblPrEx>
        <w:trPr>
          <w:trHeight w:val="606" w:hRule="atLeast"/>
          <w:jc w:val="center"/>
        </w:trPr>
        <w:tc>
          <w:tcPr>
            <w:tcW w:w="9064" w:type="dxa"/>
            <w:gridSpan w:val="4"/>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第二十条第（八）项</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信息内容</w:t>
            </w:r>
          </w:p>
        </w:tc>
        <w:tc>
          <w:tcPr>
            <w:tcW w:w="5951" w:type="dxa"/>
            <w:gridSpan w:val="3"/>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本年收费金额（单位：万元）</w:t>
            </w:r>
          </w:p>
        </w:tc>
      </w:tr>
      <w:tr>
        <w:tblPrEx>
          <w:tblCellMar>
            <w:top w:w="0" w:type="dxa"/>
            <w:left w:w="0" w:type="dxa"/>
            <w:bottom w:w="0" w:type="dxa"/>
            <w:right w:w="0" w:type="dxa"/>
          </w:tblCellMar>
        </w:tblPrEx>
        <w:trPr>
          <w:trHeight w:val="606"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行政事业性收费</w:t>
            </w:r>
          </w:p>
        </w:tc>
        <w:tc>
          <w:tcPr>
            <w:tcW w:w="5951" w:type="dxa"/>
            <w:gridSpan w:val="3"/>
            <w:tcBorders>
              <w:top w:val="nil"/>
              <w:left w:val="nil"/>
              <w:bottom w:val="single" w:color="auto" w:sz="8" w:space="0"/>
              <w:right w:val="single" w:color="000000" w:sz="8" w:space="0"/>
            </w:tcBorders>
            <w:noWrap/>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332.25</w:t>
            </w:r>
          </w:p>
        </w:tc>
      </w:tr>
    </w:tbl>
    <w:p>
      <w:pPr>
        <w:widowControl/>
        <w:spacing w:line="560" w:lineRule="atLeast"/>
        <w:ind w:firstLine="420"/>
        <w:rPr>
          <w:rFonts w:ascii="黑体" w:hAnsi="黑体" w:eastAsia="黑体" w:cs="Times New Roman"/>
          <w:kern w:val="0"/>
          <w:sz w:val="32"/>
          <w:szCs w:val="32"/>
        </w:rPr>
      </w:pPr>
      <w:r>
        <w:rPr>
          <w:rFonts w:hint="eastAsia" w:ascii="黑体" w:hAnsi="黑体" w:eastAsia="黑体" w:cs="Times New Roman"/>
          <w:kern w:val="0"/>
          <w:sz w:val="32"/>
          <w:szCs w:val="32"/>
        </w:rPr>
        <w:t>三、收到和处理政府信息公开申请情况</w:t>
      </w:r>
    </w:p>
    <w:tbl>
      <w:tblPr>
        <w:tblStyle w:val="3"/>
        <w:tblW w:w="9630" w:type="dxa"/>
        <w:jc w:val="center"/>
        <w:tblLayout w:type="autofit"/>
        <w:tblCellMar>
          <w:top w:w="0" w:type="dxa"/>
          <w:left w:w="0" w:type="dxa"/>
          <w:bottom w:w="0" w:type="dxa"/>
          <w:right w:w="0" w:type="dxa"/>
        </w:tblCellMar>
      </w:tblPr>
      <w:tblGrid>
        <w:gridCol w:w="658"/>
        <w:gridCol w:w="854"/>
        <w:gridCol w:w="1846"/>
        <w:gridCol w:w="600"/>
        <w:gridCol w:w="655"/>
        <w:gridCol w:w="614"/>
        <w:gridCol w:w="641"/>
        <w:gridCol w:w="586"/>
        <w:gridCol w:w="1415"/>
        <w:gridCol w:w="1761"/>
      </w:tblGrid>
      <w:tr>
        <w:tblPrEx>
          <w:tblCellMar>
            <w:top w:w="0" w:type="dxa"/>
            <w:left w:w="0" w:type="dxa"/>
            <w:bottom w:w="0" w:type="dxa"/>
            <w:right w:w="0" w:type="dxa"/>
          </w:tblCellMar>
        </w:tblPrEx>
        <w:trPr>
          <w:trHeight w:val="330" w:hRule="atLeast"/>
          <w:jc w:val="center"/>
        </w:trPr>
        <w:tc>
          <w:tcPr>
            <w:tcW w:w="3465"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楷体" w:hAnsi="楷体" w:eastAsia="楷体" w:cs="Times New Roman"/>
                <w:kern w:val="0"/>
                <w:sz w:val="24"/>
                <w:szCs w:val="24"/>
              </w:rPr>
              <w:t>（本列数据的勾稽关系为：第一项加第二项之和，等于第三项加第四项之和）</w:t>
            </w:r>
          </w:p>
        </w:tc>
        <w:tc>
          <w:tcPr>
            <w:tcW w:w="5715"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申请人情况</w:t>
            </w:r>
          </w:p>
        </w:tc>
      </w:tr>
      <w:tr>
        <w:tblPrEx>
          <w:tblCellMar>
            <w:top w:w="0" w:type="dxa"/>
            <w:left w:w="0" w:type="dxa"/>
            <w:bottom w:w="0" w:type="dxa"/>
            <w:right w:w="0" w:type="dxa"/>
          </w:tblCellMar>
        </w:tblPrEx>
        <w:trPr>
          <w:trHeight w:val="375" w:hRule="atLeast"/>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57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自然人</w:t>
            </w:r>
          </w:p>
        </w:tc>
        <w:tc>
          <w:tcPr>
            <w:tcW w:w="4065" w:type="dxa"/>
            <w:gridSpan w:val="5"/>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法人或其他组织</w:t>
            </w:r>
          </w:p>
        </w:tc>
        <w:tc>
          <w:tcPr>
            <w:tcW w:w="66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总计</w:t>
            </w:r>
          </w:p>
        </w:tc>
      </w:tr>
      <w:tr>
        <w:tblPrEx>
          <w:tblCellMar>
            <w:top w:w="0" w:type="dxa"/>
            <w:left w:w="0" w:type="dxa"/>
            <w:bottom w:w="0" w:type="dxa"/>
            <w:right w:w="0" w:type="dxa"/>
          </w:tblCellMar>
        </w:tblPrEx>
        <w:trPr>
          <w:trHeight w:val="795" w:hRule="atLeast"/>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商业企业</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科研机构</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社会公益组织</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法律服务机构</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6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其他</w:t>
            </w: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r>
      <w:tr>
        <w:tblPrEx>
          <w:tblCellMar>
            <w:top w:w="0" w:type="dxa"/>
            <w:left w:w="0" w:type="dxa"/>
            <w:bottom w:w="0" w:type="dxa"/>
            <w:right w:w="0" w:type="dxa"/>
          </w:tblCellMar>
        </w:tblPrEx>
        <w:trPr>
          <w:trHeight w:val="330" w:hRule="atLeast"/>
          <w:jc w:val="center"/>
        </w:trPr>
        <w:tc>
          <w:tcPr>
            <w:tcW w:w="3465"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一、本年新收政府信息公开申请数量</w:t>
            </w:r>
          </w:p>
        </w:tc>
        <w:tc>
          <w:tcPr>
            <w:tcW w:w="5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2</w:t>
            </w:r>
          </w:p>
        </w:tc>
      </w:tr>
      <w:tr>
        <w:tblPrEx>
          <w:tblCellMar>
            <w:top w:w="0" w:type="dxa"/>
            <w:left w:w="0" w:type="dxa"/>
            <w:bottom w:w="0" w:type="dxa"/>
            <w:right w:w="0" w:type="dxa"/>
          </w:tblCellMar>
        </w:tblPrEx>
        <w:trPr>
          <w:trHeight w:val="330" w:hRule="atLeast"/>
          <w:jc w:val="center"/>
        </w:trPr>
        <w:tc>
          <w:tcPr>
            <w:tcW w:w="3465"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二、上年结转政府信息公开申请数量</w:t>
            </w:r>
          </w:p>
        </w:tc>
        <w:tc>
          <w:tcPr>
            <w:tcW w:w="5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360" w:hRule="atLeast"/>
          <w:jc w:val="center"/>
        </w:trPr>
        <w:tc>
          <w:tcPr>
            <w:tcW w:w="66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三、本年度办理结果</w:t>
            </w:r>
          </w:p>
        </w:tc>
        <w:tc>
          <w:tcPr>
            <w:tcW w:w="259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（一）予以公开</w:t>
            </w:r>
          </w:p>
        </w:tc>
        <w:tc>
          <w:tcPr>
            <w:tcW w:w="5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1</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1</w:t>
            </w:r>
          </w:p>
        </w:tc>
      </w:tr>
      <w:tr>
        <w:tblPrEx>
          <w:tblCellMar>
            <w:top w:w="0" w:type="dxa"/>
            <w:left w:w="0" w:type="dxa"/>
            <w:bottom w:w="0" w:type="dxa"/>
            <w:right w:w="0" w:type="dxa"/>
          </w:tblCellMar>
        </w:tblPrEx>
        <w:trPr>
          <w:trHeight w:val="73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2595"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4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（二）部分公开</w:t>
            </w:r>
            <w:r>
              <w:rPr>
                <w:rFonts w:hint="eastAsia" w:ascii="楷体" w:hAnsi="楷体" w:eastAsia="楷体" w:cs="Times New Roman"/>
                <w:kern w:val="0"/>
                <w:szCs w:val="21"/>
              </w:rPr>
              <w:t>（区分处理的，只计这一情形，不计其他情形）</w:t>
            </w:r>
          </w:p>
        </w:tc>
        <w:tc>
          <w:tcPr>
            <w:tcW w:w="5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34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84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（三）不予公开</w:t>
            </w: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1.属于国家秘密</w:t>
            </w:r>
          </w:p>
        </w:tc>
        <w:tc>
          <w:tcPr>
            <w:tcW w:w="58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2.其他法律行政法规禁止公开</w:t>
            </w:r>
          </w:p>
        </w:tc>
        <w:tc>
          <w:tcPr>
            <w:tcW w:w="58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3.危及“三安全一稳定”</w:t>
            </w:r>
          </w:p>
        </w:tc>
        <w:tc>
          <w:tcPr>
            <w:tcW w:w="58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4.保护第三方合法权益</w:t>
            </w:r>
          </w:p>
        </w:tc>
        <w:tc>
          <w:tcPr>
            <w:tcW w:w="58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5.属于三类内部事务信息</w:t>
            </w:r>
          </w:p>
        </w:tc>
        <w:tc>
          <w:tcPr>
            <w:tcW w:w="58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6.属于四类过程性信息</w:t>
            </w:r>
          </w:p>
        </w:tc>
        <w:tc>
          <w:tcPr>
            <w:tcW w:w="58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7.属于行政执法案卷</w:t>
            </w:r>
          </w:p>
        </w:tc>
        <w:tc>
          <w:tcPr>
            <w:tcW w:w="58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1</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1</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8.属于行政查询事项</w:t>
            </w:r>
          </w:p>
        </w:tc>
        <w:tc>
          <w:tcPr>
            <w:tcW w:w="58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（四）无法提供</w:t>
            </w: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1.本机关不掌握相关政府信息</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2.没有现成信息需要另行制作</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3.补正后申请内容仍不明确</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（五）不予处理</w:t>
            </w: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1.信访举报投诉类申请</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3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2.重复申请</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3.要求提供公开出版物</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6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4.无正当理由大量反复申请</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73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4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5.要求行政机关确认或重新出具已获取信息</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121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85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rPr>
                <w:rFonts w:ascii="Times New Roman" w:hAnsi="Times New Roman" w:eastAsia="宋体" w:cs="Times New Roman"/>
                <w:kern w:val="0"/>
                <w:szCs w:val="21"/>
              </w:rPr>
            </w:pPr>
            <w:r>
              <w:rPr>
                <w:rFonts w:hint="eastAsia" w:ascii="宋体" w:hAnsi="宋体" w:eastAsia="宋体" w:cs="Times New Roman"/>
                <w:kern w:val="0"/>
                <w:szCs w:val="21"/>
              </w:rPr>
              <w:t>（六）其他处理</w:t>
            </w: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4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1.申请人无正当理由逾期不补正、行政机关不再处理其政府信息公开申请</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145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24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2.申请人逾期未按收费通知要求缴纳费用、行政机关不再处理其政府信息公开申请</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4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330"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15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3.其他</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r>
        <w:tblPrEx>
          <w:tblCellMar>
            <w:top w:w="0" w:type="dxa"/>
            <w:left w:w="0" w:type="dxa"/>
            <w:bottom w:w="0" w:type="dxa"/>
            <w:right w:w="0" w:type="dxa"/>
          </w:tblCellMar>
        </w:tblPrEx>
        <w:trPr>
          <w:trHeight w:val="375"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2550"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（七）总计</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2</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ascii="宋体" w:hAnsi="宋体" w:eastAsia="宋体" w:cs="Times New Roman"/>
                <w:kern w:val="0"/>
                <w:szCs w:val="21"/>
              </w:rPr>
              <w:t>2</w:t>
            </w:r>
          </w:p>
        </w:tc>
      </w:tr>
      <w:tr>
        <w:tblPrEx>
          <w:tblCellMar>
            <w:top w:w="0" w:type="dxa"/>
            <w:left w:w="0" w:type="dxa"/>
            <w:bottom w:w="0" w:type="dxa"/>
            <w:right w:w="0" w:type="dxa"/>
          </w:tblCellMar>
        </w:tblPrEx>
        <w:trPr>
          <w:trHeight w:val="435" w:hRule="atLeast"/>
          <w:jc w:val="center"/>
        </w:trPr>
        <w:tc>
          <w:tcPr>
            <w:tcW w:w="3420"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rPr>
                <w:rFonts w:ascii="Times New Roman" w:hAnsi="Times New Roman" w:eastAsia="宋体" w:cs="Times New Roman"/>
                <w:kern w:val="0"/>
                <w:szCs w:val="21"/>
              </w:rPr>
            </w:pPr>
            <w:r>
              <w:rPr>
                <w:rFonts w:hint="eastAsia" w:ascii="宋体" w:hAnsi="宋体" w:eastAsia="宋体" w:cs="Times New Roman"/>
                <w:kern w:val="0"/>
                <w:szCs w:val="21"/>
              </w:rPr>
              <w:t>四、结转下年度继续办理</w:t>
            </w:r>
          </w:p>
        </w:tc>
        <w:tc>
          <w:tcPr>
            <w:tcW w:w="61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7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3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0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66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r>
    </w:tbl>
    <w:p>
      <w:pPr>
        <w:widowControl/>
        <w:spacing w:line="560" w:lineRule="atLeast"/>
        <w:ind w:firstLine="420"/>
        <w:rPr>
          <w:rFonts w:ascii="黑体" w:hAnsi="黑体" w:eastAsia="黑体" w:cs="Times New Roman"/>
          <w:kern w:val="0"/>
          <w:sz w:val="32"/>
          <w:szCs w:val="32"/>
        </w:rPr>
      </w:pPr>
      <w:r>
        <w:rPr>
          <w:rFonts w:hint="eastAsia" w:ascii="黑体" w:hAnsi="黑体" w:eastAsia="黑体" w:cs="Times New Roman"/>
          <w:kern w:val="0"/>
          <w:sz w:val="32"/>
          <w:szCs w:val="32"/>
        </w:rPr>
        <w:t>四、政府信息公开行政复议、行政诉讼情况</w:t>
      </w:r>
    </w:p>
    <w:tbl>
      <w:tblPr>
        <w:tblStyle w:val="3"/>
        <w:tblW w:w="10125" w:type="dxa"/>
        <w:jc w:val="center"/>
        <w:tblLayout w:type="autofit"/>
        <w:tblCellMar>
          <w:top w:w="0" w:type="dxa"/>
          <w:left w:w="0" w:type="dxa"/>
          <w:bottom w:w="0" w:type="dxa"/>
          <w:right w:w="0" w:type="dxa"/>
        </w:tblCellMar>
      </w:tblPr>
      <w:tblGrid>
        <w:gridCol w:w="470"/>
        <w:gridCol w:w="487"/>
        <w:gridCol w:w="487"/>
        <w:gridCol w:w="502"/>
        <w:gridCol w:w="1303"/>
        <w:gridCol w:w="581"/>
        <w:gridCol w:w="502"/>
        <w:gridCol w:w="549"/>
        <w:gridCol w:w="549"/>
        <w:gridCol w:w="1146"/>
        <w:gridCol w:w="597"/>
        <w:gridCol w:w="581"/>
        <w:gridCol w:w="581"/>
        <w:gridCol w:w="597"/>
        <w:gridCol w:w="1193"/>
      </w:tblGrid>
      <w:tr>
        <w:tblPrEx>
          <w:tblCellMar>
            <w:top w:w="0" w:type="dxa"/>
            <w:left w:w="0" w:type="dxa"/>
            <w:bottom w:w="0" w:type="dxa"/>
            <w:right w:w="0" w:type="dxa"/>
          </w:tblCellMar>
        </w:tblPrEx>
        <w:trPr>
          <w:trHeight w:val="482" w:hRule="atLeast"/>
          <w:jc w:val="center"/>
        </w:trPr>
        <w:tc>
          <w:tcPr>
            <w:tcW w:w="3105"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宋体" w:hAnsi="宋体" w:eastAsia="宋体" w:cs="Times New Roman"/>
                <w:kern w:val="0"/>
                <w:szCs w:val="21"/>
              </w:rPr>
              <w:t>行政复议</w:t>
            </w:r>
          </w:p>
        </w:tc>
        <w:tc>
          <w:tcPr>
            <w:tcW w:w="6570"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宋体" w:hAnsi="宋体" w:eastAsia="宋体" w:cs="Times New Roman"/>
                <w:kern w:val="0"/>
                <w:szCs w:val="21"/>
              </w:rPr>
              <w:t>行政诉讼</w:t>
            </w:r>
          </w:p>
        </w:tc>
      </w:tr>
      <w:tr>
        <w:tblPrEx>
          <w:tblCellMar>
            <w:top w:w="0" w:type="dxa"/>
            <w:left w:w="0" w:type="dxa"/>
            <w:bottom w:w="0" w:type="dxa"/>
            <w:right w:w="0" w:type="dxa"/>
          </w:tblCellMar>
        </w:tblPrEx>
        <w:trPr>
          <w:trHeight w:val="447" w:hRule="atLeast"/>
          <w:jc w:val="center"/>
        </w:trPr>
        <w:tc>
          <w:tcPr>
            <w:tcW w:w="450"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结果维持</w:t>
            </w:r>
          </w:p>
        </w:tc>
        <w:tc>
          <w:tcPr>
            <w:tcW w:w="45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结果纠正</w:t>
            </w:r>
          </w:p>
        </w:tc>
        <w:tc>
          <w:tcPr>
            <w:tcW w:w="45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其他结果</w:t>
            </w:r>
          </w:p>
        </w:tc>
        <w:tc>
          <w:tcPr>
            <w:tcW w:w="465"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尚未审结</w:t>
            </w:r>
          </w:p>
        </w:tc>
        <w:tc>
          <w:tcPr>
            <w:tcW w:w="450"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总计</w:t>
            </w:r>
          </w:p>
        </w:tc>
        <w:tc>
          <w:tcPr>
            <w:tcW w:w="3180" w:type="dxa"/>
            <w:gridSpan w:val="5"/>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未经复议直接起诉</w:t>
            </w:r>
          </w:p>
        </w:tc>
        <w:tc>
          <w:tcPr>
            <w:tcW w:w="3180" w:type="dxa"/>
            <w:gridSpan w:val="5"/>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复议后起诉</w:t>
            </w:r>
          </w:p>
        </w:tc>
      </w:tr>
      <w:tr>
        <w:tblPrEx>
          <w:tblCellMar>
            <w:top w:w="0" w:type="dxa"/>
            <w:left w:w="0" w:type="dxa"/>
            <w:bottom w:w="0" w:type="dxa"/>
            <w:right w:w="0" w:type="dxa"/>
          </w:tblCellMar>
        </w:tblPrEx>
        <w:trPr>
          <w:trHeight w:val="588" w:hRule="atLeast"/>
          <w:jc w:val="center"/>
        </w:trPr>
        <w:tc>
          <w:tcPr>
            <w:tcW w:w="0" w:type="auto"/>
            <w:vMerge w:val="continue"/>
            <w:tcBorders>
              <w:top w:val="nil"/>
              <w:left w:val="single" w:color="auto" w:sz="8" w:space="0"/>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0" w:type="auto"/>
            <w:vMerge w:val="continue"/>
            <w:tcBorders>
              <w:top w:val="nil"/>
              <w:left w:val="nil"/>
              <w:bottom w:val="single" w:color="auto" w:sz="8" w:space="0"/>
              <w:right w:val="single" w:color="auto" w:sz="8" w:space="0"/>
            </w:tcBorders>
            <w:vAlign w:val="center"/>
          </w:tcPr>
          <w:p>
            <w:pPr>
              <w:widowControl/>
              <w:jc w:val="left"/>
              <w:rPr>
                <w:rFonts w:ascii="Times New Roman" w:hAnsi="Times New Roman" w:eastAsia="宋体" w:cs="Times New Roman"/>
                <w:kern w:val="0"/>
                <w:szCs w:val="21"/>
              </w:rPr>
            </w:pPr>
          </w:p>
        </w:tc>
        <w:tc>
          <w:tcPr>
            <w:tcW w:w="51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结果维持</w:t>
            </w:r>
          </w:p>
        </w:tc>
        <w:tc>
          <w:tcPr>
            <w:tcW w:w="4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结果纠正</w:t>
            </w:r>
          </w:p>
        </w:tc>
        <w:tc>
          <w:tcPr>
            <w:tcW w:w="4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其他结果</w:t>
            </w:r>
          </w:p>
        </w:tc>
        <w:tc>
          <w:tcPr>
            <w:tcW w:w="4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尚未审结</w:t>
            </w:r>
          </w:p>
        </w:tc>
        <w:tc>
          <w:tcPr>
            <w:tcW w:w="4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总计</w:t>
            </w:r>
          </w:p>
        </w:tc>
        <w:tc>
          <w:tcPr>
            <w:tcW w:w="49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结果维持</w:t>
            </w:r>
          </w:p>
        </w:tc>
        <w:tc>
          <w:tcPr>
            <w:tcW w:w="4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结果纠正</w:t>
            </w:r>
          </w:p>
        </w:tc>
        <w:tc>
          <w:tcPr>
            <w:tcW w:w="4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其他结果</w:t>
            </w:r>
          </w:p>
        </w:tc>
        <w:tc>
          <w:tcPr>
            <w:tcW w:w="4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kern w:val="0"/>
                <w:szCs w:val="21"/>
              </w:rPr>
              <w:t>尚未审结</w:t>
            </w:r>
          </w:p>
        </w:tc>
        <w:tc>
          <w:tcPr>
            <w:tcW w:w="45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rPr>
                <w:rFonts w:ascii="Times New Roman" w:hAnsi="Times New Roman" w:eastAsia="宋体" w:cs="Times New Roman"/>
                <w:kern w:val="0"/>
                <w:szCs w:val="21"/>
              </w:rPr>
            </w:pPr>
            <w:r>
              <w:rPr>
                <w:rFonts w:hint="eastAsia" w:ascii="宋体" w:hAnsi="宋体" w:eastAsia="宋体" w:cs="Times New Roman"/>
                <w:color w:val="000000"/>
                <w:kern w:val="0"/>
                <w:szCs w:val="21"/>
              </w:rPr>
              <w:t>总计</w:t>
            </w:r>
          </w:p>
        </w:tc>
      </w:tr>
      <w:tr>
        <w:tblPrEx>
          <w:tblCellMar>
            <w:top w:w="0" w:type="dxa"/>
            <w:left w:w="0" w:type="dxa"/>
            <w:bottom w:w="0" w:type="dxa"/>
            <w:right w:w="0" w:type="dxa"/>
          </w:tblCellMar>
        </w:tblPrEx>
        <w:trPr>
          <w:trHeight w:val="707" w:hRule="atLeast"/>
          <w:jc w:val="center"/>
        </w:trPr>
        <w:tc>
          <w:tcPr>
            <w:tcW w:w="450"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4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46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0</w:t>
            </w:r>
          </w:p>
        </w:tc>
        <w:tc>
          <w:tcPr>
            <w:tcW w:w="4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0</w:t>
            </w:r>
          </w:p>
        </w:tc>
        <w:tc>
          <w:tcPr>
            <w:tcW w:w="4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5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48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0</w:t>
            </w:r>
          </w:p>
        </w:tc>
        <w:tc>
          <w:tcPr>
            <w:tcW w:w="5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0</w:t>
            </w:r>
          </w:p>
        </w:tc>
        <w:tc>
          <w:tcPr>
            <w:tcW w:w="5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52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5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5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hint="eastAsia" w:ascii="宋体" w:hAnsi="宋体" w:eastAsia="宋体" w:cs="Times New Roman"/>
                <w:kern w:val="0"/>
                <w:szCs w:val="21"/>
              </w:rPr>
              <w:t>0</w:t>
            </w:r>
          </w:p>
        </w:tc>
        <w:tc>
          <w:tcPr>
            <w:tcW w:w="5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570"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c>
          <w:tcPr>
            <w:tcW w:w="555"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jc w:val="center"/>
              <w:rPr>
                <w:rFonts w:ascii="Times New Roman" w:hAnsi="Times New Roman" w:eastAsia="宋体" w:cs="Times New Roman"/>
                <w:kern w:val="0"/>
                <w:szCs w:val="21"/>
              </w:rPr>
            </w:pPr>
            <w:r>
              <w:rPr>
                <w:rFonts w:ascii="宋体" w:hAnsi="宋体" w:eastAsia="宋体" w:cs="Times New Roman"/>
                <w:kern w:val="0"/>
                <w:szCs w:val="21"/>
              </w:rPr>
              <w:t>0</w:t>
            </w:r>
          </w:p>
        </w:tc>
      </w:tr>
    </w:tbl>
    <w:p>
      <w:pPr>
        <w:widowControl/>
        <w:spacing w:line="500" w:lineRule="atLeast"/>
        <w:rPr>
          <w:rFonts w:ascii="Times New Roman" w:hAnsi="Times New Roman" w:eastAsia="宋体" w:cs="Times New Roman"/>
          <w:kern w:val="0"/>
          <w:sz w:val="24"/>
          <w:szCs w:val="24"/>
        </w:rPr>
      </w:pPr>
      <w:r>
        <w:rPr>
          <w:rFonts w:ascii="Calibri" w:hAnsi="Calibri" w:eastAsia="黑体" w:cs="Calibri"/>
          <w:kern w:val="0"/>
          <w:sz w:val="32"/>
          <w:szCs w:val="32"/>
        </w:rPr>
        <w:t> </w:t>
      </w:r>
    </w:p>
    <w:p>
      <w:pPr>
        <w:widowControl/>
        <w:spacing w:line="560" w:lineRule="atLeast"/>
        <w:ind w:firstLine="420"/>
        <w:rPr>
          <w:rFonts w:ascii="黑体" w:hAnsi="黑体" w:eastAsia="黑体" w:cs="Times New Roman"/>
          <w:kern w:val="0"/>
          <w:sz w:val="32"/>
          <w:szCs w:val="32"/>
        </w:rPr>
      </w:pPr>
      <w:r>
        <w:rPr>
          <w:rFonts w:hint="eastAsia" w:ascii="黑体" w:hAnsi="黑体" w:eastAsia="黑体" w:cs="Times New Roman"/>
          <w:kern w:val="0"/>
          <w:sz w:val="32"/>
          <w:szCs w:val="32"/>
        </w:rPr>
        <w:t>五、存在的主要问题及改进情况</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2</w:t>
      </w:r>
      <w:r>
        <w:rPr>
          <w:rFonts w:ascii="仿宋" w:hAnsi="仿宋" w:eastAsia="仿宋" w:cs="Times New Roman"/>
          <w:color w:val="333333"/>
          <w:kern w:val="0"/>
          <w:sz w:val="32"/>
          <w:szCs w:val="32"/>
          <w:shd w:val="clear" w:color="auto" w:fill="FFFFFF"/>
        </w:rPr>
        <w:t>022</w:t>
      </w:r>
      <w:r>
        <w:rPr>
          <w:rFonts w:hint="eastAsia" w:ascii="仿宋" w:hAnsi="仿宋" w:eastAsia="仿宋" w:cs="Times New Roman"/>
          <w:color w:val="333333"/>
          <w:kern w:val="0"/>
          <w:sz w:val="32"/>
          <w:szCs w:val="32"/>
          <w:shd w:val="clear" w:color="auto" w:fill="FFFFFF"/>
        </w:rPr>
        <w:t>年的政府信息公开工作，我局还存在着信息发布时效不快、信息内容不够全面具体等问题。针对这一情况在今后工作中，我们将依托湘乡市公安局网站进一步做好信息公开工作。同时，充分利用“湘乡公安”微信公众号、新浪微博平台做好政府信息公开工作。</w:t>
      </w:r>
    </w:p>
    <w:p>
      <w:pPr>
        <w:widowControl/>
        <w:spacing w:line="560" w:lineRule="atLeast"/>
        <w:ind w:firstLine="420"/>
        <w:rPr>
          <w:rFonts w:ascii="黑体" w:hAnsi="黑体" w:eastAsia="黑体" w:cs="Times New Roman"/>
          <w:kern w:val="0"/>
          <w:sz w:val="32"/>
          <w:szCs w:val="32"/>
        </w:rPr>
      </w:pPr>
      <w:r>
        <w:rPr>
          <w:rFonts w:hint="eastAsia" w:ascii="黑体" w:hAnsi="黑体" w:eastAsia="黑体" w:cs="Times New Roman"/>
          <w:kern w:val="0"/>
          <w:sz w:val="32"/>
          <w:szCs w:val="32"/>
        </w:rPr>
        <w:t>六、其他需要报告的事项</w:t>
      </w:r>
    </w:p>
    <w:p>
      <w:pPr>
        <w:widowControl/>
        <w:shd w:val="clear" w:color="auto" w:fill="FFFFFF"/>
        <w:spacing w:line="600" w:lineRule="atLeast"/>
        <w:ind w:firstLine="640"/>
        <w:jc w:val="lef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202</w:t>
      </w:r>
      <w:r>
        <w:rPr>
          <w:rFonts w:ascii="仿宋" w:hAnsi="仿宋" w:eastAsia="仿宋" w:cs="Times New Roman"/>
          <w:color w:val="333333"/>
          <w:kern w:val="0"/>
          <w:sz w:val="32"/>
          <w:szCs w:val="32"/>
          <w:shd w:val="clear" w:color="auto" w:fill="FFFFFF"/>
        </w:rPr>
        <w:t>3</w:t>
      </w:r>
      <w:r>
        <w:rPr>
          <w:rFonts w:hint="eastAsia" w:ascii="仿宋" w:hAnsi="仿宋" w:eastAsia="仿宋" w:cs="Times New Roman"/>
          <w:color w:val="333333"/>
          <w:kern w:val="0"/>
          <w:sz w:val="32"/>
          <w:szCs w:val="32"/>
          <w:shd w:val="clear" w:color="auto" w:fill="FFFFFF"/>
        </w:rPr>
        <w:t>年，我局将进一步强化组织领导，细化工作方案，根据《条例》要求，一是及时、准确地在政府网站上的政务动态、公示公告、重大建设项目信息、人事信息、财政资金信息等板块发布相关信息；二是利用“湘乡公安”双微平台拓展政务公开的渠道和广度；三是对照信息公开栏目，对项目信息公开目录进行补充完善，保证公开信息的完整性和正确性;四是继续做好依申请公开工作。</w:t>
      </w:r>
    </w:p>
    <w:p>
      <w:pPr>
        <w:widowControl/>
        <w:shd w:val="clear" w:color="auto" w:fill="FFFFFF"/>
        <w:spacing w:line="600" w:lineRule="atLeast"/>
        <w:ind w:firstLine="640"/>
        <w:jc w:val="right"/>
        <w:rPr>
          <w:rFonts w:ascii="仿宋" w:hAnsi="仿宋" w:eastAsia="仿宋" w:cs="Times New Roman"/>
          <w:color w:val="333333"/>
          <w:kern w:val="0"/>
          <w:sz w:val="32"/>
          <w:szCs w:val="32"/>
          <w:shd w:val="clear" w:color="auto" w:fill="FFFFFF"/>
        </w:rPr>
      </w:pPr>
    </w:p>
    <w:p>
      <w:pPr>
        <w:widowControl/>
        <w:shd w:val="clear" w:color="auto" w:fill="FFFFFF"/>
        <w:spacing w:line="600" w:lineRule="atLeast"/>
        <w:ind w:firstLine="640"/>
        <w:jc w:val="right"/>
        <w:rPr>
          <w:rFonts w:ascii="仿宋" w:hAnsi="仿宋" w:eastAsia="仿宋" w:cs="Times New Roman"/>
          <w:color w:val="333333"/>
          <w:kern w:val="0"/>
          <w:sz w:val="32"/>
          <w:szCs w:val="32"/>
          <w:shd w:val="clear" w:color="auto" w:fill="FFFFFF"/>
        </w:rPr>
      </w:pPr>
    </w:p>
    <w:p>
      <w:pPr>
        <w:widowControl/>
        <w:shd w:val="clear" w:color="auto" w:fill="FFFFFF"/>
        <w:spacing w:line="600" w:lineRule="atLeast"/>
        <w:ind w:firstLine="640"/>
        <w:jc w:val="righ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湘乡市公安局</w:t>
      </w:r>
    </w:p>
    <w:p>
      <w:pPr>
        <w:widowControl/>
        <w:shd w:val="clear" w:color="auto" w:fill="FFFFFF"/>
        <w:spacing w:line="600" w:lineRule="atLeast"/>
        <w:ind w:firstLine="640"/>
        <w:jc w:val="right"/>
        <w:rPr>
          <w:rFonts w:ascii="Times New Roman" w:hAnsi="Times New Roman" w:eastAsia="宋体" w:cs="Times New Roman"/>
          <w:kern w:val="0"/>
          <w:szCs w:val="21"/>
        </w:rPr>
      </w:pPr>
      <w:r>
        <w:rPr>
          <w:rFonts w:hint="eastAsia" w:ascii="仿宋" w:hAnsi="仿宋" w:eastAsia="仿宋" w:cs="Times New Roman"/>
          <w:color w:val="333333"/>
          <w:kern w:val="0"/>
          <w:sz w:val="32"/>
          <w:szCs w:val="32"/>
          <w:shd w:val="clear" w:color="auto" w:fill="FFFFFF"/>
        </w:rPr>
        <w:t>202</w:t>
      </w:r>
      <w:r>
        <w:rPr>
          <w:rFonts w:ascii="仿宋" w:hAnsi="仿宋" w:eastAsia="仿宋" w:cs="Times New Roman"/>
          <w:color w:val="333333"/>
          <w:kern w:val="0"/>
          <w:sz w:val="32"/>
          <w:szCs w:val="32"/>
          <w:shd w:val="clear" w:color="auto" w:fill="FFFFFF"/>
        </w:rPr>
        <w:t>3</w:t>
      </w:r>
      <w:r>
        <w:rPr>
          <w:rFonts w:hint="eastAsia" w:ascii="仿宋" w:hAnsi="仿宋" w:eastAsia="仿宋" w:cs="Times New Roman"/>
          <w:color w:val="333333"/>
          <w:kern w:val="0"/>
          <w:sz w:val="32"/>
          <w:szCs w:val="32"/>
          <w:shd w:val="clear" w:color="auto" w:fill="FFFFFF"/>
        </w:rPr>
        <w:t>年1月</w:t>
      </w:r>
      <w:r>
        <w:rPr>
          <w:rFonts w:ascii="仿宋" w:hAnsi="仿宋" w:eastAsia="仿宋" w:cs="Times New Roman"/>
          <w:color w:val="333333"/>
          <w:kern w:val="0"/>
          <w:sz w:val="32"/>
          <w:szCs w:val="32"/>
          <w:shd w:val="clear" w:color="auto" w:fill="FFFFFF"/>
        </w:rPr>
        <w:t>13</w:t>
      </w:r>
      <w:r>
        <w:rPr>
          <w:rFonts w:hint="eastAsia" w:ascii="仿宋" w:hAnsi="仿宋" w:eastAsia="仿宋" w:cs="Times New Roman"/>
          <w:color w:val="333333"/>
          <w:kern w:val="0"/>
          <w:sz w:val="32"/>
          <w:szCs w:val="32"/>
          <w:shd w:val="clear" w:color="auto" w:fill="FFFFFF"/>
        </w:rPr>
        <w:t>日</w:t>
      </w:r>
    </w:p>
    <w:bookmarkEnd w:id="0"/>
    <w:p>
      <w:pPr>
        <w:widowControl/>
        <w:spacing w:line="500" w:lineRule="atLeast"/>
        <w:ind w:firstLine="420"/>
        <w:rPr>
          <w:rFonts w:ascii="Times New Roman" w:hAnsi="Times New Roman" w:eastAsia="宋体" w:cs="Times New Roman"/>
          <w:kern w:val="0"/>
          <w:sz w:val="24"/>
          <w:szCs w:val="24"/>
        </w:rPr>
      </w:pPr>
      <w:r>
        <w:rPr>
          <w:rFonts w:hint="eastAsia" w:ascii="宋体" w:hAnsi="宋体" w:eastAsia="宋体" w:cs="Times New Roman"/>
          <w:kern w:val="0"/>
          <w:sz w:val="32"/>
          <w:szCs w:val="32"/>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FkODU4NzhiODVhNmU1NDUyNzQzMjQ4MTI2M2NlNDkifQ=="/>
  </w:docVars>
  <w:rsids>
    <w:rsidRoot w:val="00580BC5"/>
    <w:rsid w:val="004E74A7"/>
    <w:rsid w:val="00564754"/>
    <w:rsid w:val="00580BC5"/>
    <w:rsid w:val="00713990"/>
    <w:rsid w:val="008F092E"/>
    <w:rsid w:val="0090529D"/>
    <w:rsid w:val="00AE37A9"/>
    <w:rsid w:val="00B927AE"/>
    <w:rsid w:val="00BA1BB2"/>
    <w:rsid w:val="00C43B80"/>
    <w:rsid w:val="00CF7B85"/>
    <w:rsid w:val="00D65415"/>
    <w:rsid w:val="00EE3BC5"/>
    <w:rsid w:val="00F015D5"/>
    <w:rsid w:val="36BE44A6"/>
    <w:rsid w:val="553C3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none"/>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2079</Words>
  <Characters>2177</Characters>
  <Lines>328</Lines>
  <Paragraphs>322</Paragraphs>
  <TotalTime>226</TotalTime>
  <ScaleCrop>false</ScaleCrop>
  <LinksUpToDate>false</LinksUpToDate>
  <CharactersWithSpaces>2180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2023-01-16T00:31:00Z</dcterms:created>
  <dc:creator>a27313</dc:creator>
  <cp:lastModifiedBy>燕娇</cp:lastModifiedBy>
  <cp:lastPrinted>2023-01-16T07:18:00Z</cp:lastPrinted>
  <dcterms:modified xsi:type="dcterms:W3CDTF">2024-07-25T02:01:31Z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6F5D3B3C628F4E658BFEA671D2E3F173_13</vt:lpwstr>
  </property>
</Properties>
</file>