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widowControl/>
        <w:spacing w:before="0" w:beforeAutospacing="0" w:after="0" w:afterAutospacing="0" w:line="560" w:lineRule="exact"/>
        <w:jc w:val="center"/>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44"/>
          <w:szCs w:val="44"/>
        </w:rPr>
        <w:t>湘乡市交通运输局2022年政府信息公开工作年度报告</w:t>
      </w:r>
    </w:p>
    <w:p>
      <w:pPr>
        <w:pStyle w:val="12"/>
        <w:widowControl/>
        <w:spacing w:before="0" w:beforeAutospacing="0" w:after="0" w:afterAutospacing="0" w:line="560" w:lineRule="exact"/>
        <w:ind w:firstLine="420"/>
        <w:jc w:val="both"/>
        <w:rPr>
          <w:rFonts w:hint="eastAsia" w:ascii="宋体" w:cs="宋体"/>
        </w:rPr>
      </w:pPr>
    </w:p>
    <w:p>
      <w:pPr>
        <w:pStyle w:val="12"/>
        <w:widowControl/>
        <w:spacing w:before="0" w:beforeAutospacing="0" w:after="0" w:afterAutospacing="0" w:line="560" w:lineRule="exact"/>
        <w:ind w:firstLine="640" w:firstLineChars="200"/>
        <w:jc w:val="both"/>
        <w:rPr>
          <w:rFonts w:hint="eastAsia" w:ascii="黑体" w:hAnsi="黑体" w:eastAsia="黑体" w:cs="黑体"/>
          <w:bCs/>
          <w:sz w:val="32"/>
          <w:szCs w:val="32"/>
        </w:rPr>
      </w:pPr>
      <w:r>
        <w:rPr>
          <w:rFonts w:hint="eastAsia" w:ascii="黑体" w:hAnsi="黑体" w:eastAsia="黑体" w:cs="黑体"/>
          <w:bCs/>
          <w:sz w:val="32"/>
          <w:szCs w:val="32"/>
        </w:rPr>
        <w:t>一、总体情况</w:t>
      </w:r>
    </w:p>
    <w:p>
      <w:pPr>
        <w:pStyle w:val="12"/>
        <w:widowControl/>
        <w:spacing w:before="0" w:beforeAutospacing="0" w:after="0" w:afterAutospacing="0" w:line="56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2022年度，在市委、市政府的正确领导和上级主管部门的悉心指导下，我局认真贯彻执行新《条例》，大力实施交通运输行业政府信息主动公开，严格依法办理政府信息依申请公开工作，全面完成了2022年度交通运输政府信息公开工作任务。一是规范实施政府信息主动公开。依规主动公开了我局单位概况、机构主要职责和领导信息及领导职责分工等交通运输政府信息。全年共主动公开政府信息</w:t>
      </w:r>
      <w:r>
        <w:rPr>
          <w:rFonts w:hint="eastAsia" w:ascii="方正仿宋_GBK" w:hAnsi="方正仿宋_GBK" w:eastAsia="方正仿宋_GBK" w:cs="方正仿宋_GBK"/>
          <w:sz w:val="32"/>
          <w:szCs w:val="32"/>
          <w:lang w:val="en-US" w:eastAsia="zh-CN"/>
        </w:rPr>
        <w:t>450</w:t>
      </w:r>
      <w:r>
        <w:rPr>
          <w:rFonts w:hint="eastAsia" w:ascii="方正仿宋_GBK" w:hAnsi="方正仿宋_GBK" w:eastAsia="方正仿宋_GBK" w:cs="方正仿宋_GBK"/>
          <w:sz w:val="32"/>
          <w:szCs w:val="32"/>
        </w:rPr>
        <w:t>余条，其中政府网站公开政府信息51条，其他方式公开政府信息</w:t>
      </w:r>
      <w:r>
        <w:rPr>
          <w:rFonts w:hint="eastAsia" w:ascii="方正仿宋_GBK" w:hAnsi="方正仿宋_GBK" w:eastAsia="方正仿宋_GBK" w:cs="方正仿宋_GBK"/>
          <w:sz w:val="32"/>
          <w:szCs w:val="32"/>
          <w:lang w:val="en-US" w:eastAsia="zh-CN"/>
        </w:rPr>
        <w:t>400</w:t>
      </w:r>
      <w:r>
        <w:rPr>
          <w:rFonts w:hint="eastAsia" w:ascii="方正仿宋_GBK" w:hAnsi="方正仿宋_GBK" w:eastAsia="方正仿宋_GBK" w:cs="方正仿宋_GBK"/>
          <w:sz w:val="32"/>
          <w:szCs w:val="32"/>
        </w:rPr>
        <w:t>余条。二是按照市财政局的统一部署安排，按时公开了本单位的财政预决算报告；2022年我局财政决算报告等相关情况将按要求适时予以公开。三是积极推动交通运输政府信息公开社会评议，积极认真应对社会舆情，妥善处置舆情157件，全年共办理12345市长热线平台交办754件，办结率100%。全年交通运输政府信息公开工作未发生责任追究的情形，工作实效显著。</w:t>
      </w:r>
    </w:p>
    <w:p>
      <w:pPr>
        <w:pStyle w:val="12"/>
        <w:widowControl/>
        <w:spacing w:before="0" w:beforeAutospacing="0" w:after="0" w:afterAutospacing="0" w:line="560" w:lineRule="exact"/>
        <w:ind w:firstLine="640" w:firstLineChars="200"/>
        <w:jc w:val="both"/>
        <w:rPr>
          <w:rFonts w:hint="eastAsia" w:ascii="黑体" w:hAnsi="黑体" w:eastAsia="黑体" w:cs="黑体"/>
          <w:bCs/>
          <w:sz w:val="32"/>
          <w:szCs w:val="32"/>
        </w:rPr>
      </w:pPr>
      <w:r>
        <w:rPr>
          <w:rFonts w:hint="eastAsia" w:ascii="黑体" w:hAnsi="黑体" w:eastAsia="黑体" w:cs="黑体"/>
          <w:bCs/>
          <w:sz w:val="32"/>
          <w:szCs w:val="32"/>
        </w:rPr>
        <w:t>二、主动公开政府信息情况</w:t>
      </w:r>
    </w:p>
    <w:tbl>
      <w:tblPr>
        <w:tblStyle w:val="13"/>
        <w:tblW w:w="9064" w:type="dxa"/>
        <w:jc w:val="center"/>
        <w:tblLayout w:type="fixed"/>
        <w:tblCellMar>
          <w:top w:w="0" w:type="dxa"/>
          <w:left w:w="0" w:type="dxa"/>
          <w:bottom w:w="0" w:type="dxa"/>
          <w:right w:w="0" w:type="dxa"/>
        </w:tblCellMar>
      </w:tblPr>
      <w:tblGrid>
        <w:gridCol w:w="3113"/>
        <w:gridCol w:w="1881"/>
        <w:gridCol w:w="1979"/>
        <w:gridCol w:w="2091"/>
      </w:tblGrid>
      <w:tr>
        <w:tblPrEx>
          <w:tblCellMar>
            <w:top w:w="0" w:type="dxa"/>
            <w:left w:w="0" w:type="dxa"/>
            <w:bottom w:w="0" w:type="dxa"/>
            <w:right w:w="0" w:type="dxa"/>
          </w:tblCellMar>
        </w:tblPrEx>
        <w:trPr>
          <w:trHeight w:val="606" w:hRule="atLeast"/>
          <w:jc w:val="center"/>
        </w:trPr>
        <w:tc>
          <w:tcPr>
            <w:tcW w:w="9064"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line="300" w:lineRule="exact"/>
              <w:jc w:val="center"/>
              <w:rPr>
                <w:rFonts w:hint="eastAsia" w:ascii="宋体"/>
                <w:szCs w:val="21"/>
              </w:rPr>
            </w:pPr>
            <w:r>
              <w:rPr>
                <w:rFonts w:hint="eastAsia" w:ascii="宋体" w:cs="宋体"/>
                <w:color w:val="000000"/>
                <w:kern w:val="0"/>
                <w:szCs w:val="21"/>
              </w:rPr>
              <w:t>第二十条第（一）项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szCs w:val="21"/>
              </w:rPr>
            </w:pPr>
            <w:r>
              <w:rPr>
                <w:rFonts w:hint="eastAsia" w:ascii="宋体" w:cs="宋体"/>
                <w:color w:val="000000"/>
                <w:kern w:val="0"/>
                <w:szCs w:val="21"/>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szCs w:val="21"/>
              </w:rPr>
            </w:pPr>
            <w:r>
              <w:rPr>
                <w:rFonts w:hint="eastAsia" w:ascii="宋体"/>
                <w:szCs w:val="21"/>
              </w:rPr>
              <w:t>本年制发件数</w:t>
            </w:r>
          </w:p>
        </w:tc>
        <w:tc>
          <w:tcPr>
            <w:tcW w:w="1979"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szCs w:val="21"/>
              </w:rPr>
              <w:t>本年废止件数</w:t>
            </w:r>
          </w:p>
        </w:tc>
        <w:tc>
          <w:tcPr>
            <w:tcW w:w="2091" w:type="dxa"/>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szCs w:val="21"/>
              </w:rPr>
            </w:pPr>
            <w:r>
              <w:rPr>
                <w:rFonts w:hint="eastAsia" w:ascii="宋体"/>
                <w:szCs w:val="21"/>
              </w:rPr>
              <w:t>现行有效件数</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szCs w:val="21"/>
              </w:rPr>
            </w:pPr>
            <w:r>
              <w:rPr>
                <w:rFonts w:hint="eastAsia" w:ascii="宋体" w:cs="宋体"/>
                <w:color w:val="000000"/>
                <w:kern w:val="0"/>
                <w:szCs w:val="21"/>
              </w:rPr>
              <w:t>规章</w:t>
            </w:r>
          </w:p>
        </w:tc>
        <w:tc>
          <w:tcPr>
            <w:tcW w:w="1881" w:type="dxa"/>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szCs w:val="21"/>
              </w:rPr>
            </w:pPr>
            <w:r>
              <w:rPr>
                <w:rFonts w:hint="eastAsia" w:ascii="宋体"/>
                <w:szCs w:val="21"/>
              </w:rPr>
              <w:t>0</w:t>
            </w:r>
          </w:p>
        </w:tc>
        <w:tc>
          <w:tcPr>
            <w:tcW w:w="1979"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szCs w:val="21"/>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szCs w:val="21"/>
              </w:rPr>
              <w:t>0</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szCs w:val="21"/>
              </w:rPr>
            </w:pPr>
            <w:r>
              <w:rPr>
                <w:rFonts w:hint="eastAsia" w:ascii="宋体" w:cs="宋体"/>
                <w:color w:val="000000"/>
                <w:kern w:val="0"/>
                <w:szCs w:val="21"/>
              </w:rPr>
              <w:t>行政规范性文件</w:t>
            </w:r>
          </w:p>
        </w:tc>
        <w:tc>
          <w:tcPr>
            <w:tcW w:w="1881" w:type="dxa"/>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p>
        </w:tc>
        <w:tc>
          <w:tcPr>
            <w:tcW w:w="1979"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p>
        </w:tc>
        <w:tc>
          <w:tcPr>
            <w:tcW w:w="2091" w:type="dxa"/>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line="300" w:lineRule="exact"/>
              <w:jc w:val="center"/>
              <w:rPr>
                <w:rFonts w:hint="eastAsia" w:ascii="宋体"/>
                <w:szCs w:val="21"/>
              </w:rPr>
            </w:pPr>
            <w:r>
              <w:rPr>
                <w:rFonts w:hint="eastAsia" w:ascii="宋体"/>
                <w:szCs w:val="21"/>
              </w:rPr>
              <w:t>第二十条第（五）项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szCs w:val="21"/>
              </w:rPr>
            </w:pPr>
            <w:r>
              <w:rPr>
                <w:rFonts w:hint="eastAsia" w:ascii="宋体" w:cs="宋体"/>
                <w:color w:val="000000"/>
                <w:kern w:val="0"/>
                <w:szCs w:val="21"/>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szCs w:val="21"/>
              </w:rPr>
            </w:pPr>
            <w:r>
              <w:rPr>
                <w:rFonts w:ascii="宋体" w:cs="宋体"/>
                <w:color w:val="000000"/>
                <w:kern w:val="0"/>
                <w:szCs w:val="21"/>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szCs w:val="21"/>
              </w:rPr>
            </w:pPr>
            <w:r>
              <w:rPr>
                <w:rFonts w:hint="eastAsia" w:ascii="宋体" w:cs="宋体"/>
                <w:color w:val="000000"/>
                <w:kern w:val="0"/>
                <w:szCs w:val="21"/>
              </w:rPr>
              <w:t>行政许可</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szCs w:val="21"/>
              </w:rPr>
              <w:t>17</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line="300" w:lineRule="exact"/>
              <w:jc w:val="center"/>
              <w:rPr>
                <w:rFonts w:hint="eastAsia" w:ascii="宋体"/>
                <w:szCs w:val="21"/>
              </w:rPr>
            </w:pPr>
            <w:r>
              <w:rPr>
                <w:rFonts w:hint="eastAsia" w:ascii="宋体"/>
                <w:szCs w:val="21"/>
              </w:rPr>
              <w:t>第二十条第（六）项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szCs w:val="21"/>
              </w:rPr>
            </w:pPr>
            <w:r>
              <w:rPr>
                <w:rFonts w:hint="eastAsia" w:ascii="宋体" w:cs="宋体"/>
                <w:color w:val="000000"/>
                <w:kern w:val="0"/>
                <w:szCs w:val="21"/>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szCs w:val="21"/>
              </w:rPr>
            </w:pPr>
            <w:r>
              <w:rPr>
                <w:rFonts w:ascii="宋体" w:cs="宋体"/>
                <w:color w:val="000000"/>
                <w:kern w:val="0"/>
                <w:szCs w:val="21"/>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szCs w:val="21"/>
              </w:rPr>
            </w:pPr>
            <w:r>
              <w:rPr>
                <w:rFonts w:hint="eastAsia" w:ascii="宋体" w:cs="宋体"/>
                <w:color w:val="000000"/>
                <w:kern w:val="0"/>
                <w:szCs w:val="21"/>
              </w:rPr>
              <w:t>行政处罚</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szCs w:val="21"/>
              </w:rPr>
              <w:t>740</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szCs w:val="21"/>
              </w:rPr>
            </w:pPr>
            <w:r>
              <w:rPr>
                <w:rFonts w:hint="eastAsia" w:ascii="宋体" w:cs="宋体"/>
                <w:color w:val="000000"/>
                <w:kern w:val="0"/>
                <w:szCs w:val="21"/>
              </w:rPr>
              <w:t>行政强制</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szCs w:val="21"/>
              </w:rPr>
              <w:t>50</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line="300" w:lineRule="exact"/>
              <w:jc w:val="center"/>
              <w:rPr>
                <w:rFonts w:hint="eastAsia" w:ascii="宋体"/>
                <w:szCs w:val="21"/>
              </w:rPr>
            </w:pPr>
            <w:r>
              <w:rPr>
                <w:rFonts w:hint="eastAsia" w:ascii="宋体"/>
                <w:szCs w:val="21"/>
              </w:rPr>
              <w:t>第二十条第（八）项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szCs w:val="21"/>
              </w:rPr>
            </w:pPr>
            <w:r>
              <w:rPr>
                <w:rFonts w:hint="eastAsia" w:ascii="宋体" w:cs="宋体"/>
                <w:color w:val="000000"/>
                <w:kern w:val="0"/>
                <w:szCs w:val="21"/>
              </w:rPr>
              <w:t>信息内容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widowControl/>
              <w:spacing w:line="300" w:lineRule="exact"/>
              <w:jc w:val="center"/>
              <w:rPr>
                <w:rFonts w:hint="eastAsia" w:ascii="宋体"/>
                <w:szCs w:val="21"/>
              </w:rPr>
            </w:pPr>
            <w:r>
              <w:rPr>
                <w:rFonts w:ascii="宋体" w:cs="宋体"/>
                <w:color w:val="000000"/>
                <w:kern w:val="0"/>
                <w:szCs w:val="21"/>
              </w:rPr>
              <w:t>本年收费金额（单位：万元）</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szCs w:val="21"/>
              </w:rPr>
            </w:pPr>
            <w:r>
              <w:rPr>
                <w:rFonts w:hint="eastAsia" w:ascii="宋体" w:cs="宋体"/>
                <w:color w:val="000000"/>
                <w:kern w:val="0"/>
                <w:szCs w:val="21"/>
              </w:rPr>
              <w:t>行政事业性收费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widowControl/>
              <w:spacing w:line="300" w:lineRule="exact"/>
              <w:jc w:val="center"/>
              <w:rPr>
                <w:rFonts w:hint="eastAsia" w:ascii="宋体"/>
                <w:szCs w:val="21"/>
              </w:rPr>
            </w:pPr>
            <w:r>
              <w:rPr>
                <w:rFonts w:hint="eastAsia" w:ascii="宋体"/>
                <w:szCs w:val="21"/>
              </w:rPr>
              <w:t>75</w:t>
            </w:r>
          </w:p>
        </w:tc>
      </w:tr>
    </w:tbl>
    <w:p>
      <w:pPr>
        <w:pStyle w:val="12"/>
        <w:widowControl/>
        <w:spacing w:before="0" w:beforeAutospacing="0" w:after="240" w:afterAutospacing="0"/>
        <w:ind w:firstLine="640" w:firstLineChars="200"/>
        <w:jc w:val="both"/>
        <w:rPr>
          <w:rFonts w:hint="eastAsia" w:ascii="黑体" w:hAnsi="黑体" w:eastAsia="黑体" w:cs="黑体"/>
          <w:bCs/>
          <w:sz w:val="32"/>
          <w:szCs w:val="32"/>
        </w:rPr>
      </w:pPr>
      <w:r>
        <w:rPr>
          <w:rFonts w:hint="eastAsia" w:ascii="黑体" w:hAnsi="黑体" w:eastAsia="黑体" w:cs="黑体"/>
          <w:bCs/>
          <w:sz w:val="32"/>
          <w:szCs w:val="32"/>
        </w:rPr>
        <w:t>三、</w:t>
      </w:r>
      <w:r>
        <w:rPr>
          <w:rFonts w:hint="eastAsia" w:ascii="黑体" w:hAnsi="黑体" w:eastAsia="黑体" w:cs="黑体"/>
          <w:bCs/>
          <w:color w:val="333333"/>
          <w:sz w:val="32"/>
          <w:szCs w:val="32"/>
          <w:shd w:val="clear" w:color="auto" w:fill="FFFFFF"/>
        </w:rPr>
        <w:t>收到和处理政府信息公开申请情况</w:t>
      </w:r>
    </w:p>
    <w:tbl>
      <w:tblPr>
        <w:tblStyle w:val="13"/>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楷体" w:hAnsi="楷体" w:eastAsia="楷体" w:cs="楷体"/>
                <w:sz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kern w:val="0"/>
                <w:szCs w:val="21"/>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55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rPr>
                <w:rFonts w:hint="eastAsia" w:ascii="宋体" w:hAnsi="宋体" w:cs="宋体"/>
                <w:szCs w:val="21"/>
              </w:rPr>
            </w:pPr>
            <w:r>
              <w:rPr>
                <w:rFonts w:hint="eastAsia" w:ascii="宋体" w:hAnsi="宋体" w:cs="宋体"/>
                <w:kern w:val="0"/>
                <w:szCs w:val="21"/>
              </w:rPr>
              <w:t>自然人</w:t>
            </w:r>
          </w:p>
        </w:tc>
        <w:tc>
          <w:tcPr>
            <w:tcW w:w="3641"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rFonts w:hint="eastAsia" w:ascii="宋体" w:hAnsi="宋体" w:cs="宋体"/>
                <w:szCs w:val="21"/>
              </w:rPr>
            </w:pPr>
            <w:r>
              <w:rPr>
                <w:rFonts w:hint="eastAsia" w:ascii="宋体" w:hAnsi="宋体" w:cs="宋体"/>
                <w:kern w:val="0"/>
                <w:szCs w:val="21"/>
              </w:rPr>
              <w:t>法人或其他组织</w:t>
            </w:r>
          </w:p>
        </w:tc>
        <w:tc>
          <w:tcPr>
            <w:tcW w:w="750"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kern w:val="0"/>
                <w:szCs w:val="21"/>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5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rPr>
                <w:rFonts w:hint="eastAsia" w:ascii="宋体" w:hAnsi="宋体" w:cs="宋体"/>
                <w:szCs w:val="21"/>
              </w:rPr>
            </w:pPr>
            <w:r>
              <w:rPr>
                <w:rFonts w:hint="eastAsia" w:ascii="宋体" w:hAnsi="宋体" w:cs="宋体"/>
                <w:kern w:val="0"/>
                <w:szCs w:val="21"/>
              </w:rPr>
              <w:t>商业企业</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rPr>
                <w:rFonts w:hint="eastAsia" w:ascii="宋体" w:hAnsi="宋体" w:cs="宋体"/>
                <w:szCs w:val="21"/>
              </w:rPr>
            </w:pPr>
            <w:r>
              <w:rPr>
                <w:rFonts w:hint="eastAsia" w:ascii="宋体" w:hAnsi="宋体" w:cs="宋体"/>
                <w:kern w:val="0"/>
                <w:szCs w:val="21"/>
              </w:rPr>
              <w:t>科研机构</w:t>
            </w:r>
          </w:p>
        </w:tc>
        <w:tc>
          <w:tcPr>
            <w:tcW w:w="75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rFonts w:hint="eastAsia" w:ascii="宋体" w:hAnsi="宋体" w:cs="宋体"/>
                <w:szCs w:val="21"/>
              </w:rPr>
            </w:pPr>
            <w:r>
              <w:rPr>
                <w:rFonts w:hint="eastAsia" w:ascii="宋体" w:hAnsi="宋体" w:cs="宋体"/>
                <w:kern w:val="0"/>
                <w:szCs w:val="21"/>
              </w:rPr>
              <w:t>社会公益组织</w:t>
            </w:r>
          </w:p>
        </w:tc>
        <w:tc>
          <w:tcPr>
            <w:tcW w:w="66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rFonts w:hint="eastAsia" w:ascii="宋体" w:hAnsi="宋体" w:cs="宋体"/>
                <w:szCs w:val="21"/>
              </w:rPr>
            </w:pPr>
            <w:r>
              <w:rPr>
                <w:rFonts w:hint="eastAsia" w:ascii="宋体" w:hAnsi="宋体" w:cs="宋体"/>
                <w:kern w:val="0"/>
                <w:szCs w:val="21"/>
              </w:rPr>
              <w:t>法律服务机构</w:t>
            </w:r>
          </w:p>
        </w:tc>
        <w:tc>
          <w:tcPr>
            <w:tcW w:w="73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rFonts w:hint="eastAsia" w:ascii="宋体" w:hAnsi="宋体" w:cs="宋体"/>
                <w:szCs w:val="21"/>
              </w:rPr>
            </w:pPr>
            <w:r>
              <w:rPr>
                <w:rFonts w:hint="eastAsia" w:ascii="宋体" w:hAnsi="宋体" w:cs="宋体"/>
                <w:kern w:val="0"/>
                <w:szCs w:val="21"/>
              </w:rPr>
              <w:t>其他</w:t>
            </w:r>
          </w:p>
        </w:tc>
        <w:tc>
          <w:tcPr>
            <w:tcW w:w="750"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一、本年新收政府信息公开申请数量</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rPr>
              <w:t>1</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hAnsi="宋体" w:cs="宋体"/>
                <w:szCs w:val="21"/>
              </w:rPr>
            </w:pPr>
            <w:r>
              <w:rPr>
                <w:rFonts w:hint="eastAsia" w:ascii="宋体" w:hAnsi="宋体" w:cs="宋体"/>
                <w:szCs w:val="21"/>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二、上年结转政府信息公开申请数量</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kern w:val="0"/>
                <w:szCs w:val="21"/>
              </w:rPr>
              <w:t>三、本年度办理结果</w:t>
            </w:r>
          </w:p>
        </w:tc>
        <w:tc>
          <w:tcPr>
            <w:tcW w:w="3853" w:type="dxa"/>
            <w:gridSpan w:val="2"/>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（一）予以公开</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hAnsi="宋体" w:cs="宋体"/>
                <w:szCs w:val="21"/>
              </w:rPr>
            </w:pPr>
            <w:r>
              <w:rPr>
                <w:rFonts w:hint="eastAsia" w:ascii="宋体" w:hAnsi="宋体" w:cs="宋体"/>
                <w:szCs w:val="21"/>
              </w:rPr>
              <w:t>1</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hAnsi="宋体" w:cs="宋体"/>
                <w:szCs w:val="21"/>
              </w:rPr>
            </w:pPr>
            <w:r>
              <w:rPr>
                <w:rFonts w:hint="eastAsia" w:ascii="宋体" w:hAnsi="宋体" w:cs="宋体"/>
                <w:szCs w:val="21"/>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3853" w:type="dxa"/>
            <w:gridSpan w:val="2"/>
            <w:tcBorders>
              <w:top w:val="nil"/>
              <w:left w:val="nil"/>
              <w:bottom w:val="single" w:color="auto" w:sz="8" w:space="0"/>
              <w:right w:val="single" w:color="auto" w:sz="8" w:space="0"/>
            </w:tcBorders>
            <w:tcMar>
              <w:left w:w="108" w:type="dxa"/>
              <w:right w:w="108" w:type="dxa"/>
            </w:tcMar>
            <w:vAlign w:val="center"/>
          </w:tcPr>
          <w:p>
            <w:pPr>
              <w:widowControl/>
              <w:spacing w:line="240" w:lineRule="exact"/>
              <w:jc w:val="left"/>
              <w:rPr>
                <w:rFonts w:hint="eastAsia" w:ascii="宋体" w:hAnsi="宋体" w:cs="宋体"/>
                <w:szCs w:val="21"/>
              </w:rPr>
            </w:pPr>
            <w:r>
              <w:rPr>
                <w:rFonts w:hint="eastAsia" w:ascii="宋体" w:hAnsi="宋体" w:cs="宋体"/>
                <w:kern w:val="0"/>
                <w:szCs w:val="21"/>
              </w:rPr>
              <w:t>（二）部分公开</w:t>
            </w:r>
            <w:r>
              <w:rPr>
                <w:rFonts w:hint="eastAsia" w:ascii="楷体" w:hAnsi="楷体" w:eastAsia="楷体" w:cs="楷体"/>
                <w:kern w:val="0"/>
                <w:szCs w:val="21"/>
              </w:rPr>
              <w:t>（区分处理的，只计这一情形，不计其他情形）</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（三）不予公开</w:t>
            </w: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1.属于国家秘密</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2.其他法律行政法规禁止公开</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3.危及“三安全一稳定”</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4.保护第三方合法权益</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5.属于三类内部事务信息</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6.属于四类过程性信息</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7.属于行政执法案卷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8.属于行政查询事项</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（四）无法提供</w:t>
            </w: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1.本机关不掌握相关政府信息</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2.没有现成信息需要另行制作</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3.补正后申请内容仍不明确</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（五）不予处理</w:t>
            </w: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1.信访举报投诉类申请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2.重复申请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3.要求提供公开出版物</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4.无正当理由大量反复申请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240" w:lineRule="exact"/>
              <w:jc w:val="left"/>
              <w:rPr>
                <w:rFonts w:hint="eastAsia" w:ascii="宋体" w:hAnsi="宋体" w:cs="宋体"/>
                <w:szCs w:val="21"/>
              </w:rPr>
            </w:pPr>
            <w:r>
              <w:rPr>
                <w:rFonts w:hint="eastAsia" w:ascii="宋体" w:hAnsi="宋体" w:cs="宋体"/>
                <w:kern w:val="0"/>
                <w:szCs w:val="21"/>
              </w:rPr>
              <w:t>5.要求行政机关确认或重新出具已获取信息</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restart"/>
            <w:tcBorders>
              <w:top w:val="nil"/>
              <w:left w:val="nil"/>
              <w:right w:val="single" w:color="auto" w:sz="8" w:space="0"/>
            </w:tcBorders>
            <w:tcMar>
              <w:left w:w="108" w:type="dxa"/>
              <w:right w:w="108" w:type="dxa"/>
            </w:tcMar>
            <w:vAlign w:val="center"/>
          </w:tcPr>
          <w:p>
            <w:pPr>
              <w:rPr>
                <w:rFonts w:hint="eastAsia" w:ascii="宋体" w:hAnsi="宋体" w:cs="宋体"/>
                <w:szCs w:val="21"/>
              </w:rPr>
            </w:pPr>
            <w:r>
              <w:rPr>
                <w:rFonts w:hint="eastAsia" w:ascii="宋体" w:hAnsi="宋体" w:cs="宋体"/>
                <w:kern w:val="0"/>
                <w:szCs w:val="21"/>
              </w:rPr>
              <w:t>（六）其他处理</w:t>
            </w: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240" w:lineRule="exact"/>
              <w:jc w:val="left"/>
              <w:rPr>
                <w:rFonts w:hint="eastAsia" w:ascii="宋体" w:hAnsi="宋体" w:cs="宋体"/>
                <w:kern w:val="0"/>
                <w:szCs w:val="21"/>
              </w:rPr>
            </w:pPr>
            <w:r>
              <w:rPr>
                <w:rFonts w:hint="eastAsia" w:ascii="宋体" w:hAnsi="宋体" w:cs="宋体"/>
                <w:kern w:val="0"/>
                <w:szCs w:val="21"/>
              </w:rPr>
              <w:t>1.申请人无正当理由逾期不补正、行政机关不再处理其政府信息公开申请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continue"/>
            <w:tcBorders>
              <w:left w:val="nil"/>
              <w:right w:val="single" w:color="auto" w:sz="8" w:space="0"/>
            </w:tcBorders>
            <w:tcMar>
              <w:left w:w="108" w:type="dxa"/>
              <w:right w:w="108" w:type="dxa"/>
            </w:tcMar>
            <w:vAlign w:val="center"/>
          </w:tcPr>
          <w:p>
            <w:pPr>
              <w:rPr>
                <w:rFonts w:hint="eastAsia" w:ascii="宋体" w:hAnsi="宋体" w:cs="宋体"/>
                <w:kern w:val="0"/>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240" w:lineRule="exact"/>
              <w:jc w:val="left"/>
              <w:rPr>
                <w:rFonts w:hint="eastAsia" w:ascii="宋体" w:hAnsi="宋体" w:cs="宋体"/>
                <w:kern w:val="0"/>
                <w:szCs w:val="21"/>
              </w:rPr>
            </w:pPr>
            <w:r>
              <w:rPr>
                <w:rFonts w:hint="eastAsia" w:ascii="宋体" w:hAnsi="宋体" w:cs="宋体"/>
                <w:kern w:val="0"/>
                <w:szCs w:val="21"/>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855" w:type="dxa"/>
            <w:vMerge w:val="continue"/>
            <w:tcBorders>
              <w:left w:val="nil"/>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kern w:val="0"/>
                <w:szCs w:val="21"/>
              </w:rPr>
            </w:pPr>
            <w:r>
              <w:rPr>
                <w:rFonts w:hint="eastAsia" w:ascii="宋体" w:hAnsi="宋体" w:cs="宋体"/>
                <w:kern w:val="0"/>
                <w:szCs w:val="21"/>
              </w:rPr>
              <w:t>3.其他</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cs="宋体"/>
                <w:szCs w:val="21"/>
              </w:rPr>
            </w:pPr>
          </w:p>
        </w:tc>
        <w:tc>
          <w:tcPr>
            <w:tcW w:w="3853" w:type="dxa"/>
            <w:gridSpan w:val="2"/>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（七）总计</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hAnsi="宋体" w:cs="宋体"/>
                <w:szCs w:val="21"/>
              </w:rPr>
            </w:pPr>
            <w:r>
              <w:rPr>
                <w:rFonts w:hint="eastAsia" w:ascii="宋体" w:hAnsi="宋体" w:cs="宋体"/>
                <w:szCs w:val="21"/>
              </w:rPr>
              <w:t>1</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hAnsi="宋体" w:cs="宋体"/>
                <w:szCs w:val="21"/>
              </w:rPr>
            </w:pPr>
            <w:r>
              <w:rPr>
                <w:rFonts w:hint="eastAsia" w:ascii="宋体" w:hAnsi="宋体" w:cs="宋体"/>
                <w:szCs w:val="21"/>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cs="宋体"/>
                <w:szCs w:val="21"/>
              </w:rPr>
            </w:pPr>
            <w:r>
              <w:rPr>
                <w:rFonts w:hint="eastAsia" w:ascii="宋体" w:hAnsi="宋体" w:cs="宋体"/>
                <w:kern w:val="0"/>
                <w:szCs w:val="21"/>
              </w:rPr>
              <w:t>四、结转下年度继续办理</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bl>
    <w:p>
      <w:pPr>
        <w:pStyle w:val="12"/>
        <w:widowControl/>
        <w:spacing w:before="0" w:beforeAutospacing="0" w:after="0" w:afterAutospacing="0" w:line="560" w:lineRule="exact"/>
        <w:ind w:firstLine="640" w:firstLineChars="200"/>
        <w:jc w:val="both"/>
        <w:rPr>
          <w:rFonts w:hint="eastAsia" w:ascii="黑体" w:hAnsi="黑体" w:eastAsia="黑体" w:cs="黑体"/>
          <w:bCs/>
          <w:sz w:val="32"/>
          <w:szCs w:val="32"/>
        </w:rPr>
      </w:pPr>
      <w:r>
        <w:rPr>
          <w:rFonts w:hint="eastAsia" w:ascii="黑体" w:hAnsi="黑体" w:eastAsia="黑体" w:cs="黑体"/>
          <w:bCs/>
          <w:sz w:val="32"/>
          <w:szCs w:val="32"/>
        </w:rPr>
        <w:t>四、</w:t>
      </w:r>
      <w:r>
        <w:rPr>
          <w:rFonts w:hint="eastAsia" w:ascii="黑体" w:hAnsi="黑体" w:eastAsia="黑体" w:cs="黑体"/>
          <w:bCs/>
          <w:color w:val="333333"/>
          <w:sz w:val="32"/>
          <w:szCs w:val="32"/>
          <w:shd w:val="clear" w:color="auto" w:fill="FFFFFF"/>
        </w:rPr>
        <w:t>政府信息公开行政复议、行政诉讼情况</w:t>
      </w:r>
    </w:p>
    <w:tbl>
      <w:tblPr>
        <w:tblStyle w:val="13"/>
        <w:tblW w:w="1008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jc w:val="center"/>
        </w:trPr>
        <w:tc>
          <w:tcPr>
            <w:tcW w:w="3293"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szCs w:val="21"/>
              </w:rPr>
            </w:pPr>
            <w:r>
              <w:rPr>
                <w:rFonts w:hint="eastAsia" w:ascii="宋体" w:cs="宋体"/>
                <w:kern w:val="0"/>
                <w:szCs w:val="21"/>
              </w:rPr>
              <w:t>行政复议</w:t>
            </w:r>
          </w:p>
        </w:tc>
        <w:tc>
          <w:tcPr>
            <w:tcW w:w="6790" w:type="dxa"/>
            <w:gridSpan w:val="10"/>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hint="eastAsia" w:ascii="宋体"/>
                <w:szCs w:val="21"/>
              </w:rPr>
            </w:pPr>
            <w:r>
              <w:rPr>
                <w:rFonts w:hint="eastAsia" w:ascii="宋体" w:cs="宋体"/>
                <w:kern w:val="0"/>
                <w:szCs w:val="21"/>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58"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kern w:val="0"/>
                <w:szCs w:val="21"/>
              </w:rPr>
              <w:t>结果维持</w:t>
            </w:r>
          </w:p>
        </w:tc>
        <w:tc>
          <w:tcPr>
            <w:tcW w:w="658"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kern w:val="0"/>
                <w:szCs w:val="21"/>
              </w:rPr>
              <w:t>结果纠正</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kern w:val="0"/>
                <w:szCs w:val="21"/>
              </w:rPr>
              <w:t>其他结果</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kern w:val="0"/>
                <w:szCs w:val="21"/>
              </w:rPr>
              <w:t>尚未审结</w:t>
            </w:r>
          </w:p>
        </w:tc>
        <w:tc>
          <w:tcPr>
            <w:tcW w:w="661"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kern w:val="0"/>
                <w:szCs w:val="21"/>
              </w:rPr>
              <w:t>总计</w:t>
            </w:r>
          </w:p>
        </w:tc>
        <w:tc>
          <w:tcPr>
            <w:tcW w:w="3355"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kern w:val="0"/>
                <w:szCs w:val="21"/>
              </w:rPr>
              <w:t>未经复议直接起诉</w:t>
            </w:r>
          </w:p>
        </w:tc>
        <w:tc>
          <w:tcPr>
            <w:tcW w:w="3435"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kern w:val="0"/>
                <w:szCs w:val="21"/>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jc w:val="center"/>
        </w:trPr>
        <w:tc>
          <w:tcPr>
            <w:tcW w:w="658"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rPr>
                <w:szCs w:val="21"/>
              </w:rPr>
            </w:pPr>
          </w:p>
        </w:tc>
        <w:tc>
          <w:tcPr>
            <w:tcW w:w="658" w:type="dxa"/>
            <w:vMerge w:val="continue"/>
            <w:tcBorders>
              <w:top w:val="nil"/>
              <w:left w:val="nil"/>
              <w:bottom w:val="single" w:color="auto" w:sz="8" w:space="0"/>
              <w:right w:val="single" w:color="auto" w:sz="8" w:space="0"/>
            </w:tcBorders>
            <w:tcMar>
              <w:left w:w="108" w:type="dxa"/>
              <w:right w:w="108" w:type="dxa"/>
            </w:tcMar>
            <w:vAlign w:val="center"/>
          </w:tcPr>
          <w:p>
            <w:pPr>
              <w:widowControl/>
              <w:spacing w:line="300" w:lineRule="exact"/>
              <w:rPr>
                <w:szCs w:val="21"/>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rPr>
                <w:szCs w:val="21"/>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rPr>
                <w:szCs w:val="21"/>
              </w:rPr>
            </w:pPr>
          </w:p>
        </w:tc>
        <w:tc>
          <w:tcPr>
            <w:tcW w:w="661"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rPr>
                <w:szCs w:val="21"/>
              </w:rPr>
            </w:pPr>
          </w:p>
        </w:tc>
        <w:tc>
          <w:tcPr>
            <w:tcW w:w="691"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kern w:val="0"/>
                <w:szCs w:val="21"/>
              </w:rPr>
              <w:t>结果维持</w:t>
            </w:r>
          </w:p>
        </w:tc>
        <w:tc>
          <w:tcPr>
            <w:tcW w:w="639"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kern w:val="0"/>
                <w:szCs w:val="21"/>
              </w:rPr>
              <w:t>结果纠正</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kern w:val="0"/>
                <w:szCs w:val="21"/>
              </w:rPr>
              <w:t>其他结果</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kern w:val="0"/>
                <w:szCs w:val="21"/>
              </w:rPr>
              <w:t>尚未审结</w:t>
            </w:r>
          </w:p>
        </w:tc>
        <w:tc>
          <w:tcPr>
            <w:tcW w:w="64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color w:val="000000"/>
                <w:kern w:val="0"/>
                <w:szCs w:val="21"/>
              </w:rPr>
              <w:t>总计</w:t>
            </w:r>
          </w:p>
        </w:tc>
        <w:tc>
          <w:tcPr>
            <w:tcW w:w="72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kern w:val="0"/>
                <w:szCs w:val="21"/>
              </w:rPr>
              <w:t>结果维持</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kern w:val="0"/>
                <w:szCs w:val="21"/>
              </w:rPr>
              <w:t>结果纠正</w:t>
            </w:r>
          </w:p>
        </w:tc>
        <w:tc>
          <w:tcPr>
            <w:tcW w:w="67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color w:val="000000"/>
                <w:kern w:val="0"/>
                <w:szCs w:val="21"/>
              </w:rPr>
              <w:t>其他结果</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kern w:val="0"/>
                <w:szCs w:val="21"/>
              </w:rPr>
              <w:t>尚未审结</w:t>
            </w:r>
          </w:p>
        </w:tc>
        <w:tc>
          <w:tcPr>
            <w:tcW w:w="66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cs="宋体"/>
                <w:color w:val="000000"/>
                <w:kern w:val="0"/>
                <w:szCs w:val="21"/>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jc w:val="center"/>
        </w:trPr>
        <w:tc>
          <w:tcPr>
            <w:tcW w:w="658"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hAnsi="宋体" w:cs="宋体"/>
                <w:szCs w:val="21"/>
                <w:lang w:val="en-US" w:eastAsia="zh-CN"/>
              </w:rPr>
              <w:t>0</w:t>
            </w:r>
          </w:p>
        </w:tc>
        <w:tc>
          <w:tcPr>
            <w:tcW w:w="65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hAnsi="宋体" w:cs="宋体"/>
                <w:szCs w:val="21"/>
                <w:lang w:val="en-US" w:eastAsia="zh-CN"/>
              </w:rPr>
              <w:t>0</w:t>
            </w:r>
          </w:p>
        </w:tc>
        <w:tc>
          <w:tcPr>
            <w:tcW w:w="65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hAnsi="宋体" w:cs="宋体"/>
                <w:szCs w:val="21"/>
                <w:lang w:val="en-US" w:eastAsia="zh-CN"/>
              </w:rPr>
              <w:t>0</w:t>
            </w:r>
          </w:p>
        </w:tc>
        <w:tc>
          <w:tcPr>
            <w:tcW w:w="65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hAnsi="宋体" w:cs="宋体"/>
                <w:szCs w:val="21"/>
                <w:lang w:val="en-US" w:eastAsia="zh-CN"/>
              </w:rPr>
              <w:t>0</w:t>
            </w:r>
          </w:p>
        </w:tc>
        <w:tc>
          <w:tcPr>
            <w:tcW w:w="661"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hAnsi="宋体" w:cs="宋体"/>
                <w:szCs w:val="21"/>
                <w:lang w:val="en-US" w:eastAsia="zh-CN"/>
              </w:rPr>
              <w:t>0</w:t>
            </w:r>
          </w:p>
        </w:tc>
        <w:tc>
          <w:tcPr>
            <w:tcW w:w="691"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hAnsi="宋体" w:cs="宋体"/>
                <w:szCs w:val="21"/>
                <w:lang w:val="en-US" w:eastAsia="zh-CN"/>
              </w:rPr>
              <w:t>0</w:t>
            </w:r>
          </w:p>
        </w:tc>
        <w:tc>
          <w:tcPr>
            <w:tcW w:w="639"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hAnsi="宋体" w:cs="宋体"/>
                <w:szCs w:val="21"/>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hAnsi="宋体" w:cs="宋体"/>
                <w:szCs w:val="21"/>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hAnsi="宋体" w:cs="宋体"/>
                <w:szCs w:val="21"/>
                <w:lang w:val="en-US" w:eastAsia="zh-CN"/>
              </w:rPr>
              <w:t>0</w:t>
            </w:r>
          </w:p>
        </w:tc>
        <w:tc>
          <w:tcPr>
            <w:tcW w:w="64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hAnsi="宋体" w:cs="宋体"/>
                <w:szCs w:val="21"/>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hAnsi="宋体" w:cs="宋体"/>
                <w:szCs w:val="21"/>
                <w:lang w:val="en-US" w:eastAsia="zh-CN"/>
              </w:rPr>
              <w:t>0</w:t>
            </w:r>
          </w:p>
        </w:tc>
        <w:tc>
          <w:tcPr>
            <w:tcW w:w="67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hAnsi="宋体" w:cs="宋体"/>
                <w:szCs w:val="21"/>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szCs w:val="21"/>
              </w:rPr>
            </w:pPr>
            <w:r>
              <w:rPr>
                <w:rFonts w:hint="eastAsia" w:ascii="宋体" w:hAnsi="宋体" w:cs="宋体"/>
                <w:szCs w:val="21"/>
                <w:lang w:val="en-US" w:eastAsia="zh-CN"/>
              </w:rPr>
              <w:t>0</w:t>
            </w:r>
          </w:p>
        </w:tc>
      </w:tr>
    </w:tbl>
    <w:p>
      <w:pPr>
        <w:pStyle w:val="12"/>
        <w:widowControl/>
        <w:spacing w:before="0" w:beforeAutospacing="0" w:after="0" w:afterAutospacing="0" w:line="560" w:lineRule="exact"/>
        <w:jc w:val="both"/>
        <w:rPr>
          <w:rFonts w:hint="eastAsia" w:ascii="黑体" w:hAnsi="黑体" w:eastAsia="黑体" w:cs="黑体"/>
          <w:bCs/>
          <w:sz w:val="32"/>
          <w:szCs w:val="32"/>
        </w:rPr>
      </w:pPr>
    </w:p>
    <w:p>
      <w:pPr>
        <w:pStyle w:val="12"/>
        <w:widowControl/>
        <w:spacing w:before="0" w:beforeAutospacing="0" w:after="0" w:afterAutospacing="0" w:line="560" w:lineRule="exact"/>
        <w:ind w:firstLine="640" w:firstLineChars="200"/>
        <w:jc w:val="both"/>
        <w:rPr>
          <w:rFonts w:hint="eastAsia" w:ascii="宋体" w:cs="宋体"/>
        </w:rPr>
      </w:pPr>
      <w:r>
        <w:rPr>
          <w:rFonts w:hint="eastAsia" w:ascii="黑体" w:hAnsi="黑体" w:eastAsia="黑体" w:cs="黑体"/>
          <w:bCs/>
          <w:sz w:val="32"/>
          <w:szCs w:val="32"/>
        </w:rPr>
        <w:t>五、存在的主要问题及改进情况</w:t>
      </w:r>
    </w:p>
    <w:p>
      <w:pPr>
        <w:pStyle w:val="12"/>
        <w:widowControl/>
        <w:spacing w:before="0" w:beforeAutospacing="0" w:after="0" w:afterAutospacing="0" w:line="56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我局虽然圆满地完成了年度政府信息公开工作，实际工作中存在的交通运输政府信息更新不快、内容不完全一致，工作人员业务素质参差不齐，工作效率有待提高等问题显露出来。</w:t>
      </w:r>
    </w:p>
    <w:p>
      <w:pPr>
        <w:pStyle w:val="12"/>
        <w:widowControl/>
        <w:spacing w:before="0" w:beforeAutospacing="0" w:after="0" w:afterAutospacing="0" w:line="560" w:lineRule="exact"/>
        <w:ind w:firstLine="420"/>
        <w:jc w:val="both"/>
        <w:rPr>
          <w:rFonts w:hint="eastAsia" w:ascii="黑体" w:hAnsi="黑体" w:eastAsia="黑体" w:cs="黑体"/>
          <w:bCs/>
          <w:sz w:val="32"/>
          <w:szCs w:val="32"/>
        </w:rPr>
      </w:pPr>
      <w:r>
        <w:rPr>
          <w:rFonts w:hint="eastAsia" w:ascii="方正仿宋_GBK" w:hAnsi="方正仿宋_GBK" w:eastAsia="方正仿宋_GBK" w:cs="方正仿宋_GBK"/>
          <w:sz w:val="32"/>
          <w:szCs w:val="32"/>
        </w:rPr>
        <w:t>为进一步强化交通运输政府信息公开工作，我局将坚决采取有效措施，全面提升和改进政府信息公开工作实效。主要有：一是深入贯彻执行新《</w:t>
      </w:r>
      <w:r>
        <w:rPr>
          <w:rFonts w:hint="eastAsia" w:ascii="方正仿宋_GBK" w:hAnsi="方正仿宋_GBK" w:eastAsia="方正仿宋_GBK" w:cs="方正仿宋_GBK"/>
          <w:sz w:val="32"/>
          <w:szCs w:val="32"/>
          <w:lang w:val="en-US" w:eastAsia="zh-CN"/>
        </w:rPr>
        <w:t>中华人民共和国</w:t>
      </w:r>
      <w:bookmarkStart w:id="0" w:name="_GoBack"/>
      <w:r>
        <w:rPr>
          <w:rFonts w:hint="eastAsia" w:ascii="方正仿宋_GBK" w:hAnsi="方正仿宋_GBK" w:eastAsia="方正仿宋_GBK" w:cs="方正仿宋_GBK"/>
          <w:sz w:val="32"/>
          <w:szCs w:val="32"/>
        </w:rPr>
        <w:t>政府信息公开条例</w:t>
      </w:r>
      <w:bookmarkEnd w:id="0"/>
      <w:r>
        <w:rPr>
          <w:rFonts w:hint="eastAsia" w:ascii="方正仿宋_GBK" w:hAnsi="方正仿宋_GBK" w:eastAsia="方正仿宋_GBK" w:cs="方正仿宋_GBK"/>
          <w:sz w:val="32"/>
          <w:szCs w:val="32"/>
        </w:rPr>
        <w:t>》规定，依照规定完善政府信息公开内容，调整政府信息公开范围，确保交通运输政府信息公开工作依法高效。二是健全调整政府信息公开工作制度和程序，严把信息公开法制审核关，严格依法规范政府信息公开管理，确保信息公开合法准确。三是加强信息公开工作人员教育培训，重点是研究学习新《</w:t>
      </w:r>
      <w:r>
        <w:rPr>
          <w:rFonts w:hint="eastAsia" w:ascii="方正仿宋_GBK" w:hAnsi="方正仿宋_GBK" w:eastAsia="方正仿宋_GBK" w:cs="方正仿宋_GBK"/>
          <w:sz w:val="32"/>
          <w:szCs w:val="32"/>
          <w:lang w:val="en-US" w:eastAsia="zh-CN"/>
        </w:rPr>
        <w:t>中华人民共和国</w:t>
      </w:r>
      <w:r>
        <w:rPr>
          <w:rFonts w:hint="eastAsia" w:ascii="方正仿宋_GBK" w:hAnsi="方正仿宋_GBK" w:eastAsia="方正仿宋_GBK" w:cs="方正仿宋_GBK"/>
          <w:sz w:val="32"/>
          <w:szCs w:val="32"/>
        </w:rPr>
        <w:t>政府信息公开条例》，及时提升政府信息公开工作人员素质能力，确保交通运输政府信息公开工作更加规范有序。</w:t>
      </w:r>
    </w:p>
    <w:p>
      <w:pPr>
        <w:pStyle w:val="12"/>
        <w:widowControl/>
        <w:spacing w:before="0" w:beforeAutospacing="0" w:after="0" w:afterAutospacing="0" w:line="560" w:lineRule="exact"/>
        <w:ind w:firstLine="640" w:firstLineChars="200"/>
        <w:jc w:val="both"/>
        <w:rPr>
          <w:rFonts w:hint="eastAsia" w:ascii="黑体" w:hAnsi="黑体" w:eastAsia="黑体" w:cs="黑体"/>
          <w:bCs/>
          <w:sz w:val="32"/>
          <w:szCs w:val="32"/>
        </w:rPr>
      </w:pPr>
      <w:r>
        <w:rPr>
          <w:rFonts w:hint="eastAsia" w:ascii="黑体" w:hAnsi="黑体" w:eastAsia="黑体" w:cs="黑体"/>
          <w:bCs/>
          <w:sz w:val="32"/>
          <w:szCs w:val="32"/>
        </w:rPr>
        <w:t>六、其他需要报告的事项</w:t>
      </w:r>
    </w:p>
    <w:p>
      <w:pPr>
        <w:pStyle w:val="12"/>
        <w:widowControl/>
        <w:spacing w:before="0" w:beforeAutospacing="0" w:after="0" w:afterAutospacing="0" w:line="560" w:lineRule="exact"/>
        <w:ind w:firstLine="42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我局无其他需要报告的事项。</w:t>
      </w:r>
    </w:p>
    <w:p>
      <w:pPr>
        <w:pStyle w:val="12"/>
        <w:widowControl/>
        <w:spacing w:before="0" w:beforeAutospacing="0" w:after="0" w:afterAutospacing="0" w:line="480" w:lineRule="exact"/>
        <w:ind w:firstLine="420"/>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r>
        <w:rPr>
          <w:rFonts w:hint="eastAsia" w:ascii="方正小标宋_GBK" w:hAnsi="方正小标宋_GBK" w:eastAsia="方正小标宋_GBK" w:cs="方正小标宋_GBK"/>
          <w:sz w:val="44"/>
          <w:szCs w:val="44"/>
        </w:rPr>
        <w:t>填报说明</w:t>
      </w:r>
    </w:p>
    <w:p>
      <w:pPr>
        <w:pStyle w:val="12"/>
        <w:widowControl/>
        <w:spacing w:before="0" w:beforeAutospacing="0" w:after="0" w:afterAutospacing="0" w:line="480" w:lineRule="exact"/>
        <w:jc w:val="both"/>
        <w:rPr>
          <w:rFonts w:hint="eastAsia" w:ascii="方正仿宋_GBK" w:hAnsi="方正仿宋_GBK" w:eastAsia="方正仿宋_GBK" w:cs="方正仿宋_GBK"/>
          <w:sz w:val="32"/>
          <w:szCs w:val="32"/>
        </w:rPr>
      </w:pPr>
    </w:p>
    <w:p>
      <w:pPr>
        <w:pStyle w:val="12"/>
        <w:widowControl/>
        <w:spacing w:before="0" w:beforeAutospacing="0" w:after="0" w:afterAutospacing="0" w:line="48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1、总体情况主要包括主动公开、依申请公开、政府信息管理、政府信息公开平台建设、监督保障等方面，政务公开工作要点及省政务公开第三方评估工作牵头责任单位需包含工作落实情况；</w:t>
      </w:r>
    </w:p>
    <w:p>
      <w:pPr>
        <w:pStyle w:val="12"/>
        <w:widowControl/>
        <w:spacing w:before="0" w:beforeAutospacing="0" w:after="0" w:afterAutospacing="0" w:line="48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2、规章及行政规范性文件“现行有效件数”是指累计往年有效文件数量；</w:t>
      </w:r>
    </w:p>
    <w:p>
      <w:pPr>
        <w:pStyle w:val="12"/>
        <w:widowControl/>
        <w:spacing w:before="0" w:beforeAutospacing="0" w:after="0" w:afterAutospacing="0" w:line="48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3、行政许可、行政处罚、行政强制“本年处理决定数量”包括已公开和依法未公开的全部处理决定，指办件量，即一年总计办了多少件；</w:t>
      </w:r>
    </w:p>
    <w:p>
      <w:pPr>
        <w:pStyle w:val="12"/>
        <w:widowControl/>
        <w:spacing w:before="0" w:beforeAutospacing="0" w:after="0" w:afterAutospacing="0" w:line="480" w:lineRule="exact"/>
        <w:ind w:firstLine="640" w:firstLineChars="200"/>
        <w:jc w:val="both"/>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政府信息公开申请情况表中数据勾稽关系：第一项加第二项之和，等于第三项加第四项之和，表中空白全部用数字“0”表示；2021年度年报中有“结转下年度继续办理”数时，今年“上年结转政府信息公开申请数量”同时添加；</w:t>
      </w:r>
    </w:p>
    <w:p>
      <w:pPr>
        <w:pStyle w:val="12"/>
        <w:widowControl/>
        <w:spacing w:before="0" w:beforeAutospacing="0" w:after="0" w:afterAutospacing="0" w:line="480" w:lineRule="exact"/>
        <w:ind w:firstLine="640" w:firstLineChars="200"/>
        <w:jc w:val="both"/>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5、“行政复议”及“行政诉讼”是指因政府信息公开工作被申请行政复议、提起行政诉讼情况；</w:t>
      </w:r>
    </w:p>
    <w:p>
      <w:pPr>
        <w:pStyle w:val="12"/>
        <w:widowControl/>
        <w:spacing w:before="0" w:beforeAutospacing="0" w:after="0" w:afterAutospacing="0" w:line="48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6、“其他需要报告的事项”中，需包含信息处理费收费情况，未收取费用仍需说明。</w:t>
      </w:r>
    </w:p>
    <w:p>
      <w:pPr>
        <w:pStyle w:val="12"/>
        <w:widowControl/>
        <w:spacing w:before="0" w:beforeAutospacing="0" w:after="0" w:afterAutospacing="0" w:line="480" w:lineRule="exact"/>
        <w:ind w:firstLine="640" w:firstLineChars="200"/>
        <w:jc w:val="both"/>
        <w:rPr>
          <w:rFonts w:hint="eastAsia" w:ascii="方正仿宋_GBK" w:hAnsi="方正仿宋_GBK" w:eastAsia="方正仿宋_GBK" w:cs="方正仿宋_GBK"/>
          <w:sz w:val="32"/>
          <w:szCs w:val="32"/>
        </w:rPr>
      </w:pPr>
    </w:p>
    <w:p>
      <w:pPr>
        <w:pStyle w:val="12"/>
        <w:widowControl/>
        <w:spacing w:before="0" w:beforeAutospacing="0" w:after="0" w:afterAutospacing="0" w:line="48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详见《国务院办公厅政府信息与政务公开办公室关于印发&lt;中华人民共和国政府信息公开工作年度报告格式&gt;的通知》（国办公开办函〔2021〕30号）</w:t>
      </w:r>
    </w:p>
    <w:p>
      <w:pPr>
        <w:pStyle w:val="12"/>
        <w:widowControl/>
        <w:spacing w:before="0" w:beforeAutospacing="0" w:after="0" w:afterAutospacing="0" w:line="48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网址：</w:t>
      </w:r>
    </w:p>
    <w:p>
      <w:pPr>
        <w:pStyle w:val="12"/>
        <w:widowControl/>
        <w:spacing w:before="0" w:beforeAutospacing="0" w:after="0" w:afterAutospacing="0" w:line="480" w:lineRule="exact"/>
        <w:jc w:val="both"/>
        <w:rPr>
          <w:rFonts w:hint="eastAsia" w:ascii="方正仿宋_GBK" w:hAnsi="方正仿宋_GBK" w:eastAsia="方正仿宋_GBK" w:cs="方正仿宋_GBK"/>
          <w:sz w:val="32"/>
          <w:szCs w:val="32"/>
        </w:rPr>
      </w:pPr>
      <w:r>
        <w:fldChar w:fldCharType="begin"/>
      </w:r>
      <w:r>
        <w:instrText xml:space="preserve"> HYPERLINK "http://www.gov.cn/zhengce/content/2021-09/29/content_5639620.htm" </w:instrText>
      </w:r>
      <w:r>
        <w:fldChar w:fldCharType="separate"/>
      </w:r>
      <w:r>
        <w:rPr>
          <w:rStyle w:val="18"/>
          <w:rFonts w:hint="eastAsia" w:ascii="方正仿宋_GBK" w:hAnsi="方正仿宋_GBK" w:eastAsia="方正仿宋_GBK" w:cs="方正仿宋_GBK"/>
          <w:sz w:val="32"/>
          <w:szCs w:val="32"/>
        </w:rPr>
        <w:t>http://www.gov.cn/zhengce/content/2021-09/29/content_5639620.htm</w:t>
      </w:r>
      <w:r>
        <w:rPr>
          <w:rStyle w:val="18"/>
          <w:rFonts w:hint="eastAsia" w:ascii="方正仿宋_GBK" w:hAnsi="方正仿宋_GBK" w:eastAsia="方正仿宋_GBK" w:cs="方正仿宋_GBK"/>
          <w:sz w:val="32"/>
          <w:szCs w:val="32"/>
        </w:rPr>
        <w:fldChar w:fldCharType="end"/>
      </w:r>
    </w:p>
    <w:p>
      <w:pPr>
        <w:pStyle w:val="12"/>
        <w:widowControl/>
        <w:spacing w:before="0" w:beforeAutospacing="0" w:after="0" w:afterAutospacing="0"/>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r>
        <w:rPr>
          <w:rFonts w:hint="eastAsia" w:ascii="方正仿宋_GBK" w:hAnsi="方正仿宋_GBK" w:eastAsia="方正仿宋_GBK" w:cs="方正仿宋_GBK"/>
          <w:sz w:val="32"/>
          <w:szCs w:val="32"/>
        </w:rPr>
        <w:drawing>
          <wp:inline distT="0" distB="0" distL="0" distR="0">
            <wp:extent cx="5915025" cy="7686675"/>
            <wp:effectExtent l="19050" t="0" r="9525" b="0"/>
            <wp:docPr id="1" name="图片 4" descr="2023-01-04_15-2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2023-01-04_15-23-32"/>
                    <pic:cNvPicPr>
                      <a:picLocks noChangeAspect="1" noChangeArrowheads="1"/>
                    </pic:cNvPicPr>
                  </pic:nvPicPr>
                  <pic:blipFill>
                    <a:blip r:embed="rId6" cstate="print"/>
                    <a:srcRect/>
                    <a:stretch>
                      <a:fillRect/>
                    </a:stretch>
                  </pic:blipFill>
                  <pic:spPr>
                    <a:xfrm>
                      <a:off x="0" y="0"/>
                      <a:ext cx="5915025" cy="7686675"/>
                    </a:xfrm>
                    <a:prstGeom prst="rect">
                      <a:avLst/>
                    </a:prstGeom>
                    <a:noFill/>
                    <a:ln w="9525" cmpd="sng">
                      <a:noFill/>
                      <a:miter lim="800000"/>
                      <a:headEnd/>
                      <a:tailEnd/>
                    </a:ln>
                  </pic:spPr>
                </pic:pic>
              </a:graphicData>
            </a:graphic>
          </wp:inline>
        </w:drawing>
      </w:r>
    </w:p>
    <w:sectPr>
      <w:headerReference r:id="rId3" w:type="default"/>
      <w:footerReference r:id="rId4" w:type="default"/>
      <w:pgSz w:w="11906" w:h="16838"/>
      <w:pgMar w:top="2098" w:right="1474" w:bottom="1984" w:left="1587" w:header="851" w:footer="85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onHTYzAEAAJwDAAAOAAAAAAAAAAEAIAAAAB4BAABkcnMvZTJv&#10;RG9jLnhtbFBLBQYAAAAABgAGAFkBAABcBQAAAAA=&#10;">
              <v:fill on="f" focussize="0,0"/>
              <v:stroke on="f"/>
              <v:imagedata o:title=""/>
              <o:lock v:ext="edit" aspectratio="f"/>
              <v:textbox inset="0mm,0mm,0mm,0mm" style="mso-fit-shape-to-text:t;">
                <w:txbxContent>
                  <w:p>
                    <w:pPr>
                      <w:pStyle w:val="9"/>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ocumentProtection w:enforcement="0"/>
  <w:defaultTabStop w:val="420"/>
  <w:drawingGridHorizontalSpacing w:val="201"/>
  <w:drawingGridVerticalSpacing w:val="579"/>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kODU4NzhiODVhNmU1NDUyNzQzMjQ4MTI2M2NlNDkifQ=="/>
  </w:docVars>
  <w:rsids>
    <w:rsidRoot w:val="00AC72C5"/>
    <w:rsid w:val="002100C8"/>
    <w:rsid w:val="009F3BA4"/>
    <w:rsid w:val="029C6730"/>
    <w:rsid w:val="067508F8"/>
    <w:rsid w:val="1BE223E9"/>
    <w:rsid w:val="1BFF40D6"/>
    <w:rsid w:val="283F4A21"/>
    <w:rsid w:val="3A0E734D"/>
    <w:rsid w:val="3CE215A4"/>
    <w:rsid w:val="3F7305F1"/>
    <w:rsid w:val="40A4032B"/>
    <w:rsid w:val="4A827DE0"/>
    <w:rsid w:val="4E572B7A"/>
    <w:rsid w:val="4ECB50AA"/>
    <w:rsid w:val="506F199B"/>
    <w:rsid w:val="52E62C14"/>
    <w:rsid w:val="679ED16D"/>
    <w:rsid w:val="68E0382B"/>
    <w:rsid w:val="6EA66F84"/>
    <w:rsid w:val="7C8F59BA"/>
    <w:rsid w:val="7DE543E9"/>
    <w:rsid w:val="7FD7ACA6"/>
    <w:rsid w:val="D376C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Document Map"/>
    <w:basedOn w:val="1"/>
    <w:qFormat/>
    <w:uiPriority w:val="0"/>
    <w:pPr>
      <w:shd w:val="clear" w:color="auto" w:fill="000080"/>
    </w:pPr>
  </w:style>
  <w:style w:type="paragraph" w:styleId="3">
    <w:name w:val="Body Text 3"/>
    <w:basedOn w:val="1"/>
    <w:qFormat/>
    <w:uiPriority w:val="0"/>
    <w:pPr>
      <w:spacing w:after="120"/>
    </w:pPr>
    <w:rPr>
      <w:sz w:val="16"/>
      <w:szCs w:val="16"/>
    </w:rPr>
  </w:style>
  <w:style w:type="paragraph" w:styleId="4">
    <w:name w:val="Body Text"/>
    <w:basedOn w:val="1"/>
    <w:uiPriority w:val="0"/>
    <w:pPr>
      <w:spacing w:line="480" w:lineRule="atLeast"/>
    </w:pPr>
    <w:rPr>
      <w:rFonts w:ascii="宋体"/>
      <w:sz w:val="30"/>
    </w:rPr>
  </w:style>
  <w:style w:type="paragraph" w:styleId="5">
    <w:name w:val="Body Text Indent"/>
    <w:basedOn w:val="1"/>
    <w:uiPriority w:val="0"/>
    <w:pPr>
      <w:spacing w:after="120"/>
      <w:ind w:left="200" w:leftChars="200"/>
    </w:pPr>
  </w:style>
  <w:style w:type="paragraph" w:styleId="6">
    <w:name w:val="Plain Text"/>
    <w:basedOn w:val="1"/>
    <w:qFormat/>
    <w:uiPriority w:val="0"/>
    <w:rPr>
      <w:rFonts w:ascii="宋体"/>
      <w:szCs w:val="20"/>
    </w:rPr>
  </w:style>
  <w:style w:type="paragraph" w:styleId="7">
    <w:name w:val="Date"/>
    <w:basedOn w:val="1"/>
    <w:next w:val="1"/>
    <w:qFormat/>
    <w:uiPriority w:val="0"/>
    <w:pPr>
      <w:ind w:left="2500" w:leftChars="2500"/>
    </w:pPr>
    <w:rPr>
      <w:rFonts w:ascii="宋体"/>
      <w:sz w:val="30"/>
    </w:rPr>
  </w:style>
  <w:style w:type="paragraph" w:styleId="8">
    <w:name w:val="Balloon Text"/>
    <w:basedOn w:val="1"/>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2">
    <w:name w:val="Normal (Web)"/>
    <w:next w:val="10"/>
    <w:qFormat/>
    <w:uiPriority w:val="0"/>
    <w:pPr>
      <w:widowControl w:val="0"/>
      <w:spacing w:before="100" w:beforeAutospacing="1" w:after="100" w:afterAutospacing="1"/>
    </w:pPr>
    <w:rPr>
      <w:rFonts w:ascii="Times New Roman" w:hAnsi="Times New Roman" w:eastAsia="宋体" w:cs="Times New Roman"/>
      <w:sz w:val="24"/>
      <w:szCs w:val="24"/>
      <w:lang w:val="en-US" w:eastAsia="zh-CN" w:bidi="ar-SA"/>
    </w:rPr>
  </w:style>
  <w:style w:type="character" w:styleId="15">
    <w:name w:val="Strong"/>
    <w:basedOn w:val="14"/>
    <w:qFormat/>
    <w:uiPriority w:val="0"/>
    <w:rPr>
      <w:b/>
      <w:bCs/>
    </w:rPr>
  </w:style>
  <w:style w:type="character" w:styleId="16">
    <w:name w:val="page number"/>
    <w:basedOn w:val="14"/>
    <w:uiPriority w:val="0"/>
  </w:style>
  <w:style w:type="character" w:styleId="17">
    <w:name w:val="FollowedHyperlink"/>
    <w:basedOn w:val="14"/>
    <w:uiPriority w:val="0"/>
    <w:rPr>
      <w:color w:val="000080"/>
      <w:u w:val="single"/>
    </w:rPr>
  </w:style>
  <w:style w:type="character" w:styleId="18">
    <w:name w:val="Hyperlink"/>
    <w:basedOn w:val="14"/>
    <w:uiPriority w:val="0"/>
    <w:rPr>
      <w:color w:val="0000FF"/>
      <w:u w:val="single"/>
    </w:rPr>
  </w:style>
  <w:style w:type="character" w:customStyle="1" w:styleId="19">
    <w:name w:val="ca-31"/>
    <w:basedOn w:val="14"/>
    <w:uiPriority w:val="0"/>
    <w:rPr>
      <w:rFonts w:ascii="仿宋_GB2312" w:eastAsia="仿宋_GB2312"/>
      <w:sz w:val="32"/>
      <w:szCs w:val="32"/>
    </w:rPr>
  </w:style>
  <w:style w:type="character" w:customStyle="1" w:styleId="20">
    <w:name w:val="ca-61"/>
    <w:basedOn w:val="14"/>
    <w:qFormat/>
    <w:uiPriority w:val="0"/>
    <w:rPr>
      <w:rFonts w:ascii="Times New Roman" w:hAnsi="Times New Roman" w:cs="Times New Roman"/>
      <w:sz w:val="32"/>
      <w:szCs w:val="32"/>
      <w:lang w:bidi="ar-SA"/>
    </w:rPr>
  </w:style>
  <w:style w:type="paragraph" w:customStyle="1" w:styleId="21">
    <w:name w:val="Char1 Char Char Char Char Char Char Char Char Char Char Char Char Char Char Char Char Char Char Char Char Char Char Char Char Char Char Char Char Char Char"/>
    <w:basedOn w:val="1"/>
    <w:qFormat/>
    <w:uiPriority w:val="0"/>
  </w:style>
  <w:style w:type="paragraph" w:customStyle="1" w:styleId="22">
    <w:name w:val="pa-2"/>
    <w:basedOn w:val="1"/>
    <w:uiPriority w:val="0"/>
    <w:pPr>
      <w:widowControl/>
      <w:spacing w:line="360" w:lineRule="atLeast"/>
      <w:ind w:firstLine="200"/>
    </w:pPr>
    <w:rPr>
      <w:rFonts w:ascii="宋体" w:cs="宋体"/>
      <w:kern w:val="0"/>
      <w:sz w:val="24"/>
    </w:rPr>
  </w:style>
  <w:style w:type="paragraph" w:customStyle="1" w:styleId="23">
    <w:name w:val="Char Char Char Char Char Char1 Char"/>
    <w:basedOn w:val="1"/>
    <w:qFormat/>
    <w:uiPriority w:val="0"/>
    <w:pPr>
      <w:widowControl/>
      <w:spacing w:after="160" w:line="240" w:lineRule="exact"/>
      <w:jc w:val="left"/>
    </w:pPr>
    <w:rPr>
      <w:rFonts w:ascii="Calibri" w:hAnsi="Calibri"/>
      <w:szCs w:val="22"/>
    </w:rPr>
  </w:style>
  <w:style w:type="paragraph" w:customStyle="1" w:styleId="24">
    <w:name w:val="List Paragraph"/>
    <w:basedOn w:val="1"/>
    <w:qFormat/>
    <w:uiPriority w:val="0"/>
    <w:pPr>
      <w:ind w:firstLine="200" w:firstLineChars="200"/>
    </w:pPr>
    <w:rPr>
      <w:rFonts w:ascii="Calibri" w:hAnsi="Calibri"/>
      <w:szCs w:val="22"/>
    </w:rPr>
  </w:style>
  <w:style w:type="paragraph" w:customStyle="1" w:styleId="25">
    <w:name w:val=" Char1 Char Char Char Char Char Char Char Char Char Char Char Char Char Char Char Char Char Char1"/>
    <w:basedOn w:val="1"/>
    <w:qFormat/>
    <w:uiPriority w:val="0"/>
  </w:style>
  <w:style w:type="paragraph" w:customStyle="1" w:styleId="26">
    <w:name w:val="p0"/>
    <w:next w:val="1"/>
    <w:uiPriority w:val="0"/>
    <w:pPr>
      <w:jc w:val="both"/>
    </w:pPr>
    <w:rPr>
      <w:rFonts w:ascii="Times New Roman" w:hAnsi="Times New Roman" w:eastAsia="宋体" w:cs="宋体"/>
      <w:sz w:val="21"/>
      <w:szCs w:val="21"/>
      <w:lang w:val="en-US" w:eastAsia="zh-CN" w:bidi="ar-SA"/>
    </w:rPr>
  </w:style>
  <w:style w:type="paragraph" w:customStyle="1" w:styleId="27">
    <w:name w:val="_Style 3"/>
    <w:basedOn w:val="1"/>
    <w:uiPriority w:val="0"/>
    <w:rPr>
      <w:szCs w:val="20"/>
    </w:rPr>
  </w:style>
  <w:style w:type="paragraph" w:customStyle="1" w:styleId="28">
    <w:name w:val=" Char Char Char Char Char Char Char"/>
    <w:basedOn w:val="1"/>
    <w:uiPriority w:val="0"/>
    <w:pPr>
      <w:widowControl/>
      <w:spacing w:beforeLines="100" w:after="160" w:line="240" w:lineRule="exact"/>
      <w:jc w:val="left"/>
    </w:pPr>
  </w:style>
  <w:style w:type="paragraph" w:customStyle="1" w:styleId="29">
    <w:name w:val="Normal (Web)"/>
    <w:basedOn w:val="1"/>
    <w:uiPriority w:val="0"/>
    <w:pPr>
      <w:widowControl/>
      <w:spacing w:before="100" w:beforeAutospacing="1" w:after="100" w:afterAutospacing="1"/>
      <w:jc w:val="left"/>
    </w:pPr>
    <w:rPr>
      <w:rFonts w:ascii="宋体" w:cs="宋体"/>
      <w:kern w:val="0"/>
      <w:sz w:val="24"/>
    </w:rPr>
  </w:style>
  <w:style w:type="paragraph" w:customStyle="1" w:styleId="30">
    <w:name w:val="wenzi031"/>
    <w:basedOn w:val="1"/>
    <w:uiPriority w:val="0"/>
    <w:pPr>
      <w:widowControl/>
      <w:spacing w:line="368" w:lineRule="atLeast"/>
      <w:jc w:val="left"/>
    </w:pPr>
    <w:rPr>
      <w:rFonts w:ascii="宋体" w:cs="宋体"/>
      <w:color w:val="0071C0"/>
      <w:kern w:val="0"/>
      <w:sz w:val="23"/>
      <w:szCs w:val="23"/>
    </w:rPr>
  </w:style>
  <w:style w:type="paragraph" w:customStyle="1" w:styleId="31">
    <w:name w:val=" Char"/>
    <w:basedOn w:val="1"/>
    <w:uiPriority w:val="0"/>
  </w:style>
  <w:style w:type="paragraph" w:customStyle="1" w:styleId="32">
    <w:name w:val="样式4"/>
    <w:basedOn w:val="1"/>
    <w:uiPriority w:val="0"/>
    <w:pPr>
      <w:ind w:left="200" w:leftChars="200"/>
    </w:pPr>
    <w:rPr>
      <w:rFonts w:eastAsia="仿宋_GB2312"/>
      <w:sz w:val="32"/>
    </w:rPr>
  </w:style>
  <w:style w:type="paragraph" w:customStyle="1" w:styleId="33">
    <w:name w:val="正文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Char Char1 Char Char Char Char Char Char1 Char Char Char Char"/>
    <w:basedOn w:val="1"/>
    <w:uiPriority w:val="0"/>
  </w:style>
  <w:style w:type="paragraph" w:customStyle="1" w:styleId="35">
    <w:name w:val="段落文字样式正文首行缩进 + 首行缩进:  1 字符 + 首行缩进:  1.16 字符 + 首行缩进:  2 字符 Char"/>
    <w:basedOn w:val="1"/>
    <w:uiPriority w:val="0"/>
    <w:pPr>
      <w:spacing w:after="120" w:line="360" w:lineRule="auto"/>
      <w:ind w:firstLine="200" w:firstLineChars="200"/>
    </w:pPr>
    <w:rPr>
      <w:rFonts w:cs="宋体"/>
      <w:sz w:val="24"/>
      <w:szCs w:val="20"/>
    </w:rPr>
  </w:style>
  <w:style w:type="paragraph" w:customStyle="1" w:styleId="36">
    <w:name w:val="Char"/>
    <w:basedOn w:val="2"/>
    <w:next w:val="1"/>
    <w:uiPriority w:val="0"/>
    <w:pPr>
      <w:adjustRightInd w:val="0"/>
      <w:spacing w:line="436" w:lineRule="exact"/>
      <w:ind w:left="357"/>
      <w:jc w:val="left"/>
      <w:outlineLvl w:val="3"/>
    </w:pPr>
    <w:rPr>
      <w:rFonts w:ascii="Tahoma" w:hAnsi="Tahoma"/>
      <w:b/>
      <w:sz w:val="24"/>
    </w:rPr>
  </w:style>
  <w:style w:type="paragraph" w:customStyle="1" w:styleId="37">
    <w:name w:val="0"/>
    <w:basedOn w:val="1"/>
    <w:uiPriority w:val="0"/>
    <w:pPr>
      <w:widowControl/>
      <w:snapToGrid w:val="0"/>
      <w:spacing w:line="365" w:lineRule="atLeast"/>
      <w:ind w:left="1"/>
      <w:textAlignment w:val="bottom"/>
    </w:pPr>
    <w:rPr>
      <w:kern w:val="0"/>
      <w:sz w:val="20"/>
      <w:szCs w:val="20"/>
    </w:rPr>
  </w:style>
  <w:style w:type="paragraph" w:customStyle="1" w:styleId="38">
    <w:name w:val="Char Char Char Char Char Char Char Char Char Char Char Char Char Char Char Char Char Char Char Char Char Char"/>
    <w:basedOn w:val="1"/>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Pages>
  <Words>2077</Words>
  <Characters>2199</Characters>
  <Lines>17</Lines>
  <Paragraphs>4</Paragraphs>
  <TotalTime>0</TotalTime>
  <ScaleCrop>false</ScaleCrop>
  <LinksUpToDate>false</LinksUpToDate>
  <CharactersWithSpaces>2199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2023-01-12T03:32:00Z</dcterms:created>
  <dc:creator>湖南省公文传输系统</dc:creator>
  <cp:lastModifiedBy>燕娇</cp:lastModifiedBy>
  <cp:lastPrinted>2023-01-05T07:25:00Z</cp:lastPrinted>
  <dcterms:modified xsi:type="dcterms:W3CDTF">2024-08-28T08:21:10Z</dcterms:modified>
  <dc:title>湘潭市人民政府文件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KSOSaveFontToCloudKey">
    <vt:lpwstr>377667330_embed</vt:lpwstr>
  </property>
  <property fmtid="{D5CDD505-2E9C-101B-9397-08002B2CF9AE}" pid="4" name="ICV">
    <vt:lpwstr>13F5F79E53A94849B065D32FDC5AEDEF_13</vt:lpwstr>
  </property>
</Properties>
</file>