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2020年度</w:t>
      </w:r>
    </w:p>
    <w:p>
      <w:pPr>
        <w:pStyle w:val="12"/>
        <w:jc w:val="center"/>
        <w:rPr>
          <w:sz w:val="84"/>
          <w:szCs w:val="84"/>
        </w:rPr>
      </w:pPr>
      <w:r>
        <w:rPr>
          <w:rFonts w:hint="eastAsia"/>
          <w:sz w:val="84"/>
          <w:szCs w:val="84"/>
        </w:rPr>
        <w:t>湘乡市退役军人事务局部门决算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540" w:lineRule="exact"/>
        <w:jc w:val="center"/>
        <w:rPr>
          <w:sz w:val="56"/>
          <w:szCs w:val="56"/>
        </w:rPr>
      </w:pPr>
    </w:p>
    <w:p>
      <w:pPr>
        <w:pStyle w:val="12"/>
        <w:spacing w:line="500" w:lineRule="exact"/>
        <w:jc w:val="center"/>
        <w:rPr>
          <w:b/>
          <w:sz w:val="36"/>
          <w:szCs w:val="28"/>
        </w:rPr>
      </w:pPr>
    </w:p>
    <w:p>
      <w:pPr>
        <w:pStyle w:val="12"/>
        <w:spacing w:line="500" w:lineRule="exact"/>
        <w:jc w:val="center"/>
        <w:rPr>
          <w:b/>
          <w:sz w:val="36"/>
          <w:szCs w:val="28"/>
        </w:rPr>
      </w:pPr>
    </w:p>
    <w:p>
      <w:pPr>
        <w:pStyle w:val="12"/>
        <w:spacing w:line="500" w:lineRule="exact"/>
        <w:jc w:val="center"/>
        <w:rPr>
          <w:b/>
          <w:sz w:val="36"/>
          <w:szCs w:val="28"/>
        </w:rPr>
      </w:pPr>
      <w:r>
        <w:rPr>
          <w:rFonts w:hint="eastAsia"/>
          <w:b/>
          <w:sz w:val="36"/>
          <w:szCs w:val="28"/>
        </w:rPr>
        <w:t>目录</w:t>
      </w:r>
    </w:p>
    <w:p>
      <w:pPr>
        <w:pStyle w:val="12"/>
        <w:spacing w:line="500" w:lineRule="exact"/>
        <w:rPr>
          <w:rFonts w:ascii="仿宋_GB2312" w:hAnsi="仿宋_GB2312" w:cs="仿宋_GB2312"/>
          <w:b/>
          <w:sz w:val="28"/>
          <w:szCs w:val="28"/>
        </w:rPr>
      </w:pPr>
      <w:r>
        <w:rPr>
          <w:rFonts w:hint="eastAsia"/>
          <w:b/>
          <w:sz w:val="28"/>
          <w:szCs w:val="28"/>
        </w:rPr>
        <w:t>第一部分XX单位概况</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r>
        <w:rPr>
          <w:sz w:val="84"/>
          <w:szCs w:val="84"/>
        </w:rPr>
        <w:t xml:space="preserve"> </w:t>
      </w:r>
    </w:p>
    <w:p>
      <w:pPr>
        <w:pStyle w:val="12"/>
        <w:jc w:val="center"/>
        <w:rPr>
          <w:sz w:val="84"/>
          <w:szCs w:val="84"/>
        </w:rPr>
      </w:pPr>
    </w:p>
    <w:p>
      <w:pPr>
        <w:pStyle w:val="12"/>
        <w:jc w:val="center"/>
        <w:rPr>
          <w:sz w:val="84"/>
          <w:szCs w:val="84"/>
        </w:rPr>
      </w:pPr>
      <w:r>
        <w:rPr>
          <w:rFonts w:hint="eastAsia"/>
          <w:sz w:val="84"/>
          <w:szCs w:val="84"/>
        </w:rPr>
        <w:t>湘乡市退役军人事务局单位概况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jc w:val="left"/>
        <w:rPr>
          <w:rFonts w:asciiTheme="minorEastAsia" w:hAnsiTheme="minorEastAsia"/>
          <w:sz w:val="32"/>
          <w:szCs w:val="32"/>
        </w:rPr>
      </w:pPr>
      <w:r>
        <w:rPr>
          <w:rFonts w:hint="eastAsia" w:asciiTheme="minorEastAsia" w:hAnsiTheme="minorEastAsia"/>
          <w:sz w:val="32"/>
          <w:szCs w:val="32"/>
        </w:rPr>
        <w:t>(一)贯彻执行党和国家关于退役军人思想政治、管理保障和安置优抚等工作政策法规，起草有关规范性文件，拟定全市退役军人事务发展规划并组织实施;褒扬彰显退役军人为党、国家和人民牺牲奉献的精神风范和价值导向。</w:t>
      </w:r>
    </w:p>
    <w:p>
      <w:pPr>
        <w:jc w:val="left"/>
        <w:rPr>
          <w:rFonts w:asciiTheme="minorEastAsia" w:hAnsiTheme="minorEastAsia"/>
          <w:sz w:val="32"/>
          <w:szCs w:val="32"/>
        </w:rPr>
      </w:pPr>
      <w:r>
        <w:rPr>
          <w:rFonts w:hint="eastAsia" w:asciiTheme="minorEastAsia" w:hAnsiTheme="minorEastAsia"/>
          <w:sz w:val="32"/>
          <w:szCs w:val="32"/>
        </w:rPr>
        <w:t>　　(二)负责全市军队转业干部、复员干部、离休退休干部、退役士兵和无军籍退休退职职工的移交安置工作和自主择业、就业退役军人服务管理工作。</w:t>
      </w:r>
    </w:p>
    <w:p>
      <w:pPr>
        <w:jc w:val="left"/>
        <w:rPr>
          <w:rFonts w:asciiTheme="minorEastAsia" w:hAnsiTheme="minorEastAsia"/>
          <w:sz w:val="32"/>
          <w:szCs w:val="32"/>
        </w:rPr>
      </w:pPr>
      <w:r>
        <w:rPr>
          <w:rFonts w:hint="eastAsia" w:asciiTheme="minorEastAsia" w:hAnsiTheme="minorEastAsia"/>
          <w:sz w:val="32"/>
          <w:szCs w:val="32"/>
        </w:rPr>
        <w:t>　　(三)组织全市退役军人教育培训工作，协调扶持退役军人和随军随调家属就业创业。</w:t>
      </w:r>
    </w:p>
    <w:p>
      <w:pPr>
        <w:jc w:val="left"/>
        <w:rPr>
          <w:rFonts w:asciiTheme="minorEastAsia" w:hAnsiTheme="minorEastAsia"/>
          <w:sz w:val="32"/>
          <w:szCs w:val="32"/>
        </w:rPr>
      </w:pPr>
      <w:r>
        <w:rPr>
          <w:rFonts w:hint="eastAsia" w:asciiTheme="minorEastAsia" w:hAnsiTheme="minorEastAsia"/>
          <w:sz w:val="32"/>
          <w:szCs w:val="32"/>
        </w:rPr>
        <w:t xml:space="preserve">    (四)贯彻落实国家关于退役军人的特殊保障政策，会同有关部门制定相关政策并组织实施。</w:t>
      </w:r>
    </w:p>
    <w:p>
      <w:pPr>
        <w:jc w:val="left"/>
        <w:rPr>
          <w:rFonts w:asciiTheme="minorEastAsia" w:hAnsiTheme="minorEastAsia"/>
          <w:sz w:val="32"/>
          <w:szCs w:val="32"/>
        </w:rPr>
      </w:pPr>
      <w:r>
        <w:rPr>
          <w:rFonts w:hint="eastAsia" w:asciiTheme="minorEastAsia" w:hAnsiTheme="minorEastAsia"/>
          <w:sz w:val="32"/>
          <w:szCs w:val="32"/>
        </w:rPr>
        <w:t xml:space="preserve">    (五)组织协调落实全市移交地方的退休军人、符合条件的其他退役军人和无军籍退休退职职工的住房保障工作以及退役军人医疗保障、社会保险等待遇保障工作。</w:t>
      </w:r>
    </w:p>
    <w:p>
      <w:pPr>
        <w:jc w:val="left"/>
        <w:rPr>
          <w:rFonts w:asciiTheme="minorEastAsia" w:hAnsiTheme="minorEastAsia"/>
          <w:sz w:val="32"/>
          <w:szCs w:val="32"/>
        </w:rPr>
      </w:pPr>
      <w:r>
        <w:rPr>
          <w:rFonts w:hint="eastAsia" w:asciiTheme="minorEastAsia" w:hAnsiTheme="minorEastAsia"/>
          <w:sz w:val="32"/>
          <w:szCs w:val="32"/>
        </w:rPr>
        <w:t xml:space="preserve">    (六)负责全市伤病残退役军人服务管理和抚恤工作，贯彻落实有关退役军人医疗、疗养、养老等机构的规划政策。承担全市不适宜继续服役的伤病残军人相关工作。</w:t>
      </w:r>
    </w:p>
    <w:p>
      <w:pPr>
        <w:jc w:val="left"/>
        <w:rPr>
          <w:rFonts w:asciiTheme="minorEastAsia" w:hAnsiTheme="minorEastAsia"/>
          <w:sz w:val="32"/>
          <w:szCs w:val="32"/>
        </w:rPr>
      </w:pPr>
      <w:r>
        <w:rPr>
          <w:rFonts w:hint="eastAsia" w:asciiTheme="minorEastAsia" w:hAnsiTheme="minorEastAsia"/>
          <w:sz w:val="32"/>
          <w:szCs w:val="32"/>
        </w:rPr>
        <w:t xml:space="preserve">    (七)组织指导全市拥军优属工作。负责全市现役军人、退役军人、军队文职人员和军属优待、抚恤等工作;贯彻执行国家关于国民党抗战老兵等有关人员优待政策。</w:t>
      </w:r>
    </w:p>
    <w:p>
      <w:pPr>
        <w:jc w:val="left"/>
        <w:rPr>
          <w:rFonts w:asciiTheme="minorEastAsia" w:hAnsiTheme="minorEastAsia"/>
          <w:sz w:val="32"/>
          <w:szCs w:val="32"/>
        </w:rPr>
      </w:pPr>
      <w:r>
        <w:rPr>
          <w:rFonts w:hint="eastAsia" w:asciiTheme="minorEastAsia" w:hAnsiTheme="minorEastAsia"/>
          <w:sz w:val="32"/>
          <w:szCs w:val="32"/>
        </w:rPr>
        <w:t xml:space="preserve">    (八)负责全市烈士及退役军人荣誉奖励、军人公墓管理维护、纪念活动等工作，依法承担英雄烈士保护相关工作，总结表彰和宣扬退役军人、退役军人工作单位和个人先进典型事迹。</w:t>
      </w:r>
    </w:p>
    <w:p>
      <w:pPr>
        <w:jc w:val="left"/>
        <w:rPr>
          <w:rFonts w:asciiTheme="minorEastAsia" w:hAnsiTheme="minorEastAsia"/>
          <w:sz w:val="32"/>
          <w:szCs w:val="32"/>
        </w:rPr>
      </w:pPr>
      <w:r>
        <w:rPr>
          <w:rFonts w:hint="eastAsia" w:asciiTheme="minorEastAsia" w:hAnsiTheme="minorEastAsia"/>
          <w:sz w:val="32"/>
          <w:szCs w:val="32"/>
        </w:rPr>
        <w:t xml:space="preserve">    (九)指导并监督检查退役军人相关法律法规和政策措施的落实;开展全市退役军人权益维护和有关人员的帮扶援助工作。</w:t>
      </w:r>
    </w:p>
    <w:p>
      <w:pPr>
        <w:jc w:val="left"/>
        <w:rPr>
          <w:rFonts w:asciiTheme="minorEastAsia" w:hAnsiTheme="minorEastAsia"/>
          <w:sz w:val="32"/>
          <w:szCs w:val="32"/>
        </w:rPr>
      </w:pPr>
      <w:r>
        <w:rPr>
          <w:rFonts w:hint="eastAsia" w:asciiTheme="minorEastAsia" w:hAnsiTheme="minorEastAsia"/>
          <w:sz w:val="32"/>
          <w:szCs w:val="32"/>
        </w:rPr>
        <w:t>　　(十)完成市委、市政府交办的其他任务。</w:t>
      </w:r>
    </w:p>
    <w:p>
      <w:pPr>
        <w:jc w:val="left"/>
        <w:rPr>
          <w:rFonts w:asciiTheme="minorEastAsia" w:hAnsiTheme="minorEastAsia"/>
          <w:sz w:val="32"/>
          <w:szCs w:val="32"/>
        </w:rPr>
      </w:pPr>
      <w:r>
        <w:rPr>
          <w:rFonts w:hint="eastAsia" w:asciiTheme="minorEastAsia" w:hAnsiTheme="minorEastAsia"/>
          <w:sz w:val="32"/>
          <w:szCs w:val="32"/>
        </w:rPr>
        <w:t xml:space="preserve">    (十一)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（一）内设机构设置。湘乡市退役军人事务局内设机构包括：办公室、优抚股、安置股、法规股、服务中心、计财股。非独立核算二级机构东台山烈士纪念园、军休所。</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（二）决算单位构成。湘乡市退役军人事务局</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20年部门决算汇总公开单位构成包括：湘乡市退役军人事务局本级。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3768" w:type="dxa"/>
        <w:tblInd w:w="93" w:type="dxa"/>
        <w:tblLayout w:type="fixed"/>
        <w:tblCellMar>
          <w:top w:w="0" w:type="dxa"/>
          <w:left w:w="108" w:type="dxa"/>
          <w:bottom w:w="0" w:type="dxa"/>
          <w:right w:w="108" w:type="dxa"/>
        </w:tblCellMar>
      </w:tblPr>
      <w:tblGrid>
        <w:gridCol w:w="4124"/>
        <w:gridCol w:w="448"/>
        <w:gridCol w:w="631"/>
        <w:gridCol w:w="599"/>
        <w:gridCol w:w="98"/>
        <w:gridCol w:w="236"/>
        <w:gridCol w:w="3467"/>
        <w:gridCol w:w="845"/>
        <w:gridCol w:w="1460"/>
        <w:gridCol w:w="657"/>
        <w:gridCol w:w="1203"/>
      </w:tblGrid>
      <w:tr>
        <w:tblPrEx>
          <w:tblCellMar>
            <w:top w:w="0" w:type="dxa"/>
            <w:left w:w="108" w:type="dxa"/>
            <w:bottom w:w="0" w:type="dxa"/>
            <w:right w:w="108" w:type="dxa"/>
          </w:tblCellMar>
        </w:tblPrEx>
        <w:trPr>
          <w:trHeight w:val="360" w:hRule="atLeast"/>
        </w:trPr>
        <w:tc>
          <w:tcPr>
            <w:tcW w:w="13768"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湘乡市退役军人事务局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963"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3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32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28"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12609.96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2.00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82.19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13058.25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4.57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5.75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51</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52</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53</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rPr>
              <w:t>9.20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54</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55</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二十六、抗疫特别国债安排的支出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56</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12692.15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13079.77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58</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691.73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59</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304.11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13383.88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60</w:t>
            </w:r>
          </w:p>
        </w:tc>
        <w:tc>
          <w:tcPr>
            <w:tcW w:w="332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rPr>
              <w:t>13383.88</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1020" w:hRule="atLeast"/>
        </w:trPr>
        <w:tc>
          <w:tcPr>
            <w:tcW w:w="13768"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4740" w:type="dxa"/>
        <w:tblInd w:w="0" w:type="dxa"/>
        <w:tblLayout w:type="fixed"/>
        <w:tblCellMar>
          <w:top w:w="0" w:type="dxa"/>
          <w:left w:w="0" w:type="dxa"/>
          <w:bottom w:w="0" w:type="dxa"/>
          <w:right w:w="0" w:type="dxa"/>
        </w:tblCellMar>
      </w:tblPr>
      <w:tblGrid>
        <w:gridCol w:w="1504"/>
        <w:gridCol w:w="684"/>
        <w:gridCol w:w="2580"/>
        <w:gridCol w:w="840"/>
        <w:gridCol w:w="1368"/>
        <w:gridCol w:w="1558"/>
        <w:gridCol w:w="1558"/>
        <w:gridCol w:w="1558"/>
        <w:gridCol w:w="1560"/>
        <w:gridCol w:w="1530"/>
      </w:tblGrid>
      <w:tr>
        <w:tblPrEx>
          <w:tblCellMar>
            <w:top w:w="0" w:type="dxa"/>
            <w:left w:w="0" w:type="dxa"/>
            <w:bottom w:w="0" w:type="dxa"/>
            <w:right w:w="0" w:type="dxa"/>
          </w:tblCellMar>
        </w:tblPrEx>
        <w:trPr>
          <w:trHeight w:val="435" w:hRule="atLeast"/>
        </w:trPr>
        <w:tc>
          <w:tcPr>
            <w:tcW w:w="1474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6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21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cs="宋体"/>
                <w:color w:val="000000"/>
                <w:sz w:val="20"/>
                <w:szCs w:val="20"/>
              </w:rPr>
            </w:pPr>
            <w:r>
              <w:rPr>
                <w:rFonts w:hint="eastAsia"/>
                <w:color w:val="000000"/>
                <w:sz w:val="20"/>
                <w:szCs w:val="20"/>
              </w:rPr>
              <w:t>部门：湘乡市退役军人事务局</w:t>
            </w:r>
          </w:p>
        </w:tc>
        <w:tc>
          <w:tcPr>
            <w:tcW w:w="25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5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8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218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5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18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8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8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5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5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7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12692.15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12609.96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b/>
                <w:color w:val="000000"/>
                <w:sz w:val="22"/>
                <w:szCs w:val="24"/>
              </w:rPr>
            </w:pPr>
            <w:r>
              <w:rPr>
                <w:rFonts w:ascii="Arial" w:hAnsi="Arial"/>
                <w:color w:val="000000"/>
                <w:sz w:val="20"/>
                <w:szCs w:val="24"/>
              </w:rPr>
              <w:t xml:space="preserve">82.19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公共安全支出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20402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公安</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2040201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12668.63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12597.64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行政事业单位养老支出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9.13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9.13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2080505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机关事业单位基本养老保险缴费支出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9.13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9.13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抚恤</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8995.04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8924.05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2080804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优抚事业单位支出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139.00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139.00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2080805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义务兵优待</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7411.24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7340.25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70.99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其他优抚支出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1444.80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1444.80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退役安置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2509.03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2509.03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972.60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972.60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军队移交政府的离退休人员安置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19.00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19.00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2080903</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军队移交政府离退休干部管理机构</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106.00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106.00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退役士兵管理教育</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76.88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76.88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2080905</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军队转业干部安置</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316.00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316.00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2080999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其他退役安置支出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1018.55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1018.55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20828</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退役军人管理事务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966.26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966.26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2082801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358.46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358.46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2082802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一般行政管理事务</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69.20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69.20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2082804</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拥军优属</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12.00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12.00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2082899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其他退役军人事务管理支出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526.60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526.60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20830</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财政代缴社会保险费支出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171.31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171.31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2083099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财政代缴其他社会保险费支出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171.31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171.31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其他社会保障和就业支出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17.85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17.85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2089901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其他社会保障和就业支出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17.85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17.85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210</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卫生健康支出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21011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行政事业单位医疗</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2101101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行政单位医疗</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4.57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住房保障支出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22102</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住房改革支出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2210201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住房公积金</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5.75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22999</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r>
      <w:tr>
        <w:tblPrEx>
          <w:tblCellMar>
            <w:top w:w="0" w:type="dxa"/>
            <w:left w:w="0" w:type="dxa"/>
            <w:bottom w:w="0" w:type="dxa"/>
            <w:right w:w="0" w:type="dxa"/>
          </w:tblCellMar>
        </w:tblPrEx>
        <w:trPr>
          <w:trHeight w:val="450" w:hRule="atLeast"/>
        </w:trPr>
        <w:tc>
          <w:tcPr>
            <w:tcW w:w="21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2299901</w:t>
            </w:r>
          </w:p>
        </w:tc>
        <w:tc>
          <w:tcPr>
            <w:tcW w:w="25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jc w:val="left"/>
              <w:rPr>
                <w:rFonts w:ascii="ËÎÌå" w:hAnsi="ËÎÌå" w:eastAsia="ËÎÌå"/>
                <w:color w:val="000000"/>
                <w:sz w:val="22"/>
                <w:szCs w:val="24"/>
              </w:rPr>
            </w:pPr>
            <w:r>
              <w:rPr>
                <w:rFonts w:ascii="ËÎÌå" w:hAnsi="ËÎÌå" w:eastAsia="ËÎÌå"/>
                <w:color w:val="000000"/>
                <w:sz w:val="22"/>
                <w:szCs w:val="24"/>
              </w:rPr>
              <w:t xml:space="preserve">  其他支出</w:t>
            </w:r>
          </w:p>
        </w:tc>
        <w:tc>
          <w:tcPr>
            <w:tcW w:w="8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c>
          <w:tcPr>
            <w:tcW w:w="13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0.00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pPr>
              <w:jc w:val="right"/>
              <w:rPr>
                <w:rFonts w:ascii="ËÎÌå" w:hAnsi="ËÎÌå" w:eastAsia="ËÎÌå"/>
                <w:color w:val="000000"/>
                <w:sz w:val="22"/>
                <w:szCs w:val="24"/>
              </w:rPr>
            </w:pPr>
            <w:r>
              <w:rPr>
                <w:rFonts w:ascii="Arial" w:hAnsi="Arial"/>
                <w:color w:val="000000"/>
                <w:sz w:val="20"/>
                <w:szCs w:val="24"/>
              </w:rPr>
              <w:t xml:space="preserve">11.20 </w:t>
            </w:r>
          </w:p>
        </w:tc>
      </w:tr>
      <w:tr>
        <w:tblPrEx>
          <w:tblCellMar>
            <w:top w:w="0" w:type="dxa"/>
            <w:left w:w="0" w:type="dxa"/>
            <w:bottom w:w="0" w:type="dxa"/>
            <w:right w:w="0" w:type="dxa"/>
          </w:tblCellMar>
        </w:tblPrEx>
        <w:trPr>
          <w:trHeight w:val="615" w:hRule="atLeast"/>
        </w:trPr>
        <w:tc>
          <w:tcPr>
            <w:tcW w:w="1474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8"/>
        <w:tblW w:w="13183" w:type="dxa"/>
        <w:tblInd w:w="93" w:type="dxa"/>
        <w:tblLayout w:type="fixed"/>
        <w:tblCellMar>
          <w:top w:w="0" w:type="dxa"/>
          <w:left w:w="108" w:type="dxa"/>
          <w:bottom w:w="0" w:type="dxa"/>
          <w:right w:w="108" w:type="dxa"/>
        </w:tblCellMar>
      </w:tblPr>
      <w:tblGrid>
        <w:gridCol w:w="1492"/>
        <w:gridCol w:w="240"/>
        <w:gridCol w:w="2436"/>
        <w:gridCol w:w="1212"/>
        <w:gridCol w:w="1236"/>
        <w:gridCol w:w="1200"/>
        <w:gridCol w:w="1380"/>
        <w:gridCol w:w="1679"/>
        <w:gridCol w:w="2308"/>
      </w:tblGrid>
      <w:tr>
        <w:tblPrEx>
          <w:tblCellMar>
            <w:top w:w="0" w:type="dxa"/>
            <w:left w:w="108" w:type="dxa"/>
            <w:bottom w:w="0" w:type="dxa"/>
            <w:right w:w="108" w:type="dxa"/>
          </w:tblCellMar>
        </w:tblPrEx>
        <w:trPr>
          <w:trHeight w:val="552"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4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768" w:hRule="atLeast"/>
        </w:trPr>
        <w:tc>
          <w:tcPr>
            <w:tcW w:w="149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部门：湘乡市退役军人事务局</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73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43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2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1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13079.77　</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348.35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12731.42　</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204</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公共安全支出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20402</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公安</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2040201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社会保障和就业支出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13058.25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328.83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12729.42</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20805</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行政事业单位养老支出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2080505</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机关事业单位基本养老保险缴费支出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20808</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抚恤</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8985.54</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8985.54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2080804</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优抚事业单位支出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139.00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139.00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2080805</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义务兵优待</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7401.74</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7401.74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2080899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其他优抚支出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1444.80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1444.80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退役安置</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2836.84</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2836.84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退役士兵安置</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972.60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972.60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2080902</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军队移交政府的离退休人员安置</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332.41</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332.41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2080903</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军队移交政府离退休干部管理机构</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106.00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106.00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2080904</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退役士兵管理教育</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76.88</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76.88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2080905</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军队转业干部安置</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316.00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316.00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2080999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其他退役安置支出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1032.95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1032.95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20828</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退役军人管理事务</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1037.57</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319.69</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717.88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2082801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319.69</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319.69</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2082802</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一般行政管理事务</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69.20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69.20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2082804</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拥军优属</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12.00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12.00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2082899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其他退役军人事务管理支出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636.68</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636.68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20830</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财政代缴社会保险费支出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171.31</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171.31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2083099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财政代缴其他社会保险费支出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171.31</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171.31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其他社会保障和就业支出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17.85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17.85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2089901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其他社会保障和就业支出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17.85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0.00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17.85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210</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卫生健康支出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21011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行政事业单位医疗</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2101101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行政单位医疗</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住房保障支出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22102</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住房改革支出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2210201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住房公积金</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其他支出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22999</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其他支出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732" w:type="dxa"/>
            <w:gridSpan w:val="2"/>
            <w:tcBorders>
              <w:top w:val="single" w:color="auto" w:sz="4" w:space="0"/>
              <w:left w:val="single" w:color="auto" w:sz="4" w:space="0"/>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2299901</w:t>
            </w:r>
          </w:p>
        </w:tc>
        <w:tc>
          <w:tcPr>
            <w:tcW w:w="2436" w:type="dxa"/>
            <w:tcBorders>
              <w:top w:val="nil"/>
              <w:left w:val="nil"/>
              <w:bottom w:val="single" w:color="auto" w:sz="4" w:space="0"/>
              <w:right w:val="single" w:color="auto" w:sz="4" w:space="0"/>
            </w:tcBorders>
            <w:shd w:val="clear" w:color="000000" w:fill="FFFFFF"/>
            <w:noWrap/>
          </w:tcPr>
          <w:p>
            <w:pPr>
              <w:jc w:val="left"/>
              <w:rPr>
                <w:rFonts w:ascii="ËÎÌå" w:hAnsi="ËÎÌå" w:eastAsia="ËÎÌå"/>
                <w:color w:val="000000"/>
                <w:sz w:val="22"/>
                <w:szCs w:val="24"/>
              </w:rPr>
            </w:pPr>
            <w:r>
              <w:rPr>
                <w:rFonts w:ascii="ËÎÌå" w:hAnsi="ËÎÌå" w:eastAsia="ËÎÌå"/>
                <w:color w:val="000000"/>
                <w:sz w:val="22"/>
                <w:szCs w:val="24"/>
              </w:rPr>
              <w:t xml:space="preserve">  其他支出</w:t>
            </w:r>
          </w:p>
        </w:tc>
        <w:tc>
          <w:tcPr>
            <w:tcW w:w="1212"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36" w:type="dxa"/>
            <w:tcBorders>
              <w:top w:val="nil"/>
              <w:left w:val="nil"/>
              <w:bottom w:val="single" w:color="auto" w:sz="4" w:space="0"/>
              <w:right w:val="single" w:color="auto" w:sz="4" w:space="0"/>
            </w:tcBorders>
            <w:shd w:val="clear" w:color="auto" w:fill="auto"/>
            <w:noWrap/>
          </w:tcPr>
          <w:p>
            <w:pPr>
              <w:jc w:val="right"/>
              <w:rPr>
                <w:rFonts w:ascii="ËÎÌå" w:hAnsi="ËÎÌå" w:eastAsia="ËÎÌå"/>
                <w:color w:val="000000"/>
                <w:sz w:val="22"/>
                <w:szCs w:val="24"/>
              </w:rPr>
            </w:pPr>
            <w:r>
              <w:rPr>
                <w:rFonts w:hint="eastAsia" w:ascii="ËÎÌå" w:hAnsi="ËÎÌå" w:eastAsia="ËÎÌå"/>
                <w:color w:val="000000"/>
                <w:sz w:val="22"/>
                <w:szCs w:val="24"/>
              </w:rPr>
              <w:t>9.20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0.00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376"/>
        <w:gridCol w:w="655"/>
        <w:gridCol w:w="1205"/>
        <w:gridCol w:w="369"/>
        <w:gridCol w:w="2915"/>
        <w:gridCol w:w="632"/>
        <w:gridCol w:w="435"/>
        <w:gridCol w:w="1573"/>
        <w:gridCol w:w="1394"/>
        <w:gridCol w:w="1394"/>
        <w:gridCol w:w="1573"/>
      </w:tblGrid>
      <w:tr>
        <w:tblPrEx>
          <w:tblCellMar>
            <w:top w:w="0" w:type="dxa"/>
            <w:left w:w="108" w:type="dxa"/>
            <w:bottom w:w="0" w:type="dxa"/>
            <w:right w:w="108" w:type="dxa"/>
          </w:tblCellMar>
        </w:tblPrEx>
        <w:trPr>
          <w:trHeight w:val="156" w:hRule="atLeast"/>
        </w:trPr>
        <w:tc>
          <w:tcPr>
            <w:tcW w:w="337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65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90" w:hRule="atLeast"/>
        </w:trPr>
        <w:tc>
          <w:tcPr>
            <w:tcW w:w="337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37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部门：湘乡市退役军人事务局</w:t>
            </w:r>
          </w:p>
        </w:tc>
        <w:tc>
          <w:tcPr>
            <w:tcW w:w="6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3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12609.96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2.00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2.00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12996.76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12996.76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二十六、抗疫特别国债安排的支出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12609.96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13009.08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13009.08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681.21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282.09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282.09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29</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681.21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30</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31</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8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3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32</w:t>
            </w:r>
          </w:p>
        </w:tc>
        <w:tc>
          <w:tcPr>
            <w:tcW w:w="120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13291.17　</w:t>
            </w:r>
          </w:p>
        </w:tc>
        <w:tc>
          <w:tcPr>
            <w:tcW w:w="328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13291.17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13291.17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4008"/>
        <w:gridCol w:w="2519"/>
        <w:gridCol w:w="3492"/>
        <w:gridCol w:w="3000"/>
      </w:tblGrid>
      <w:tr>
        <w:tblPrEx>
          <w:tblCellMar>
            <w:top w:w="0" w:type="dxa"/>
            <w:left w:w="108" w:type="dxa"/>
            <w:bottom w:w="0" w:type="dxa"/>
            <w:right w:w="108" w:type="dxa"/>
          </w:tblCellMar>
        </w:tblPrEx>
        <w:trPr>
          <w:trHeight w:val="405" w:hRule="atLeast"/>
          <w:jc w:val="center"/>
        </w:trPr>
        <w:tc>
          <w:tcPr>
            <w:tcW w:w="520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011"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0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1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0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1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0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1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2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1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2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19"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13009.08</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339.15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12669.93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204</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公共安全支出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20402</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公安</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2040201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2.00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社会保障和就业支出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12996.76</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328.83</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12667.93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20805</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行政事业单位养老支出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ascii="ËÎÌå" w:hAnsi="ËÎÌå" w:eastAsia="ËÎÌå"/>
                <w:color w:val="000000"/>
                <w:sz w:val="22"/>
                <w:szCs w:val="24"/>
              </w:rPr>
              <w:t>9</w:t>
            </w:r>
            <w:r>
              <w:rPr>
                <w:rFonts w:hint="eastAsia" w:ascii="ËÎÌå" w:hAnsi="ËÎÌå" w:eastAsia="宋体"/>
                <w:color w:val="000000"/>
                <w:sz w:val="22"/>
                <w:szCs w:val="24"/>
              </w:rPr>
              <w:t>.13</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2080505</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机关事业单位基本养老保险缴费支出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9.13</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ascii="ËÎÌå" w:hAnsi="ËÎÌå" w:eastAsia="ËÎÌå"/>
                <w:color w:val="000000"/>
                <w:sz w:val="22"/>
                <w:szCs w:val="24"/>
              </w:rPr>
              <w:t>9</w:t>
            </w:r>
            <w:r>
              <w:rPr>
                <w:rFonts w:hint="eastAsia" w:ascii="ËÎÌå" w:hAnsi="ËÎÌå" w:eastAsia="宋体"/>
                <w:color w:val="000000"/>
                <w:sz w:val="22"/>
                <w:szCs w:val="24"/>
              </w:rPr>
              <w:t>.13</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20808</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抚恤</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8924.05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8924.05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2080804</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优抚事业单位支出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139.00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139.00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2080805</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义务兵优待</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7340.25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7340.25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2080899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其他优抚支出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1444.80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1444.80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退役安置</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2836.84</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2836.84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退役士兵安置</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972.60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972.60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2080902</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军队移交政府的离退休人员安置</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332.41</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332.41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2080903</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军队移交政府离退休干部管理机构</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106.00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106.00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2080904</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退役士兵管理教育</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76.88</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76.88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2080905</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军队转业干部安置</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316.00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316.00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2080999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其他退役安置支出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1032.95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1032.95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20828</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退役军人管理事务</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1037.57</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319.69</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717.88</w:t>
            </w:r>
          </w:p>
        </w:tc>
      </w:tr>
      <w:tr>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2082801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行政运行</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319.69</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319.69</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2082802</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一般行政管理事务</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69.20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69.20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2082804</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拥军优属</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12.00</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2082899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其他退役军人事务管理支出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636.68</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636.68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20830</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财政代缴社会保险费支出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171.31</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171.31</w:t>
            </w:r>
          </w:p>
        </w:tc>
      </w:tr>
      <w:tr>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2083099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财政代缴其他社会保险费支出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171.31</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171.31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20899</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其他社会保障和就业支出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17.85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17.85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2089901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其他社会保障和就业支出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17.85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17.85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210</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卫生健康支出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4.57</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21011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行政事业单位医疗</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4.57</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2101101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行政单位医疗</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4.57</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4.57</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221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住房保障支出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5.75</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22102</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住房改革支出</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5.75</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2210201</w:t>
            </w:r>
          </w:p>
        </w:tc>
        <w:tc>
          <w:tcPr>
            <w:tcW w:w="4008" w:type="dxa"/>
            <w:tcBorders>
              <w:top w:val="nil"/>
              <w:left w:val="nil"/>
              <w:bottom w:val="single" w:color="auto" w:sz="4" w:space="0"/>
              <w:right w:val="single" w:color="auto" w:sz="4" w:space="0"/>
            </w:tcBorders>
            <w:shd w:val="clear" w:color="auto" w:fill="auto"/>
          </w:tcPr>
          <w:p>
            <w:pPr>
              <w:jc w:val="left"/>
              <w:rPr>
                <w:rFonts w:ascii="ËÎÌå" w:hAnsi="ËÎÌå" w:eastAsia="ËÎÌå"/>
                <w:color w:val="000000"/>
                <w:sz w:val="22"/>
                <w:szCs w:val="24"/>
              </w:rPr>
            </w:pPr>
            <w:r>
              <w:rPr>
                <w:rFonts w:ascii="ËÎÌå" w:hAnsi="ËÎÌå" w:eastAsia="ËÎÌå"/>
                <w:color w:val="000000"/>
                <w:sz w:val="22"/>
                <w:szCs w:val="24"/>
              </w:rPr>
              <w:t xml:space="preserve">  住房公积金</w:t>
            </w:r>
          </w:p>
        </w:tc>
        <w:tc>
          <w:tcPr>
            <w:tcW w:w="2519" w:type="dxa"/>
            <w:tcBorders>
              <w:top w:val="nil"/>
              <w:left w:val="nil"/>
              <w:bottom w:val="single" w:color="auto" w:sz="4" w:space="0"/>
              <w:right w:val="single" w:color="auto" w:sz="4" w:space="0"/>
            </w:tcBorders>
            <w:shd w:val="clear" w:color="auto" w:fill="auto"/>
          </w:tcPr>
          <w:p>
            <w:pPr>
              <w:jc w:val="right"/>
              <w:rPr>
                <w:rFonts w:ascii="ËÎÌå" w:hAnsi="ËÎÌå" w:eastAsia="ËÎÌå"/>
                <w:color w:val="000000"/>
                <w:sz w:val="22"/>
                <w:szCs w:val="24"/>
              </w:rPr>
            </w:pPr>
            <w:r>
              <w:rPr>
                <w:rFonts w:hint="eastAsia" w:ascii="ËÎÌå" w:hAnsi="ËÎÌå" w:eastAsia="ËÎÌå"/>
                <w:color w:val="000000"/>
                <w:sz w:val="22"/>
                <w:szCs w:val="24"/>
              </w:rPr>
              <w:t>5.75</w:t>
            </w:r>
          </w:p>
        </w:tc>
        <w:tc>
          <w:tcPr>
            <w:tcW w:w="3492" w:type="dxa"/>
            <w:tcBorders>
              <w:top w:val="nil"/>
              <w:left w:val="nil"/>
              <w:bottom w:val="single" w:color="auto" w:sz="4" w:space="0"/>
              <w:right w:val="single" w:color="auto" w:sz="4" w:space="0"/>
            </w:tcBorders>
            <w:shd w:val="clear" w:color="auto" w:fill="auto"/>
          </w:tcPr>
          <w:p>
            <w:pPr>
              <w:jc w:val="right"/>
              <w:rPr>
                <w:rFonts w:ascii="ËÎÌå" w:hAnsi="ËÎÌå" w:eastAsia="宋体"/>
                <w:color w:val="000000"/>
                <w:sz w:val="22"/>
                <w:szCs w:val="24"/>
              </w:rPr>
            </w:pPr>
            <w:r>
              <w:rPr>
                <w:rFonts w:hint="eastAsia" w:ascii="ËÎÌå" w:hAnsi="ËÎÌå" w:eastAsia="宋体"/>
                <w:color w:val="000000"/>
                <w:sz w:val="22"/>
                <w:szCs w:val="24"/>
              </w:rPr>
              <w:t>5.75</w:t>
            </w:r>
          </w:p>
        </w:tc>
        <w:tc>
          <w:tcPr>
            <w:tcW w:w="3000" w:type="dxa"/>
            <w:tcBorders>
              <w:top w:val="nil"/>
              <w:left w:val="nil"/>
              <w:bottom w:val="single" w:color="auto" w:sz="4" w:space="0"/>
              <w:right w:val="single" w:color="auto" w:sz="8" w:space="0"/>
            </w:tcBorders>
            <w:shd w:val="clear" w:color="auto" w:fill="auto"/>
          </w:tcPr>
          <w:p>
            <w:pPr>
              <w:jc w:val="right"/>
              <w:rPr>
                <w:rFonts w:ascii="ËÎÌå" w:hAnsi="ËÎÌå" w:eastAsia="ËÎÌå"/>
                <w:color w:val="000000"/>
                <w:sz w:val="22"/>
                <w:szCs w:val="24"/>
              </w:rPr>
            </w:pPr>
            <w:r>
              <w:rPr>
                <w:rFonts w:ascii="ËÎÌå" w:hAnsi="ËÎÌå" w:eastAsia="ËÎÌå"/>
                <w:color w:val="000000"/>
                <w:sz w:val="22"/>
                <w:szCs w:val="24"/>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63" w:type="dxa"/>
        <w:tblInd w:w="0" w:type="dxa"/>
        <w:tblLayout w:type="fixed"/>
        <w:tblCellMar>
          <w:top w:w="0" w:type="dxa"/>
          <w:left w:w="108" w:type="dxa"/>
          <w:bottom w:w="0" w:type="dxa"/>
          <w:right w:w="108" w:type="dxa"/>
        </w:tblCellMar>
      </w:tblPr>
      <w:tblGrid>
        <w:gridCol w:w="1199"/>
        <w:gridCol w:w="2977"/>
        <w:gridCol w:w="1081"/>
        <w:gridCol w:w="1375"/>
        <w:gridCol w:w="2288"/>
        <w:gridCol w:w="981"/>
        <w:gridCol w:w="981"/>
        <w:gridCol w:w="3375"/>
        <w:gridCol w:w="1406"/>
      </w:tblGrid>
      <w:tr>
        <w:tblPrEx>
          <w:tblCellMar>
            <w:top w:w="0" w:type="dxa"/>
            <w:left w:w="108" w:type="dxa"/>
            <w:bottom w:w="0" w:type="dxa"/>
            <w:right w:w="108" w:type="dxa"/>
          </w:tblCellMar>
        </w:tblPrEx>
        <w:trPr>
          <w:trHeight w:val="113" w:hRule="atLeast"/>
        </w:trPr>
        <w:tc>
          <w:tcPr>
            <w:tcW w:w="1566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3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3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185.94</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147.01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47.36</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59.81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28.97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6.27</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29.98</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17.29</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4.37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19.77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2.21</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7.75</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11.37</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0.39</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10.18</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24.24</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3.46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6.20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3.48</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0.59</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0.23</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15.46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4.11</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5.06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50"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13.76</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1.86</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0.00</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9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21.21</w:t>
            </w:r>
          </w:p>
        </w:tc>
        <w:tc>
          <w:tcPr>
            <w:tcW w:w="9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1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192.14</w:t>
            </w:r>
          </w:p>
        </w:tc>
        <w:tc>
          <w:tcPr>
            <w:tcW w:w="900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147.01</w:t>
            </w:r>
          </w:p>
        </w:tc>
      </w:tr>
      <w:tr>
        <w:tblPrEx>
          <w:tblCellMar>
            <w:top w:w="0" w:type="dxa"/>
            <w:left w:w="108" w:type="dxa"/>
            <w:bottom w:w="0" w:type="dxa"/>
            <w:right w:w="108" w:type="dxa"/>
          </w:tblCellMar>
        </w:tblPrEx>
        <w:trPr>
          <w:trHeight w:val="284" w:hRule="exact"/>
        </w:trPr>
        <w:tc>
          <w:tcPr>
            <w:tcW w:w="15663"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3.00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3.00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0.59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0.59</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湘乡市退役军人事务局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本表空白</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8"/>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588"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部门：湘乡市退役军人事务局</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本表空白</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2"/>
        <w:rPr>
          <w:sz w:val="72"/>
          <w:szCs w:val="72"/>
        </w:rPr>
        <w:sectPr>
          <w:pgSz w:w="16838" w:h="11906" w:orient="landscape"/>
          <w:pgMar w:top="720" w:right="720" w:bottom="720" w:left="720" w:header="851" w:footer="992" w:gutter="0"/>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rPr>
          <w:rFonts w:hAnsi="黑体"/>
          <w:b/>
          <w:sz w:val="32"/>
          <w:szCs w:val="32"/>
        </w:rPr>
      </w:pPr>
      <w:r>
        <w:rPr>
          <w:rFonts w:hint="eastAsia" w:hAnsi="黑体"/>
          <w:b/>
          <w:sz w:val="32"/>
          <w:szCs w:val="32"/>
        </w:rPr>
        <w:t>一、收入支出决算总体情况说明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25771.92万元。与上年相比，增加8221.54万元，增长46.85%，主要是因为上级拨入项目经费，如优抚对象抚恤金提标、发放了2019年、2020年义务兵家庭优待金、部分退役士兵社保补缴经费、退役安置经费等。</w:t>
      </w:r>
    </w:p>
    <w:p>
      <w:pPr>
        <w:pStyle w:val="12"/>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本年收入合计12692.15万元，其中：财政拨款收入12609.96万元，占99.35%；上级补助收入0万元，占0%；事业收入0万元，占0%；经营收入0万元，占0%；附属单位上缴收入0万元，占0%；其他收入82.19万元，占0.65%。</w:t>
      </w:r>
    </w:p>
    <w:p>
      <w:pPr>
        <w:pStyle w:val="12"/>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本年支出合计13079.77万元，其中：基本支出348.35万元，占2.66%；项目支出12731.42万元，占97.34%；上缴上级支出0万元，占0%；经营支出0万元，占0%；对附属单位补助支出0万元，占0%。</w:t>
      </w:r>
    </w:p>
    <w:p>
      <w:pPr>
        <w:pStyle w:val="12"/>
        <w:rPr>
          <w:rFonts w:hAnsi="黑体"/>
          <w:b/>
          <w:sz w:val="32"/>
          <w:szCs w:val="32"/>
        </w:rPr>
      </w:pPr>
      <w:r>
        <w:rPr>
          <w:rFonts w:hint="eastAsia" w:hAnsi="黑体"/>
          <w:b/>
          <w:sz w:val="32"/>
          <w:szCs w:val="32"/>
        </w:rPr>
        <w:t>四、财政拨款收入支出决算总体情况说明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财政拨款收、支总计25619.04万元，与上年相比，增加8599.95万元,增长50.53%，主要是因为上级拨入项目经费，如优抚对象抚恤金提标、发放了2019年、2020年义务兵家庭优待金、部分退役士兵社保补缴经费、退役安置经费等。</w:t>
      </w: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13009.08万元，占本年支出合计的99.46%，与上年相比，财政拨款支出增加5215.14万元，增长66.91%，主要是因为主要是因为上级拨入项目经费，如优抚对象抚恤金提标、发放了2019年、2020年义务兵家庭优待金、部分退役士兵社保补缴经费、退役安置经费等。</w:t>
      </w:r>
    </w:p>
    <w:p>
      <w:pPr>
        <w:pStyle w:val="12"/>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2020年度财政拨款支出13009.08万元，主要用于以下方面：公共安全支出2.00万元，占0.02%；社会保障和就业支出12996.76万元，占99.91%;卫生健康支出4.57万元，占0.04%;住房保障支出5.75万元，占0.04%。</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2020年度财政拨款支出年初预算数为304.49万元，支出决算数为13009.08万元，完成年初预算的4272.42%，其中：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1、公共安全支出公安行政运行支出。</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年初预算为0万元，支出决算为2.00万元，完成年初预算的0%，决算数大于年初预算数的主要原因是：追加了2019年群众工作测评专项奖。</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2、社会保障和就业支出行政事业单位养老支出机关事业单位基本养老保险缴费支出。</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年初预算为9.13万元，支出决算为9.13万元，完成年初预算的100%。</w:t>
      </w:r>
    </w:p>
    <w:p>
      <w:pPr>
        <w:pStyle w:val="12"/>
        <w:numPr>
          <w:ilvl w:val="0"/>
          <w:numId w:val="2"/>
        </w:num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抚恤优抚事业单位支出</w:t>
      </w:r>
    </w:p>
    <w:p>
      <w:pPr>
        <w:pStyle w:val="12"/>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年初预算为0万元，支出决算为139.00万元，完成年初预算的0%，决算数大于年初预算数的主要原因是：上级拨入烈士纪念园等优抚事业单位经费。</w:t>
      </w:r>
    </w:p>
    <w:p>
      <w:pPr>
        <w:pStyle w:val="12"/>
        <w:numPr>
          <w:ilvl w:val="0"/>
          <w:numId w:val="2"/>
        </w:num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抚恤义务兵优待金支出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年初预算为0万元，支出决算为7340.25万元，完成年初预算的0%，决算数大于年初预算数的主要原因是：上级拨入优抚对象抚恤金、义务兵优待金等经费。</w:t>
      </w:r>
    </w:p>
    <w:p>
      <w:pPr>
        <w:pStyle w:val="12"/>
        <w:numPr>
          <w:ilvl w:val="0"/>
          <w:numId w:val="2"/>
        </w:num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抚恤其他优抚支出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年初预算为0万元，支出决算为1444.80万元，完成年初预算的0%，决算数大于年初预算数的主要原因是：上级拨入优抚对象抚恤金等经费。</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6、退役安置退役士兵安置支出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年初预算为0万元，支出决算为972.60万元，完成年初预算的0%，决算数大于年初预算数的主要原因是：上级拨入部分退役士兵社保补缴等经费。</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7、退役安置军队移交政府的离退休人员安置支出 </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年初预算为0万元，支出决算为332.41万元，完成年初预算的0%，决算数大于年初预算数的主要原因是：上级拨入军队离退休干部生活补助等经费。</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8、退役安置军队移交政府离退休干部管理机构支出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年初预算为106.00万元，支出决算为106.00万元，完成年初预算的100%。</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9、退役安置退役士兵管理教育支出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年初预算为0万元，支出决算为76.88万元，完成年初预算的0%。决算数大于年初预算数的主要原因是：上级拨入自主就业退役士兵教育培训费等经费。</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10、退役安置军队转业干部安置支出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年初预算为0万元，支出决算为316.00万元，完成年初预算的0%。决算数大于年初预算数的主要原因是：上级拨入企业军转干部解困等经费。</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11、退役安置其他退役安置支出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年初预算为0万元，支出决算为1032.95万元，完成年初预算的0%。决算数大于年初预算数的主要原因是：本级追加了义务兵家庭优待金等经费。</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12、退役军人管理事务行政运行支出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年初预算为79.98万元，支出决算为319.69万元，完成年初预算的399.71%。决算数大于年初预算数的主要原因是：本级追加了2019年办公经费及人员经费等经费。</w:t>
      </w:r>
    </w:p>
    <w:p>
      <w:pPr>
        <w:pStyle w:val="12"/>
        <w:ind w:left="525" w:leftChars="250"/>
        <w:rPr>
          <w:rFonts w:asciiTheme="minorEastAsia" w:hAnsiTheme="minorEastAsia" w:eastAsiaTheme="minorEastAsia"/>
          <w:sz w:val="32"/>
          <w:szCs w:val="32"/>
        </w:rPr>
      </w:pPr>
      <w:r>
        <w:rPr>
          <w:rFonts w:hint="eastAsia" w:asciiTheme="minorEastAsia" w:hAnsiTheme="minorEastAsia" w:eastAsiaTheme="minorEastAsia"/>
          <w:sz w:val="32"/>
          <w:szCs w:val="32"/>
        </w:rPr>
        <w:t>13、退役军人管理事务一般行政管理事务支出</w:t>
      </w:r>
    </w:p>
    <w:p>
      <w:pPr>
        <w:pStyle w:val="12"/>
        <w:ind w:left="638" w:leftChars="304"/>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年初预算为69.20万元，支出决算为69.20万元，完成年初预算的100%。14、退役军人管理事务拥军优属支出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年初预算为12万元，支出决算为12万元，完成年初预算的100%。</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15、退役军人管理事务其他退役军人事务管理支出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年初预算为0万元，支出决算为636.68万元，完成年初预算的0%。决算数大于年初预算数的主要原因是：本级追加了优抚对象价格临时补贴等经费。</w:t>
      </w:r>
    </w:p>
    <w:p>
      <w:pPr>
        <w:pStyle w:val="12"/>
        <w:numPr>
          <w:ilvl w:val="0"/>
          <w:numId w:val="3"/>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财政代缴社会保险费支出财政代缴其他社会保险费支出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年初预算为0万元，支出决算为171.31万元，完成年初预算的0%。决算数大于年初预算数的主要原因是：本级追加部分退役士兵社保补缴经费。</w:t>
      </w:r>
    </w:p>
    <w:p>
      <w:pPr>
        <w:pStyle w:val="12"/>
        <w:numPr>
          <w:ilvl w:val="0"/>
          <w:numId w:val="3"/>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其他社会保障和就业支出其他社会保障和就业支出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年初预算为17.85万元，支出决算为17.85万元，完成年初预算的100%。</w:t>
      </w:r>
    </w:p>
    <w:p>
      <w:pPr>
        <w:pStyle w:val="12"/>
        <w:numPr>
          <w:ilvl w:val="0"/>
          <w:numId w:val="3"/>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卫生健康支出行政事业单位医疗行政单位医疗支出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年初预算为4.57万元，支出决算为4.57万元，完成年初预算的100%。</w:t>
      </w:r>
    </w:p>
    <w:p>
      <w:pPr>
        <w:pStyle w:val="12"/>
        <w:numPr>
          <w:ilvl w:val="0"/>
          <w:numId w:val="3"/>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住房保障支出住房改革支出住房公积金支出</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年初预算为5.75万元，支出决算为5.75万元，完成年初预算的100%。</w:t>
      </w: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339.15万元，其中：人员经费192.14万元，占基本支出的56.65%,主要包括基本工资、津贴补贴、奖金、伙食补助费、绩效工资、机关事业单位基本养老保险缴费、职业年金缴费、职工基本医疗保险缴费、住房公积金、生活补助、奖励金、其他对个人和家庭的补助；公用经费147.01万元，占基本支出的43.35%，主要包括办公费、印刷费、邮电费、差旅费、维修（护）费、会议费、公务接待费、工会经费、福利费、其他交通费用、其他商品和服务支出。</w:t>
      </w: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“三公”经费财政拨款支出预算为3.00万元，支出决算为0.59万元，完成预算的19.67%，其中：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3.00万元，支出决算为0.59万元，完成预算的16.67%，决算数小于预算数的主要原因是执行过程中严格落实中央八项规定，厉行节约，严格控制公务接待用餐，与上年相比增加0.59万元，增长100%,增长的主要原因是本单位2019年新成立，无公务接待活动。</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公务用车购置费及运行维护费支出预算为0万元，支出决算为0万元，完成预算的0%。</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2020年度“三公”经费财政拨款支出决算中，公务接待费支出决算0.59万元，占100%,因公出国（境）费支出决算0万元，占0%,公务用车购置费及运行维护费支出决算0万元，占0%。其中：</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2、公务接待费支出决算为0.59万元，全年共接待来访团组0个、来宾51人次，主要是省厅、湘潭市局来我局指导工作发生的接待支出。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w:t>
      </w:r>
    </w:p>
    <w:p>
      <w:pPr>
        <w:pStyle w:val="12"/>
        <w:rPr>
          <w:rFonts w:hAnsi="黑体"/>
          <w:b/>
          <w:sz w:val="32"/>
          <w:szCs w:val="32"/>
        </w:rPr>
      </w:pPr>
      <w:r>
        <w:rPr>
          <w:rFonts w:hint="eastAsia" w:hAnsi="黑体"/>
          <w:b/>
          <w:sz w:val="32"/>
          <w:szCs w:val="32"/>
        </w:rPr>
        <w:t>八、政府性基金预算收入支出决算情况</w:t>
      </w:r>
    </w:p>
    <w:p>
      <w:pPr>
        <w:pStyle w:val="12"/>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2020年度本单位无政府性基金收支。</w:t>
      </w:r>
    </w:p>
    <w:p>
      <w:pPr>
        <w:pStyle w:val="12"/>
        <w:rPr>
          <w:rFonts w:hAnsi="黑体"/>
          <w:b/>
          <w:sz w:val="32"/>
          <w:szCs w:val="32"/>
        </w:rPr>
      </w:pPr>
      <w:r>
        <w:rPr>
          <w:rFonts w:hint="eastAsia" w:hAnsi="黑体"/>
          <w:b/>
          <w:sz w:val="32"/>
          <w:szCs w:val="32"/>
        </w:rPr>
        <w:t>九、关于机关运行经费支出说明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本部门2020年度机关运行经费支出147.07万元，比上年决算数增加60.1万元，增长69.10%。主要原因是：本单位2019年新成立，发生了单位开办经费，经费在2020年年初办理报销。</w:t>
      </w:r>
    </w:p>
    <w:p>
      <w:pPr>
        <w:pStyle w:val="12"/>
        <w:rPr>
          <w:rFonts w:hAnsi="黑体"/>
          <w:b/>
          <w:sz w:val="32"/>
          <w:szCs w:val="32"/>
        </w:rPr>
      </w:pPr>
      <w:r>
        <w:rPr>
          <w:rFonts w:hint="eastAsia" w:hAnsi="黑体"/>
          <w:b/>
          <w:sz w:val="32"/>
          <w:szCs w:val="32"/>
        </w:rPr>
        <w:t>十、一般性支出情况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3.48万元，用于召开湘潭市组织的退役军人事务重点工作推进、业务培训会议，人数85人，内容为湘潭市对全市退役军人事务工作情况进行通报及今后的有关工作安排部署，此会议为二类会议；开支培训费0万元。</w:t>
      </w:r>
    </w:p>
    <w:p>
      <w:pPr>
        <w:pStyle w:val="12"/>
        <w:rPr>
          <w:rFonts w:hAnsi="黑体"/>
          <w:b/>
          <w:sz w:val="32"/>
          <w:szCs w:val="32"/>
        </w:rPr>
      </w:pPr>
      <w:r>
        <w:rPr>
          <w:rFonts w:hint="eastAsia" w:hAnsi="黑体"/>
          <w:b/>
          <w:sz w:val="32"/>
          <w:szCs w:val="32"/>
        </w:rPr>
        <w:t>十一、关于政府采购支出说明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118.18万元，其中：政府采购货物支出0万元、政府采购工程支出0万元、政府采购服务支出118.18万元。授予中小企业合同金额118.18万元，占政府采购支出总额的100%，其中：授予小微企业合同金额0万元，占政府采购支出总额的0%。</w:t>
      </w:r>
    </w:p>
    <w:p>
      <w:pPr>
        <w:pStyle w:val="12"/>
        <w:rPr>
          <w:rFonts w:hAnsi="黑体"/>
          <w:b/>
          <w:sz w:val="32"/>
          <w:szCs w:val="32"/>
        </w:rPr>
      </w:pPr>
      <w:r>
        <w:rPr>
          <w:rFonts w:hint="eastAsia" w:hAnsi="黑体"/>
          <w:b/>
          <w:sz w:val="32"/>
          <w:szCs w:val="32"/>
        </w:rPr>
        <w:t>十二、关于国有资产占用情况说明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截至2020年12月31日，本单位共有车辆0辆。</w:t>
      </w:r>
    </w:p>
    <w:p>
      <w:pPr>
        <w:pStyle w:val="12"/>
        <w:rPr>
          <w:rFonts w:hAnsi="黑体"/>
          <w:b/>
          <w:sz w:val="32"/>
          <w:szCs w:val="32"/>
        </w:rPr>
      </w:pPr>
      <w:r>
        <w:rPr>
          <w:rFonts w:hint="eastAsia" w:hAnsi="黑体"/>
          <w:b/>
          <w:sz w:val="32"/>
          <w:szCs w:val="32"/>
        </w:rPr>
        <w:t>十三、关于2020年度预算绩效情况的说明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我单位按预算绩效管理的要求，申报了部门整体支出和项目支出，其中单位整体支出绩效1个，项目支出绩效2个。按绩效评价工作相关文件精神，积极认真开展了绩效评价工作，部门整体支出绩效、项目支出绩效均评定为良。</w:t>
      </w:r>
    </w:p>
    <w:p>
      <w:pPr>
        <w:pStyle w:val="12"/>
        <w:rPr>
          <w:rFonts w:hAnsi="黑体"/>
          <w:b/>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1、机关运行经费：是指各部门的公用经费，包括办公及印刷费、邮电 费、差旅费、会议费、福利费、日常维修费、专用资料及一般设备购置费、 办公用房水电费、办公用房取暖费、办公用房物业管理费、公务用车运行 维护费以及其他费用。</w:t>
      </w:r>
    </w:p>
    <w:p>
      <w:pPr>
        <w:widowControl/>
        <w:jc w:val="left"/>
        <w:rPr>
          <w:rFonts w:asciiTheme="minorEastAsia" w:hAnsiTheme="minorEastAsia" w:cstheme="minorEastAsia"/>
          <w:color w:val="000000"/>
          <w:kern w:val="0"/>
          <w:sz w:val="32"/>
          <w:szCs w:val="32"/>
        </w:rPr>
      </w:pPr>
      <w:r>
        <w:rPr>
          <w:rFonts w:hint="eastAsia" w:asciiTheme="minorEastAsia" w:hAnsiTheme="minorEastAsia" w:cstheme="minorEastAsia"/>
          <w:sz w:val="32"/>
          <w:szCs w:val="32"/>
        </w:rPr>
        <w:t xml:space="preserve">    2、“三公”经费：纳入省财政预算管理的“三公“经费，是指用一般公共 预算拨款安排的公务接待费、公务用车购置及运行维护费和因公出国（境） 费。其中，公务接待费反映单位按规定开支的各类公务接待支出；公务用 车购置及运行费反映单位公务用车车辆购置支出（含车辆购置税），以及 燃料费、维修费、保险费等支出；因公出国（境）费反映单位公务出国（境） 的国际旅费、国外城市间交通费、食宿费等支出。</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rPr>
          <w:rFonts w:asciiTheme="minorEastAsia" w:hAnsiTheme="minorEastAsia" w:cstheme="minorEastAsia"/>
          <w:sz w:val="32"/>
          <w:szCs w:val="32"/>
        </w:rPr>
      </w:pPr>
    </w:p>
    <w:p>
      <w:pPr>
        <w:rPr>
          <w:rFonts w:asciiTheme="minorEastAsia" w:hAnsiTheme="minorEastAsia" w:cstheme="minorEastAsia"/>
          <w:sz w:val="32"/>
          <w:szCs w:val="32"/>
        </w:rPr>
      </w:pPr>
    </w:p>
    <w:p>
      <w:pPr>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湘乡市退役军人事务局2020年度部门整体支出绩效自评</w:t>
      </w:r>
    </w:p>
    <w:p>
      <w:pPr>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报  告</w:t>
      </w:r>
    </w:p>
    <w:p>
      <w:pPr>
        <w:rPr>
          <w:rFonts w:asciiTheme="minorEastAsia" w:hAnsiTheme="minorEastAsia" w:cstheme="minorEastAsia"/>
          <w:sz w:val="32"/>
          <w:szCs w:val="32"/>
        </w:rPr>
      </w:pPr>
    </w:p>
    <w:p>
      <w:pPr>
        <w:rPr>
          <w:rFonts w:asciiTheme="minorEastAsia" w:hAnsiTheme="minorEastAsia" w:cstheme="minorEastAsia"/>
          <w:b/>
          <w:bCs/>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 xml:space="preserve">  一、部门情况</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（一）工作职责</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一)贯彻执行党和国家关于退役军人思想政治、管理保障和安置优抚等工作政策法规，起草有关规范性文件，拟定全市退役军人事务发展规划并组织实施;褒扬彰显退役军人为党、国家和人民牺牲奉献的精神风范和价值导向。</w:t>
      </w:r>
    </w:p>
    <w:p>
      <w:pPr>
        <w:rPr>
          <w:rFonts w:asciiTheme="minorEastAsia" w:hAnsiTheme="minorEastAsia" w:cstheme="minorEastAsia"/>
          <w:sz w:val="32"/>
          <w:szCs w:val="32"/>
        </w:rPr>
      </w:pPr>
      <w:r>
        <w:rPr>
          <w:rFonts w:hint="eastAsia" w:asciiTheme="minorEastAsia" w:hAnsiTheme="minorEastAsia" w:cstheme="minorEastAsia"/>
          <w:sz w:val="32"/>
          <w:szCs w:val="32"/>
        </w:rPr>
        <w:t>　　(二)负责全市军队转业干部、复员干部、离休退休干部、退役士兵和无军籍退休退职职工的移交安置工作和自主择业、就业退役军人服务管理工作。</w:t>
      </w:r>
    </w:p>
    <w:p>
      <w:pPr>
        <w:rPr>
          <w:rFonts w:asciiTheme="minorEastAsia" w:hAnsiTheme="minorEastAsia" w:cstheme="minorEastAsia"/>
          <w:sz w:val="32"/>
          <w:szCs w:val="32"/>
        </w:rPr>
      </w:pPr>
      <w:r>
        <w:rPr>
          <w:rFonts w:hint="eastAsia" w:asciiTheme="minorEastAsia" w:hAnsiTheme="minorEastAsia" w:cstheme="minorEastAsia"/>
          <w:sz w:val="32"/>
          <w:szCs w:val="32"/>
        </w:rPr>
        <w:t>　　(三)组织全市退役军人教育培训工作，协调扶持退役军人和随军随调家属就业创业。</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(四)贯彻落实国家关于退役军人的特殊保障政策，会同有关部门制定相关政策并组织实施。</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(五)组织协调落实全市移交地方的退休军人、符合条件的其他退役军人和无军籍退休退职职工的住房保障工作以及退役军人医疗保障、社会保险等待遇保障工作。</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(六)负责全市伤病残退役军人服务管理和抚恤工作，贯彻落实有关退役军人医疗、疗养、养老等机构的规划政策。承担全市不适宜继续服役的伤病残军人相关工作。</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(七)组织指导全市拥军优属工作。负责全市现役军人、退役军人、军队文职人员和军属优待、抚恤等工作;贯彻执行国家关于国民党抗战老兵等有关人员优待政策。</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(八)负责全市烈士及退役军人荣誉奖励、军人公墓管理维护、纪念活动等工作，依法承担英雄烈士保护相关工作，总结表彰和宣扬退役军人、退役军人工作单位和个人先进典型事迹。</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(九)指导并监督检查退役军人相关法律法规和政策措施的落实;开展全市退役军人权益维护和有关人员的帮扶援助工作。</w:t>
      </w:r>
    </w:p>
    <w:p>
      <w:pPr>
        <w:rPr>
          <w:rFonts w:asciiTheme="minorEastAsia" w:hAnsiTheme="minorEastAsia" w:cstheme="minorEastAsia"/>
          <w:sz w:val="32"/>
          <w:szCs w:val="32"/>
        </w:rPr>
      </w:pPr>
      <w:r>
        <w:rPr>
          <w:rFonts w:hint="eastAsia" w:asciiTheme="minorEastAsia" w:hAnsiTheme="minorEastAsia" w:cstheme="minorEastAsia"/>
          <w:sz w:val="32"/>
          <w:szCs w:val="32"/>
        </w:rPr>
        <w:t>　　(十)完成市委、市政府交办的其他任务。</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十一)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ind w:firstLine="600"/>
        <w:rPr>
          <w:rFonts w:asciiTheme="minorEastAsia" w:hAnsiTheme="minorEastAsia" w:cstheme="minorEastAsia"/>
          <w:sz w:val="32"/>
          <w:szCs w:val="32"/>
        </w:rPr>
      </w:pPr>
      <w:r>
        <w:rPr>
          <w:rFonts w:hint="eastAsia" w:asciiTheme="minorEastAsia" w:hAnsiTheme="minorEastAsia" w:cstheme="minorEastAsia"/>
          <w:sz w:val="32"/>
          <w:szCs w:val="32"/>
        </w:rPr>
        <w:t>（二）基本情况</w:t>
      </w:r>
    </w:p>
    <w:p>
      <w:pPr>
        <w:widowControl/>
        <w:spacing w:line="600" w:lineRule="exact"/>
        <w:ind w:firstLine="640" w:firstLineChars="200"/>
        <w:rPr>
          <w:rFonts w:asciiTheme="minorEastAsia" w:hAnsiTheme="minorEastAsia" w:cstheme="minorEastAsia"/>
          <w:bCs/>
          <w:kern w:val="0"/>
          <w:sz w:val="32"/>
          <w:szCs w:val="32"/>
        </w:rPr>
      </w:pPr>
      <w:r>
        <w:rPr>
          <w:rFonts w:hint="eastAsia" w:asciiTheme="minorEastAsia" w:hAnsiTheme="minorEastAsia" w:cstheme="minorEastAsia"/>
          <w:sz w:val="32"/>
          <w:szCs w:val="32"/>
        </w:rPr>
        <w:t>1、核定行政编制10人(局机关），事业编制26人（其中军干所5人，服务中心17人，烈士纪念园4人）。年末实有人数32人，其中在编人员29人，借调人员3人。设立</w:t>
      </w:r>
      <w:r>
        <w:rPr>
          <w:rFonts w:hint="eastAsia" w:asciiTheme="minorEastAsia" w:hAnsiTheme="minorEastAsia" w:cstheme="minorEastAsia"/>
          <w:bCs/>
          <w:kern w:val="0"/>
          <w:sz w:val="32"/>
          <w:szCs w:val="32"/>
        </w:rPr>
        <w:t>办公室、优抚股、安置股、法规股、服务中心、计财股。非独立核算二级机构东台山烈士纪念园、军休所。</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 重点工作安排：</w:t>
      </w:r>
    </w:p>
    <w:p>
      <w:pPr>
        <w:pBdr>
          <w:bottom w:val="single" w:color="FFFFFF" w:sz="4" w:space="31"/>
        </w:pBdr>
        <w:tabs>
          <w:tab w:val="left" w:pos="1440"/>
        </w:tabs>
        <w:adjustRightInd w:val="0"/>
        <w:snapToGrid w:val="0"/>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1）疫情防控担当作为；（2）体系建设提质升级；（3）优抚帮扶精准落实;(4）双拥褒扬氛围浓厚;(5）就业创业创新有效接收安置保障有力;(6）信访保障积极稳妥自身建设全面强化;（7）“十四五”期间重点工作。1.紧扣“十四五”期间项目立项，积极对接发改部门争取国省资金改善相关优抚单位基础设施。①爱国拥军文化长廊；②烈士纪念园；③优抚医院；④光荣院；⑤机关和服务中心办公场地建设；⑥军休所;2.以服务规范化、管理制度化、保障精细化、业务信息化、队伍专业化“五化”建设为重点任务，全面推进我市退役军人事务系统治理体系和治理能力现代化。</w:t>
      </w:r>
    </w:p>
    <w:p>
      <w:pPr>
        <w:numPr>
          <w:ilvl w:val="0"/>
          <w:numId w:val="4"/>
        </w:numPr>
        <w:pBdr>
          <w:bottom w:val="single" w:color="FFFFFF" w:sz="4" w:space="31"/>
        </w:pBdr>
        <w:tabs>
          <w:tab w:val="left" w:pos="1440"/>
        </w:tabs>
        <w:adjustRightInd w:val="0"/>
        <w:snapToGrid w:val="0"/>
        <w:spacing w:line="560" w:lineRule="exact"/>
        <w:rPr>
          <w:rFonts w:asciiTheme="minorEastAsia" w:hAnsiTheme="minorEastAsia" w:cstheme="minorEastAsia"/>
          <w:sz w:val="32"/>
          <w:szCs w:val="32"/>
        </w:rPr>
      </w:pPr>
      <w:r>
        <w:rPr>
          <w:rFonts w:hint="eastAsia" w:asciiTheme="minorEastAsia" w:hAnsiTheme="minorEastAsia" w:cstheme="minorEastAsia"/>
          <w:b/>
          <w:bCs/>
          <w:sz w:val="32"/>
          <w:szCs w:val="32"/>
        </w:rPr>
        <w:t>、部门整体支出管理及使用情况</w:t>
      </w:r>
    </w:p>
    <w:p>
      <w:pPr>
        <w:pBdr>
          <w:bottom w:val="single" w:color="FFFFFF" w:sz="4" w:space="31"/>
        </w:pBdr>
        <w:tabs>
          <w:tab w:val="left" w:pos="1440"/>
        </w:tabs>
        <w:adjustRightInd w:val="0"/>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b/>
          <w:bCs/>
          <w:sz w:val="32"/>
          <w:szCs w:val="32"/>
        </w:rPr>
        <w:t>一、预</w:t>
      </w:r>
      <w:r>
        <w:rPr>
          <w:rFonts w:hint="eastAsia" w:asciiTheme="minorEastAsia" w:hAnsiTheme="minorEastAsia" w:cstheme="minorEastAsia"/>
          <w:sz w:val="32"/>
          <w:szCs w:val="32"/>
        </w:rPr>
        <w:t>算情况</w:t>
      </w:r>
    </w:p>
    <w:p>
      <w:pPr>
        <w:numPr>
          <w:ilvl w:val="0"/>
          <w:numId w:val="5"/>
        </w:numPr>
        <w:pBdr>
          <w:bottom w:val="single" w:color="FFFFFF" w:sz="4" w:space="31"/>
        </w:pBdr>
        <w:tabs>
          <w:tab w:val="left" w:pos="1440"/>
        </w:tabs>
        <w:adjustRightInd w:val="0"/>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年初预算情况</w:t>
      </w:r>
    </w:p>
    <w:p>
      <w:pPr>
        <w:pBdr>
          <w:bottom w:val="single" w:color="FFFFFF" w:sz="4" w:space="31"/>
        </w:pBdr>
        <w:tabs>
          <w:tab w:val="left" w:pos="1440"/>
        </w:tabs>
        <w:adjustRightInd w:val="0"/>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2020年年初预算收入合计304.49万元，其中基本支出117.29万元，项目支出187.20万元;2020年年初预算支出合计304.49元，包括基本支出117.29万元，项目支出187.20万元。基本支出中工资福利支出83.45万元，商品和服务支出17.05万元，对个人和家庭补助支出16.79万元。公务接待费3万元、无公务用车运行维护费，无因公出国（境）费用，会议费0万元。</w:t>
      </w:r>
    </w:p>
    <w:p>
      <w:pPr>
        <w:numPr>
          <w:ilvl w:val="0"/>
          <w:numId w:val="5"/>
        </w:numPr>
        <w:pBdr>
          <w:bottom w:val="single" w:color="FFFFFF" w:sz="4" w:space="31"/>
        </w:pBdr>
        <w:tabs>
          <w:tab w:val="left" w:pos="1440"/>
        </w:tabs>
        <w:adjustRightInd w:val="0"/>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追加和调减预算情况</w:t>
      </w:r>
    </w:p>
    <w:p>
      <w:pPr>
        <w:pBdr>
          <w:bottom w:val="single" w:color="FFFFFF" w:sz="4" w:space="31"/>
        </w:pBdr>
        <w:tabs>
          <w:tab w:val="left" w:pos="1440"/>
        </w:tabs>
        <w:adjustRightInd w:val="0"/>
        <w:snapToGrid w:val="0"/>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2020年收入决算数为12692.15万元，比年初预算收入增加12387.66万元，增长4068%；2020年支出决算数为13079.77万元，比年初预算支出增加12775.28万元，增长4196%，主要是上级年中或年终拨入优抚对象抚恤金、义务兵家庭优待金、部分退役士兵社保补缴经费、退役安置经费等。</w:t>
      </w:r>
    </w:p>
    <w:p>
      <w:pPr>
        <w:pBdr>
          <w:bottom w:val="single" w:color="FFFFFF" w:sz="4" w:space="31"/>
        </w:pBdr>
        <w:tabs>
          <w:tab w:val="left" w:pos="1440"/>
        </w:tabs>
        <w:adjustRightInd w:val="0"/>
        <w:snapToGrid w:val="0"/>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（二）预算执行情况</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1、基本支出执行情况</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基本支出用于保障机构正常运转、完成日常工作任务而发生的支出，包括人员经费和公用经费。</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2020年度基本支出决算数为348.35万元，其中工资福利支出185.94万元，商品和服务支出147.01万元，对个人和家庭的补助6.20万元。</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2、业务性专项执行情况</w:t>
      </w:r>
    </w:p>
    <w:p>
      <w:pPr>
        <w:ind w:firstLine="640"/>
        <w:rPr>
          <w:rFonts w:asciiTheme="minorEastAsia" w:hAnsiTheme="minorEastAsia" w:cstheme="minorEastAsia"/>
          <w:sz w:val="32"/>
          <w:szCs w:val="32"/>
        </w:rPr>
      </w:pPr>
      <w:r>
        <w:rPr>
          <w:rFonts w:hint="eastAsia" w:asciiTheme="minorEastAsia" w:hAnsiTheme="minorEastAsia" w:cstheme="minorEastAsia"/>
          <w:sz w:val="32"/>
          <w:szCs w:val="32"/>
        </w:rPr>
        <w:t>2020年项目支出决算数12731.42万元，主要是上级拨入优抚对象抚恤金、义务兵家庭优待金、部分退役士兵社保补缴经费、退役安置经费等。</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3、“三公经费”执行情况</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2020年“三公经费”支出合计0.59万元，其中公务接待费0.59万元，无因公出国境费、无公务用车运行维护费。</w:t>
      </w:r>
    </w:p>
    <w:p>
      <w:pPr>
        <w:rPr>
          <w:rFonts w:asciiTheme="minorEastAsia" w:hAnsiTheme="minorEastAsia" w:cstheme="minorEastAsia"/>
          <w:b/>
          <w:bCs/>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 xml:space="preserve">  三、部门整体支出绩效情况</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2020年，我局始终以习近平新时代中国特色社会主义思想为指导，以习近平总书记关于退役军人工作重要论述为根本遵循，认真贯彻落实中央和省、市及上级主管部门关于退役军人工作决策部署，全面贯彻党的十九大和十九届二中、三中、四中全会精神，认真落实部、省、市有关会议和文件精神，坚持稳中求进工作总基调，以退役军人为中心，以改革创新为动力，以“思想政治工作年”“基层基础基本建设年”“信访攻坚年”活动为抓手，用心打基础谋发展、用情抓管理搞服务、用力化矛盾解难题，融合聚力、综合施策，真抓实干，各项工作有序推进，各项重点任务圆满完成。退役军人事务领域治理水平得到有效提升，为争创全省双拥模范城打下了坚实基础，全市退役军人事务工作迈向了新的台阶。</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部门整体支出绩效情况如下：</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（一）预算配置</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1、在职人员控制率</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根据“三定方案”核定我局人员编制数为36人，年底实有在职人员29人，在职人员控制率为81%，没有超出编制数。</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2、“三公经费”变动率</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我单位于 2019年3月才成立，2019年无“三公经费”支出，无法与2020年进行对比，变动率为0。</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（二）预算执行</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1、预算调整</w:t>
      </w:r>
    </w:p>
    <w:p>
      <w:pPr>
        <w:ind w:firstLine="640"/>
        <w:rPr>
          <w:rFonts w:asciiTheme="minorEastAsia" w:hAnsiTheme="minorEastAsia" w:cstheme="minorEastAsia"/>
          <w:sz w:val="32"/>
          <w:szCs w:val="32"/>
        </w:rPr>
      </w:pPr>
      <w:r>
        <w:rPr>
          <w:rFonts w:hint="eastAsia" w:asciiTheme="minorEastAsia" w:hAnsiTheme="minorEastAsia" w:cstheme="minorEastAsia"/>
          <w:sz w:val="32"/>
          <w:szCs w:val="32"/>
        </w:rPr>
        <w:t>本年度预算调整数为12387.66万元，主要是年中或年终上级拨入优抚对象抚恤金、义务兵家庭优待金、部分退役士兵社保补缴经费、退役安置经费等。</w:t>
      </w:r>
    </w:p>
    <w:p>
      <w:pPr>
        <w:ind w:firstLine="320" w:firstLineChars="100"/>
        <w:rPr>
          <w:rFonts w:asciiTheme="minorEastAsia" w:hAnsiTheme="minorEastAsia" w:cstheme="minorEastAsia"/>
          <w:sz w:val="32"/>
          <w:szCs w:val="32"/>
        </w:rPr>
      </w:pPr>
      <w:r>
        <w:rPr>
          <w:rFonts w:hint="eastAsia" w:asciiTheme="minorEastAsia" w:hAnsiTheme="minorEastAsia" w:cstheme="minorEastAsia"/>
          <w:sz w:val="32"/>
          <w:szCs w:val="32"/>
        </w:rPr>
        <w:t xml:space="preserve"> 2、项目支出预算控制率</w:t>
      </w:r>
    </w:p>
    <w:p>
      <w:pPr>
        <w:pStyle w:val="12"/>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2020年安排项目支出预算合计187.20万元，其中一般行政管理事务支出69.2万元，退役安置军队移交政府离退休干部管理机构支出106万元，拥军优属经费12万元。 2020年项目支出决算合计12731.42万元，其中：1、公共安全支出公安行政运行支出决算为2.00万元；2、优抚事业单位支出决算为139.00万元；3、义务兵优待金支出决算7401.74万元；4、其他优抚支出决算为1444.80万元；5、退役士兵安置支出决算为972.60万元；6、军队移交政府的离退休人员安置支出决算为332.41万元；7、军队移交政府离退休干部管理机构支出决算为106.00万元；8、退役士兵管理教育支出决算为76.88万元；9、军队转业干部安置支出决算为316.00万元；10、退役军人管理事务一般行政管理事务支出决算为69.20万元；11、拥军优属支出决算为12万元；12、其他退役军人事务管理支出决算为636.68万元；13、财政代缴其他社会保险费支出决算为171.31万元；14、其他社会保障和就业支出决算为17.85万元。</w:t>
      </w:r>
    </w:p>
    <w:p>
      <w:pPr>
        <w:ind w:firstLine="640"/>
        <w:rPr>
          <w:rFonts w:asciiTheme="minorEastAsia" w:hAnsiTheme="minorEastAsia" w:cstheme="minorEastAsia"/>
          <w:sz w:val="32"/>
          <w:szCs w:val="32"/>
        </w:rPr>
      </w:pPr>
      <w:r>
        <w:rPr>
          <w:rFonts w:hint="eastAsia" w:asciiTheme="minorEastAsia" w:hAnsiTheme="minorEastAsia" w:cstheme="minorEastAsia"/>
          <w:sz w:val="32"/>
          <w:szCs w:val="32"/>
        </w:rPr>
        <w:t>完成年初预算控制率99%，主要是上级拨入优抚对象抚恤金、义务兵家庭优待金、部分退役士兵社保补缴经费、退役安置经费等。</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3、资金结余情况</w:t>
      </w:r>
    </w:p>
    <w:p>
      <w:pPr>
        <w:pStyle w:val="12"/>
        <w:ind w:firstLine="640"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年收入合计12692.15万元，其中：财政拨款收入12609.96万元，占99.35%；本年支出合计13079.77万元，其中：基本支出348.35万元，占2.66%；项目支出12731.42万元，占97.34%；年初结余691.73万元，本年收支结余-387.62万元，年末结余304.11万元，主要形成的主要原因是指标在年底上级拨入或本级追加，部分支出在下年初办理报销。</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5、“三公经费”控制率</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2020年“三公经费”支出合计0.59万元，全部是公务接待费，与上年相比增加 0.59万元，增长100%，无因公出国（境）费、无公车运行维护费。本单位2019年新成立，无“三公”经费支出，不能进行对比。</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（三）预算管理</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1、建立健全的管理制度</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为了进一步强化干部职工的服务意识、效率意识和廉政意识，改进工作作风，厉行勤俭节约，反对铺张浪费，做好退役军人事务工作，结合我局制度了《局长办公会议事制度》、《固定资产管理制度》、《财务管理制度》、《专项资金管理办法》、《考勤制度》、《请休假制度》等。</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2、专帐核算</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我单位预算内安排的项目支出都是专帐核算，在“财政补助支出”下面的“项目支出”下按项目名称，进行帐务核算，做到分项目独立核算，做到专款专用。</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 xml:space="preserve">  </w:t>
      </w:r>
      <w:r>
        <w:rPr>
          <w:rFonts w:hint="eastAsia" w:asciiTheme="minorEastAsia" w:hAnsiTheme="minorEastAsia" w:cstheme="minorEastAsia"/>
          <w:sz w:val="32"/>
          <w:szCs w:val="32"/>
        </w:rPr>
        <w:t>3、预决算信息公开性和完善性</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按财政部门的要求，按质按量按时做好了预决算工作。    </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4、政府采购完成情况</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严格按照政府采购相关文件精神，严格执行政府采购相关审批程序，采购了办公电脑、办公空调等办公设备。</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5、资产管理</w:t>
      </w:r>
    </w:p>
    <w:p>
      <w:pPr>
        <w:ind w:firstLine="602"/>
        <w:rPr>
          <w:rFonts w:asciiTheme="minorEastAsia" w:hAnsiTheme="minorEastAsia" w:cstheme="minorEastAsia"/>
          <w:sz w:val="32"/>
          <w:szCs w:val="32"/>
        </w:rPr>
      </w:pPr>
      <w:r>
        <w:rPr>
          <w:rFonts w:hint="eastAsia" w:asciiTheme="minorEastAsia" w:hAnsiTheme="minorEastAsia" w:cstheme="minorEastAsia"/>
          <w:sz w:val="32"/>
          <w:szCs w:val="32"/>
        </w:rPr>
        <w:t>我局制定了《固定资产管理制度》，对资产的使用、管理、处置、产权登记等都作了严格的规定。2020年没有报废处置固定资产。</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（五）职责履行</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一）疫情防控担当作为。新冠肺炎疫情发生以来，湘乡市退役军人事务局坚决贯彻落实市委决策部署，充分发挥市、乡、村三级服务体系的作用，上下联动、主动作为。全面动员系统干部职工和退役军人4000余人，听从号令指挥，主动扛起责任担当，冲锋战“疫”最前沿。组建退役军人志愿服务队，积极参与企业复工复产和抗疫工作，倡仪全市退役军人踊跃捐款50万元。在打赢防疫阻击战中体现出新时期退役军人的新担当新作为。</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二）体系建设提质升级。深入开展“基层基础基本建设年”活动。今年3月份前市乡村三级服务体系人员全部专职到位，工作班底得到了全面强化。学习推广“枫桥经验”，开展示范型服务站创建活动，组织召开全市退役军人事务工作会议，开展观摩示范、业务培训、指导服务，全年完成1个模范标杆型服务站和13个示范型服务站创建，通过示范先行、以点带面，有效的推动了服务保障体系建设由建起来向强起来升级。全面启动全市退役军人档案整理归档工作，为推动退役军人管理信息化打下坚实基础。</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（三）优抚帮扶精准落实。</w:t>
      </w:r>
      <w:r>
        <w:rPr>
          <w:rFonts w:hint="eastAsia" w:asciiTheme="minorEastAsia" w:hAnsiTheme="minorEastAsia" w:cstheme="minorEastAsia"/>
          <w:spacing w:val="-11"/>
          <w:sz w:val="32"/>
          <w:szCs w:val="32"/>
        </w:rPr>
        <w:t>全面落实抚恤政策，对标足额按季发放抚恤优待资金8223万元,发放义务兵优待金980万元。积极推广优抚对象定点医疗服务单位“一站式”服务。为重点优抚对象、困难企业军转干部参保参合、门诊住院补助、特别补助等支出费用670余万元，切实保障优抚对象医疗待遇。</w:t>
      </w:r>
      <w:r>
        <w:rPr>
          <w:rFonts w:hint="eastAsia" w:asciiTheme="minorEastAsia" w:hAnsiTheme="minorEastAsia" w:cstheme="minorEastAsia"/>
          <w:sz w:val="32"/>
          <w:szCs w:val="32"/>
        </w:rPr>
        <w:t>联合爱尔眼科医院举办“退役军人眼健康”公益活动。做好新增发放补助优抚对象、带病回乡人员认定，完成2037名两参人员规范清理核查工作。认真做好困难企业军转干部帮扶解困工作，发放住院医疗补助43万元，遗属困难补助22万元，生活困难补助605万元，发放节日慰问金83.7万元。</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四）双拥褒扬氛围浓厚。启动创建省级双拥模范城（县）相关工作，有序推进规划建设爱国拥军文化长廊项目建设。召开庆祝中国人民解放军建军93周年座谈会，深入开展“八一”、春节走访慰问，发放慰问金15万元。开展“致敬•2020清明祭英烈”祭扫活动，组织全市烈士纪念日向烈士敬献花篮仪式，完成列士陈列馆项目建设。开展首届“龙城最美退役军人”和“龙城最美军人家属”评比表彰活动，评选“龙城最美退役军人”10名，“龙城最美军人家属”8名，提名奖7名，向省市宣传推介全省“最美退役军人”邓永明。</w:t>
      </w:r>
      <w:r>
        <w:rPr>
          <w:rFonts w:hint="eastAsia" w:asciiTheme="minorEastAsia" w:hAnsiTheme="minorEastAsia" w:cstheme="minorEastAsia"/>
          <w:spacing w:val="-11"/>
          <w:sz w:val="32"/>
          <w:szCs w:val="32"/>
        </w:rPr>
        <w:t>为现役军人送立功喜报64人次，发放奖励资金13.7万元</w:t>
      </w:r>
      <w:r>
        <w:rPr>
          <w:rFonts w:hint="eastAsia" w:asciiTheme="minorEastAsia" w:hAnsiTheme="minorEastAsia" w:cstheme="minorEastAsia"/>
          <w:sz w:val="32"/>
          <w:szCs w:val="32"/>
        </w:rPr>
        <w:t>。完成全市“中国人民志愿军抗美援朝出国作战70周年”纪念章发放工作。</w:t>
      </w:r>
    </w:p>
    <w:p>
      <w:pPr>
        <w:pStyle w:val="7"/>
        <w:widowControl/>
        <w:shd w:val="clear" w:color="auto" w:fill="FFFFFF"/>
        <w:spacing w:line="560" w:lineRule="exact"/>
        <w:ind w:firstLine="420"/>
        <w:rPr>
          <w:rFonts w:asciiTheme="minorEastAsia" w:hAnsiTheme="minorEastAsia" w:cstheme="minorEastAsia"/>
          <w:sz w:val="32"/>
          <w:szCs w:val="32"/>
        </w:rPr>
      </w:pPr>
      <w:r>
        <w:rPr>
          <w:rFonts w:hint="eastAsia" w:asciiTheme="minorEastAsia" w:hAnsiTheme="minorEastAsia" w:cstheme="minorEastAsia"/>
          <w:sz w:val="32"/>
          <w:szCs w:val="32"/>
        </w:rPr>
        <w:t>（五）就业创业创新有效。主办2场退役军人专场招聘会，共118家企业单位参加，提供岗位1200多个，180多名退役军人及家属达成就业意向，完成职业技能培训116人，把退役军人返乡欢迎仪式、适应性培训和退役军人专场招聘会有机衔接，实现“一站式”服务。推荐湖南绿营环保科技有限公司参加湖南省和湘潭市组织的退役军人创新创业大赛并荣获优秀奖，向湘潭申报退役军人就业创业一体化服务示范单位6家。</w:t>
      </w:r>
    </w:p>
    <w:p>
      <w:pPr>
        <w:spacing w:line="560" w:lineRule="exact"/>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（六）接收安置保障有力。</w:t>
      </w:r>
      <w:r>
        <w:rPr>
          <w:rFonts w:hint="eastAsia" w:asciiTheme="minorEastAsia" w:hAnsiTheme="minorEastAsia" w:cstheme="minorEastAsia"/>
          <w:spacing w:val="-11"/>
          <w:sz w:val="32"/>
          <w:szCs w:val="32"/>
        </w:rPr>
        <w:t>年度共接收复员干部1人，军休士官2人，自主择业军转干部2人，退役士兵345人，其中符合政府安排工作条件的77名。积极对接省厅和湘潭市局争取央省企业指标，除选择企业和上级安置的25名符合政府安排的退役士兵外，市本级符合安置条件的52名退役士兵，12月5日前全部安置上岗，所有岗位均为事业单位公益一类，安置率100%。发放2019年自主就业一次性经济补助237人，543.6万元。发放2019年符合政府安排工作退役士兵待安排工作期间生活补助47.619万元，补缴2020年符合政府安排工作68名退役士兵待安置期间养老保险，共计55.7906.4万元。</w:t>
      </w:r>
      <w:r>
        <w:rPr>
          <w:rFonts w:hint="eastAsia" w:asciiTheme="minorEastAsia" w:hAnsiTheme="minorEastAsia" w:cstheme="minorEastAsia"/>
          <w:sz w:val="32"/>
          <w:szCs w:val="32"/>
        </w:rPr>
        <w:t>全面完成部分775名退役士兵社保接续补缴工作，缴费1300余万元。</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七）信访保障积极稳妥。深入开展“信访攻坚年”和“思想政治工作年”活动，健全完善制度机制，定制个性化方案，有序推动重难点问题解决，攻坚化解矛盾风险。全年接访退役军人596人次；办理信访件23件，其中事务部转办件9件，督办件2件，省厅信访件9件，信访局转办件5件；办理省委巡视组交办件9件。全面落实常态化联系退役军人制度，开展常态化联系走访活动。建立签约律师服务机制，为退役军人提供法律援助服务，积极帮扶解困、临时求助、人文关怀，有力保障退役军人合法权益。全年特殊困难援助59人，援助资金总额38.92万元；临时救助50人，救助资金14.6万元，新增退役军人公益性岗位17个。</w:t>
      </w:r>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（八）自身建设全面强化。优化组织设置，选举成立退役军人</w:t>
      </w:r>
      <w:r>
        <w:rPr>
          <w:rFonts w:hint="eastAsia" w:asciiTheme="minorEastAsia" w:hAnsiTheme="minorEastAsia" w:cstheme="minorEastAsia"/>
          <w:sz w:val="32"/>
          <w:szCs w:val="32"/>
          <w:lang w:val="en-US" w:eastAsia="zh-CN"/>
        </w:rPr>
        <w:t>事务</w:t>
      </w:r>
      <w:r>
        <w:rPr>
          <w:rFonts w:hint="eastAsia" w:asciiTheme="minorEastAsia" w:hAnsiTheme="minorEastAsia" w:cstheme="minorEastAsia"/>
          <w:sz w:val="32"/>
          <w:szCs w:val="32"/>
        </w:rPr>
        <w:t>局党总支、机关党支部。规范落实组织生活，认真开展“三会一课”。组织党员干部到韶山、芷江抗日纪念馆、黄公略故居、彭德怀故居、十八洞村等红色教育基地重温入党誓词，有力提升政治素养和履职能力。严格落实落实从严管党治党责任，着力加强党风廉政建设工作部署和督办落实，排查廉政风险隐患，强化履职监督。健全完善机关规章制度，对机关《党组工作制度》《局长办公会议制度》等13项工作制度进行了修订印发，为新机构运行提供重要的准绳和约束。党组中心组开展了14次集中学习，加强党员干部思想教育、业务工作信息宣传报送等工作，做实做细意识形态工作。全力支持配合市纪委监委派驻纪检监察组和市委政治巡察组工作，对市委巡察组交办反馈的问题，做到照单全收，立行立改。责令军休所支部对违规党员实施党内除名，对支部书记进行了诫勉谈话。全年开展廉政提醒谈话科级60人次。</w:t>
      </w:r>
      <w:bookmarkStart w:id="3" w:name="_GoBack"/>
      <w:bookmarkEnd w:id="3"/>
    </w:p>
    <w:p>
      <w:pPr>
        <w:spacing w:line="560" w:lineRule="exact"/>
        <w:ind w:firstLine="640" w:firstLineChars="200"/>
        <w:jc w:val="left"/>
        <w:rPr>
          <w:rFonts w:asciiTheme="minorEastAsia" w:hAnsiTheme="minorEastAsia" w:cstheme="minorEastAsia"/>
          <w:sz w:val="32"/>
          <w:szCs w:val="32"/>
        </w:rPr>
      </w:pPr>
      <w:r>
        <w:rPr>
          <w:rFonts w:hint="eastAsia" w:asciiTheme="minorEastAsia" w:hAnsiTheme="minorEastAsia" w:cstheme="minorEastAsia"/>
          <w:sz w:val="32"/>
          <w:szCs w:val="32"/>
        </w:rPr>
        <w:t>2020年我市在全省服务中心主任培训班、湘潭市退役军人事务工作会议暨双拥工作会议上作典型交流发言。湘乡市烈士纪念园被评为湘潭市爱国主义教育基地。在湘潭市局平安建设考核八个县市区（园区）中排名第一，在湘潭市2020年县市区退役军人工作绩效综合考评中排名第一。省退役军人事务厅分别在今年第18期和23期简报刊发我市《湘乡市全力打造“两个基地"，扎实推进"思想政治工作年"活动》《湘乡市用心用情有力做好涉军信访保障工作》经验做法。我市参战老兵邓永明被评为全省“最美退役军人”。</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（六）履职效益</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（1）经济效益 、社会效益：切实保障优抚对象利益，提高生活水平；落实现役军人、退役军人和军属等相关政微；营造出热爱部队、崇尚军人的良好氛围；维护军人军属合法权益，让军人成为全社会尊崇的职业，更好地为增强部队战斗力和凝聚办做好组织保障。   </w:t>
      </w:r>
    </w:p>
    <w:p>
      <w:pPr>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行政效能，我局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3）社会公众或服务对象满意度，2020年我局在市市委市政府的正确领导下，通过一年的努力工作，全局上下全体干部职工切实转变工作作风，办事更极积，态度更热情，使广大群众和服务对象更满意，满意率达到百分之九十八以上。</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综合以上各项指标，财务管理健全规范，没有发生违法违规现象。通过评价小组的认真严格考核，最后得分100分，自评结果为优。 </w:t>
      </w:r>
    </w:p>
    <w:p>
      <w:pPr>
        <w:rPr>
          <w:rFonts w:asciiTheme="minorEastAsia" w:hAnsiTheme="minorEastAsia" w:cstheme="minorEastAsia"/>
          <w:b/>
          <w:bCs/>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 xml:space="preserve"> 四、存在的主要问题</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（一）要进一步完善年初预算编制，要根据单位的实际工作情况，更加全面、准确地编制年初预算。</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（二）干部职工对绩效评价工作重要性认识有待提高。</w:t>
      </w:r>
    </w:p>
    <w:p>
      <w:pPr>
        <w:ind w:firstLine="320" w:firstLineChars="100"/>
        <w:rPr>
          <w:rFonts w:asciiTheme="minorEastAsia" w:hAnsiTheme="minorEastAsia" w:cstheme="minorEastAsia"/>
          <w:sz w:val="32"/>
          <w:szCs w:val="32"/>
        </w:rPr>
      </w:pPr>
      <w:r>
        <w:rPr>
          <w:rFonts w:hint="eastAsia" w:asciiTheme="minorEastAsia" w:hAnsiTheme="minorEastAsia" w:cstheme="minorEastAsia"/>
          <w:sz w:val="32"/>
          <w:szCs w:val="32"/>
        </w:rPr>
        <w:t>（三）</w:t>
      </w:r>
      <w:r>
        <w:rPr>
          <w:rFonts w:hint="eastAsia" w:asciiTheme="minorEastAsia" w:hAnsiTheme="minorEastAsia" w:cstheme="minorEastAsia"/>
          <w:sz w:val="32"/>
          <w:szCs w:val="32"/>
          <w:shd w:val="clear" w:color="auto" w:fill="FFFFFF"/>
        </w:rPr>
        <w:t>会计基础工作需进一步提高质量，项目资金使用监管力度有待加强。</w:t>
      </w:r>
    </w:p>
    <w:p>
      <w:pPr>
        <w:rPr>
          <w:rFonts w:asciiTheme="minorEastAsia" w:hAnsiTheme="minorEastAsia" w:cstheme="minorEastAsia"/>
          <w:b/>
          <w:bCs/>
          <w:sz w:val="32"/>
          <w:szCs w:val="32"/>
        </w:rPr>
      </w:pP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五、改进措施和有关建议</w:t>
      </w:r>
    </w:p>
    <w:p>
      <w:pPr>
        <w:pStyle w:val="2"/>
        <w:ind w:leftChars="0" w:firstLine="640"/>
        <w:rPr>
          <w:rFonts w:asciiTheme="minorEastAsia" w:hAnsiTheme="minorEastAsia" w:cstheme="minorEastAsia"/>
          <w:sz w:val="32"/>
          <w:szCs w:val="32"/>
        </w:rPr>
      </w:pPr>
      <w:r>
        <w:rPr>
          <w:rFonts w:hint="eastAsia" w:asciiTheme="minorEastAsia" w:hAnsiTheme="minorEastAsia" w:cstheme="minorEastAsia"/>
          <w:sz w:val="32"/>
          <w:szCs w:val="32"/>
        </w:rPr>
        <w:t>(一）由于单位服务的对象是军人，具有保密性质，有些资料需做好保密工作，不适应复印公开，请考评组酌情考量。</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（二）细化预算编制工作，认真做好预算的编制。    </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rPr>
          <w:rFonts w:asciiTheme="minorEastAsia" w:hAnsiTheme="minorEastAsia" w:cstheme="minorEastAsia"/>
          <w:sz w:val="32"/>
          <w:szCs w:val="32"/>
        </w:rPr>
      </w:pPr>
      <w:r>
        <w:rPr>
          <w:rFonts w:hint="eastAsia" w:asciiTheme="minorEastAsia" w:hAnsiTheme="minorEastAsia" w:cstheme="minorEastAsia"/>
          <w:sz w:val="32"/>
          <w:szCs w:val="32"/>
        </w:rPr>
        <w:t xml:space="preserve">   （三）规范账务处理，提高财务信息质量 。严格按照《会计法》、《行政事业单位会计制度》、《行政事业单位财务规则》等规定执行财务核算，并结合实际情况，完整、准确地披露相关信息，尽可能地做到决算与预算相衔接,完善管理制度，进一步加强资产管理 ，规化会计基工作，制定专项资金管理办法等。</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ËÎÌå">
    <w:altName w:val="Times New Roman"/>
    <w:panose1 w:val="00000000000000000000"/>
    <w:charset w:val="00"/>
    <w:family w:val="auto"/>
    <w:pitch w:val="default"/>
    <w:sig w:usb0="00000000" w:usb1="00000000" w:usb2="00000000" w:usb3="00000000" w:csb0="00000001"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A6BCB"/>
    <w:multiLevelType w:val="singleLevel"/>
    <w:tmpl w:val="A28A6BCB"/>
    <w:lvl w:ilvl="0" w:tentative="0">
      <w:start w:val="16"/>
      <w:numFmt w:val="decimal"/>
      <w:suff w:val="nothing"/>
      <w:lvlText w:val="%1、"/>
      <w:lvlJc w:val="left"/>
    </w:lvl>
  </w:abstractNum>
  <w:abstractNum w:abstractNumId="1">
    <w:nsid w:val="B305842F"/>
    <w:multiLevelType w:val="singleLevel"/>
    <w:tmpl w:val="B305842F"/>
    <w:lvl w:ilvl="0" w:tentative="0">
      <w:start w:val="3"/>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5AC477"/>
    <w:multiLevelType w:val="singleLevel"/>
    <w:tmpl w:val="475AC477"/>
    <w:lvl w:ilvl="0" w:tentative="0">
      <w:start w:val="1"/>
      <w:numFmt w:val="decimal"/>
      <w:suff w:val="nothing"/>
      <w:lvlText w:val="%1、"/>
      <w:lvlJc w:val="left"/>
    </w:lvl>
  </w:abstractNum>
  <w:abstractNum w:abstractNumId="4">
    <w:nsid w:val="5A601AB2"/>
    <w:multiLevelType w:val="singleLevel"/>
    <w:tmpl w:val="5A601AB2"/>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172A27"/>
    <w:rsid w:val="0002229B"/>
    <w:rsid w:val="000273BD"/>
    <w:rsid w:val="000415B7"/>
    <w:rsid w:val="00041E3F"/>
    <w:rsid w:val="00055DAA"/>
    <w:rsid w:val="00061F7B"/>
    <w:rsid w:val="000658A3"/>
    <w:rsid w:val="00074155"/>
    <w:rsid w:val="000A3F69"/>
    <w:rsid w:val="00103957"/>
    <w:rsid w:val="00152C6D"/>
    <w:rsid w:val="00162D39"/>
    <w:rsid w:val="001678BD"/>
    <w:rsid w:val="00172A27"/>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22AB"/>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A5F"/>
    <w:rsid w:val="00DD5FE9"/>
    <w:rsid w:val="00E00C7A"/>
    <w:rsid w:val="00E37D6C"/>
    <w:rsid w:val="00E55B68"/>
    <w:rsid w:val="00E67BE6"/>
    <w:rsid w:val="00E8683C"/>
    <w:rsid w:val="00EA2B72"/>
    <w:rsid w:val="00F651BE"/>
    <w:rsid w:val="00F74360"/>
    <w:rsid w:val="00FB462F"/>
    <w:rsid w:val="00FE16FA"/>
    <w:rsid w:val="00FE328A"/>
    <w:rsid w:val="00FE6269"/>
    <w:rsid w:val="01FB5C0E"/>
    <w:rsid w:val="0C211646"/>
    <w:rsid w:val="0F301F8D"/>
    <w:rsid w:val="11FC75E9"/>
    <w:rsid w:val="18FA6922"/>
    <w:rsid w:val="1927256A"/>
    <w:rsid w:val="1A6F4934"/>
    <w:rsid w:val="220F6050"/>
    <w:rsid w:val="22144522"/>
    <w:rsid w:val="252022A4"/>
    <w:rsid w:val="2699795D"/>
    <w:rsid w:val="27944E70"/>
    <w:rsid w:val="29620287"/>
    <w:rsid w:val="2FF3140C"/>
    <w:rsid w:val="35454CA9"/>
    <w:rsid w:val="36D53B90"/>
    <w:rsid w:val="38A37098"/>
    <w:rsid w:val="393C2DBC"/>
    <w:rsid w:val="3DE45A8E"/>
    <w:rsid w:val="4452323C"/>
    <w:rsid w:val="51241DB0"/>
    <w:rsid w:val="53EB4950"/>
    <w:rsid w:val="550678D1"/>
    <w:rsid w:val="55141FEB"/>
    <w:rsid w:val="581D0D71"/>
    <w:rsid w:val="6AFF4D24"/>
    <w:rsid w:val="7154725E"/>
    <w:rsid w:val="7DD6544C"/>
    <w:rsid w:val="7F554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left="0" w:firstLine="420" w:firstLineChars="200"/>
    </w:pPr>
  </w:style>
  <w:style w:type="paragraph" w:styleId="3">
    <w:name w:val="Body Text Indent"/>
    <w:basedOn w:val="1"/>
    <w:qFormat/>
    <w:uiPriority w:val="0"/>
    <w:pPr>
      <w:spacing w:after="120"/>
      <w:ind w:left="420" w:left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sz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04F93-5E6F-449D-80C7-FD2F03171D9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3570</Words>
  <Characters>20354</Characters>
  <Lines>169</Lines>
  <Paragraphs>47</Paragraphs>
  <TotalTime>5</TotalTime>
  <ScaleCrop>false</ScaleCrop>
  <LinksUpToDate>false</LinksUpToDate>
  <CharactersWithSpaces>23877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2024-05-28T03:45:00Z</dcterms:created>
  <dc:creator>李航 null</dc:creator>
  <cp:lastModifiedBy>WPS_1687165778</cp:lastModifiedBy>
  <cp:lastPrinted>2021-08-10T03:05:00Z</cp:lastPrinted>
  <dcterms:modified xsi:type="dcterms:W3CDTF">2024-08-29T01:46:48Z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AE0102845B8E4C3AAD5F63BE102E0141_13</vt:lpwstr>
  </property>
  <property fmtid="{D5CDD505-2E9C-101B-9397-08002B2CF9AE}" pid="4" name="KSOSaveFontToCloudKey">
    <vt:lpwstr>891720599_btnclosed</vt:lpwstr>
  </property>
</Properties>
</file>