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Times New Roman"/>
          <w:kern w:val="0"/>
          <w:sz w:val="44"/>
          <w:szCs w:val="44"/>
        </w:rPr>
      </w:pPr>
      <w:r>
        <w:rPr>
          <w:rFonts w:eastAsia="Times New Roman"/>
          <w:kern w:val="0"/>
          <w:sz w:val="44"/>
          <w:szCs w:val="44"/>
        </w:rPr>
        <w:t>20</w:t>
      </w:r>
      <w:r>
        <w:rPr>
          <w:rFonts w:hint="eastAsia"/>
          <w:kern w:val="0"/>
          <w:sz w:val="44"/>
          <w:szCs w:val="44"/>
        </w:rPr>
        <w:t>21</w:t>
      </w:r>
      <w:r>
        <w:rPr>
          <w:rFonts w:hint="eastAsia" w:ascii="宋体" w:hAnsi="宋体" w:cs="宋体"/>
          <w:kern w:val="0"/>
          <w:sz w:val="44"/>
          <w:szCs w:val="44"/>
        </w:rPr>
        <w:t>年部门预算公开参考模板</w:t>
      </w:r>
    </w:p>
    <w:p>
      <w:pPr>
        <w:ind w:firstLine="361" w:firstLineChars="100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ind w:firstLine="361" w:firstLineChars="100"/>
        <w:jc w:val="center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b/>
          <w:bCs/>
          <w:sz w:val="36"/>
          <w:szCs w:val="36"/>
        </w:rPr>
        <w:t>目录</w:t>
      </w:r>
      <w:r>
        <w:rPr>
          <w:rFonts w:ascii="宋体" w:hAnsi="宋体" w:cs="宋体"/>
          <w:b/>
          <w:bCs/>
          <w:sz w:val="36"/>
          <w:szCs w:val="36"/>
        </w:rPr>
        <w:br w:type="textWrapping"/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</w:rPr>
        <w:t>水府旅游区管理委员</w:t>
      </w:r>
      <w:r>
        <w:rPr>
          <w:rFonts w:ascii="宋体" w:hAnsi="宋体" w:cs="宋体"/>
          <w:b/>
          <w:bCs/>
          <w:sz w:val="32"/>
          <w:szCs w:val="32"/>
        </w:rPr>
        <w:t>单位概况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ascii="宋体" w:hAnsi="宋体" w:cs="宋体"/>
          <w:sz w:val="32"/>
          <w:szCs w:val="32"/>
        </w:rPr>
        <w:t>一、部门职责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ascii="宋体" w:hAnsi="宋体" w:cs="宋体"/>
          <w:sz w:val="32"/>
          <w:szCs w:val="32"/>
        </w:rPr>
        <w:t>二、机构设置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ascii="宋体" w:hAnsi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</w:rPr>
        <w:t>水府旅游区管理委员</w:t>
      </w:r>
      <w:r>
        <w:rPr>
          <w:rFonts w:ascii="宋体" w:hAnsi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</w:rPr>
        <w:t>21</w:t>
      </w:r>
      <w:r>
        <w:rPr>
          <w:rFonts w:ascii="宋体" w:hAnsi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</w:rPr>
        <w:t>预算</w:t>
      </w:r>
      <w:r>
        <w:rPr>
          <w:rFonts w:ascii="宋体" w:hAnsi="宋体" w:cs="宋体"/>
          <w:b/>
          <w:bCs/>
          <w:sz w:val="32"/>
          <w:szCs w:val="32"/>
        </w:rPr>
        <w:t>情况说明</w:t>
      </w:r>
      <w:r>
        <w:rPr>
          <w:rFonts w:ascii="宋体" w:hAnsi="宋体" w:cs="宋体"/>
          <w:b/>
          <w:bCs/>
          <w:sz w:val="32"/>
          <w:szCs w:val="32"/>
        </w:rPr>
        <w:br w:type="textWrapping"/>
      </w:r>
      <w:r>
        <w:rPr>
          <w:rFonts w:ascii="宋体" w:hAnsi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</w:rPr>
        <w:t>部门</w:t>
      </w:r>
      <w:r>
        <w:rPr>
          <w:rFonts w:ascii="宋体" w:hAnsi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ascii="宋体" w:hAnsi="宋体" w:cs="宋体"/>
          <w:sz w:val="32"/>
          <w:szCs w:val="32"/>
        </w:rPr>
        <w:t>总体情况说明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1、部门</w:t>
      </w:r>
      <w:r>
        <w:rPr>
          <w:rFonts w:ascii="宋体" w:hAnsi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ascii="宋体" w:hAnsi="宋体" w:cs="宋体"/>
          <w:sz w:val="32"/>
          <w:szCs w:val="32"/>
        </w:rPr>
        <w:t>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2、部门</w:t>
      </w:r>
      <w:r>
        <w:rPr>
          <w:rFonts w:ascii="宋体" w:hAnsi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</w:rPr>
        <w:t>预</w:t>
      </w:r>
      <w:r>
        <w:rPr>
          <w:rFonts w:ascii="宋体" w:hAnsi="宋体" w:cs="宋体"/>
          <w:sz w:val="32"/>
          <w:szCs w:val="32"/>
        </w:rPr>
        <w:t>算情况说明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二</w:t>
      </w:r>
      <w:r>
        <w:rPr>
          <w:rFonts w:ascii="宋体" w:hAnsi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ascii="宋体" w:hAnsi="宋体" w:cs="宋体"/>
          <w:sz w:val="32"/>
          <w:szCs w:val="32"/>
        </w:rPr>
        <w:t>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1、</w:t>
      </w:r>
      <w:r>
        <w:rPr>
          <w:rFonts w:ascii="宋体" w:hAnsi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ascii="宋体" w:hAnsi="宋体" w:cs="宋体"/>
          <w:sz w:val="32"/>
          <w:szCs w:val="32"/>
        </w:rPr>
        <w:t>情况说明</w:t>
      </w:r>
    </w:p>
    <w:p>
      <w:pPr>
        <w:numPr>
          <w:ilvl w:val="0"/>
          <w:numId w:val="1"/>
        </w:num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</w:rPr>
        <w:t>项目</w:t>
      </w:r>
      <w:r>
        <w:rPr>
          <w:rFonts w:ascii="宋体" w:hAnsi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ascii="宋体" w:hAnsi="宋体" w:cs="宋体"/>
          <w:sz w:val="32"/>
          <w:szCs w:val="32"/>
        </w:rPr>
        <w:t>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三</w:t>
      </w:r>
      <w:r>
        <w:rPr>
          <w:rFonts w:ascii="宋体" w:hAnsi="宋体" w:cs="宋体"/>
          <w:sz w:val="32"/>
          <w:szCs w:val="32"/>
        </w:rPr>
        <w:t>、预算绩效情况说明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四</w:t>
      </w:r>
      <w:r>
        <w:rPr>
          <w:rFonts w:ascii="宋体" w:hAnsi="宋体" w:cs="宋体"/>
          <w:sz w:val="32"/>
          <w:szCs w:val="32"/>
        </w:rPr>
        <w:t>、其他重要事项的情况说明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1、机关运行经费情况说明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</w:t>
      </w:r>
      <w:r>
        <w:rPr>
          <w:rFonts w:ascii="宋体" w:hAnsi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ascii="宋体" w:hAnsi="宋体" w:cs="宋体"/>
          <w:sz w:val="32"/>
          <w:szCs w:val="32"/>
        </w:rPr>
        <w:t>情况说明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3、政府采购情况说明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4、政府购买服务情况说明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ascii="宋体" w:hAnsi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cs="宋体"/>
          <w:b/>
          <w:bCs/>
          <w:sz w:val="32"/>
          <w:szCs w:val="32"/>
        </w:rPr>
        <w:br w:type="textWrapping"/>
      </w:r>
      <w:r>
        <w:rPr>
          <w:rFonts w:ascii="宋体" w:hAnsi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</w:rPr>
        <w:t>水府旅游区管理委员</w:t>
      </w:r>
      <w:r>
        <w:rPr>
          <w:rFonts w:ascii="宋体" w:hAnsi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</w:rPr>
        <w:t>21</w:t>
      </w:r>
      <w:r>
        <w:rPr>
          <w:rFonts w:ascii="宋体" w:hAnsi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</w:rPr>
        <w:t>预算</w:t>
      </w:r>
      <w:r>
        <w:rPr>
          <w:rFonts w:ascii="宋体" w:hAnsi="宋体" w:cs="宋体"/>
          <w:b/>
          <w:bCs/>
          <w:sz w:val="32"/>
          <w:szCs w:val="32"/>
        </w:rPr>
        <w:t>表</w:t>
      </w:r>
      <w:r>
        <w:rPr>
          <w:rFonts w:ascii="宋体" w:hAnsi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1</w:t>
      </w:r>
      <w:r>
        <w:rPr>
          <w:rFonts w:ascii="宋体" w:hAnsi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</w:rPr>
        <w:t>部门预算基本情况表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2、部门预算基本数据表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3、部门收支预算总表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4、部门收入预算总表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5、部门支出预算总表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6、财政拨款收支预算总表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7、一般公共预算支出表（政府预算支出经济分类）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8、一般公共预算支出表（部门预算支出经济分类）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9、部门政府性基金预算支出表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10、公共财政拨款“三公”经费及会议费预算表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11、项目支出明细表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12、政府采购预算表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13、政府采购服务预算表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14、非税收入表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15、非税收入安排的支出表</w:t>
      </w:r>
    </w:p>
    <w:p>
      <w:pPr>
        <w:spacing w:line="480" w:lineRule="auto"/>
        <w:rPr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16、部门整体支出绩效目标申报表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z w:val="32"/>
          <w:szCs w:val="32"/>
        </w:rPr>
        <w:t>水府旅游区管理委员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</w:rPr>
        <w:t>21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hint="eastAsia" w:eastAsia="黑体"/>
          <w:kern w:val="0"/>
          <w:sz w:val="32"/>
          <w:szCs w:val="32"/>
        </w:rPr>
        <w:t>单位概况</w:t>
      </w:r>
    </w:p>
    <w:p>
      <w:pPr>
        <w:widowControl/>
        <w:spacing w:line="600" w:lineRule="exact"/>
        <w:jc w:val="lef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eastAsia="黑体"/>
          <w:b/>
          <w:bCs/>
          <w:kern w:val="0"/>
          <w:sz w:val="32"/>
          <w:szCs w:val="32"/>
        </w:rPr>
        <w:t>一、</w:t>
      </w: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</w:p>
    <w:p>
      <w:pPr>
        <w:widowControl/>
        <w:spacing w:line="600" w:lineRule="exact"/>
        <w:ind w:firstLine="480" w:firstLineChars="15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负责水府旅游区的统一管理、统一规划设计、统一开发建设、统一收费管理、承办相关服务工作。</w:t>
      </w:r>
    </w:p>
    <w:p>
      <w:pPr>
        <w:widowControl/>
        <w:spacing w:line="600" w:lineRule="exact"/>
        <w:ind w:firstLine="643" w:firstLineChars="200"/>
        <w:jc w:val="left"/>
        <w:rPr>
          <w:rFonts w:eastAsia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二、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</w:p>
    <w:p>
      <w:pPr>
        <w:widowControl/>
        <w:spacing w:line="600" w:lineRule="exact"/>
        <w:ind w:firstLine="627" w:firstLineChars="196"/>
        <w:jc w:val="left"/>
        <w:rPr>
          <w:rFonts w:eastAsia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</w:rPr>
        <w:t>21</w:t>
      </w:r>
      <w:r>
        <w:rPr>
          <w:rFonts w:hint="eastAsia" w:ascii="宋体" w:hAnsi="宋体" w:cs="宋体"/>
          <w:sz w:val="32"/>
          <w:szCs w:val="32"/>
        </w:rPr>
        <w:t>年部门预算编制范围的二级预算单位包括：</w:t>
      </w:r>
    </w:p>
    <w:p>
      <w:pPr>
        <w:widowControl/>
        <w:ind w:firstLine="640" w:firstLineChars="20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本部门只有本级，没有其他二级预算单位，因此，纳入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</w:rPr>
        <w:t>20</w:t>
      </w:r>
      <w:r>
        <w:rPr>
          <w:rFonts w:hint="eastAsia" w:ascii="宋体" w:hAnsi="宋体" w:cs="宋体"/>
          <w:sz w:val="32"/>
          <w:szCs w:val="32"/>
        </w:rPr>
        <w:t>年部门预算编制范围的只有水府旅游区管理委员会部门本级，内设机构含</w:t>
      </w:r>
      <w:r>
        <w:rPr>
          <w:rFonts w:ascii="宋体" w:hAnsi="宋体" w:cs="宋体"/>
          <w:sz w:val="32"/>
          <w:szCs w:val="32"/>
        </w:rPr>
        <w:t>综合管理部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ascii="宋体" w:hAnsi="宋体" w:cs="宋体"/>
          <w:sz w:val="32"/>
          <w:szCs w:val="32"/>
        </w:rPr>
        <w:t>综合执法部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ascii="宋体" w:hAnsi="宋体" w:cs="宋体"/>
          <w:sz w:val="32"/>
          <w:szCs w:val="32"/>
        </w:rPr>
        <w:t>旅游事务部</w:t>
      </w:r>
      <w:r>
        <w:rPr>
          <w:rFonts w:hint="eastAsia" w:ascii="宋体" w:hAnsi="宋体" w:cs="宋体"/>
          <w:sz w:val="32"/>
          <w:szCs w:val="32"/>
        </w:rPr>
        <w:t>、</w:t>
      </w:r>
    </w:p>
    <w:p>
      <w:pPr>
        <w:widowControl/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林业工作站</w:t>
      </w:r>
      <w:r>
        <w:rPr>
          <w:rFonts w:hint="eastAsia" w:ascii="宋体" w:hAnsi="宋体" w:cs="宋体"/>
          <w:sz w:val="32"/>
          <w:szCs w:val="32"/>
        </w:rPr>
        <w:t>、渔政管理站、溪口渔场。</w:t>
      </w:r>
    </w:p>
    <w:p>
      <w:pPr>
        <w:widowControl/>
        <w:spacing w:line="600" w:lineRule="exact"/>
        <w:ind w:firstLine="480" w:firstLineChars="150"/>
        <w:jc w:val="left"/>
        <w:rPr>
          <w:rFonts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本单位在职人员</w:t>
      </w:r>
      <w:r>
        <w:rPr>
          <w:rFonts w:hint="eastAsia"/>
          <w:sz w:val="32"/>
          <w:szCs w:val="32"/>
        </w:rPr>
        <w:t>22</w:t>
      </w:r>
      <w:r>
        <w:rPr>
          <w:rFonts w:hint="eastAsia" w:cs="宋体"/>
          <w:sz w:val="32"/>
          <w:szCs w:val="32"/>
        </w:rPr>
        <w:t>人，无离退休人员。业务用车两辆。本单位拥有国有资产</w:t>
      </w:r>
      <w:r>
        <w:rPr>
          <w:rFonts w:hint="eastAsia"/>
          <w:sz w:val="32"/>
          <w:szCs w:val="32"/>
        </w:rPr>
        <w:t>318</w:t>
      </w:r>
      <w:r>
        <w:rPr>
          <w:rFonts w:hint="eastAsia" w:cs="宋体"/>
          <w:sz w:val="32"/>
          <w:szCs w:val="32"/>
        </w:rPr>
        <w:t>万元，其中办公楼</w:t>
      </w:r>
      <w:r>
        <w:rPr>
          <w:rFonts w:hint="eastAsia"/>
          <w:sz w:val="32"/>
          <w:szCs w:val="32"/>
        </w:rPr>
        <w:t>1</w:t>
      </w:r>
      <w:r>
        <w:rPr>
          <w:rFonts w:hint="eastAsia" w:cs="宋体"/>
          <w:sz w:val="32"/>
          <w:szCs w:val="32"/>
        </w:rPr>
        <w:t>栋</w:t>
      </w:r>
      <w:r>
        <w:rPr>
          <w:rFonts w:hint="eastAsia" w:eastAsiaTheme="minorEastAsia"/>
          <w:sz w:val="32"/>
          <w:szCs w:val="32"/>
        </w:rPr>
        <w:t>927.69</w:t>
      </w:r>
      <w:r>
        <w:rPr>
          <w:rFonts w:hint="eastAsia" w:cs="宋体"/>
          <w:sz w:val="32"/>
          <w:szCs w:val="32"/>
        </w:rPr>
        <w:t>平方米。</w:t>
      </w:r>
    </w:p>
    <w:p>
      <w:pPr>
        <w:widowControl/>
        <w:spacing w:line="600" w:lineRule="exact"/>
        <w:jc w:val="left"/>
        <w:rPr>
          <w:rFonts w:cs="宋体"/>
          <w:b/>
          <w:bCs/>
          <w:sz w:val="32"/>
          <w:szCs w:val="32"/>
        </w:rPr>
      </w:pPr>
      <w:r>
        <w:rPr>
          <w:rFonts w:hint="eastAsia" w:cs="宋体"/>
          <w:b/>
          <w:bCs/>
          <w:sz w:val="32"/>
          <w:szCs w:val="32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/>
          <w:sz w:val="32"/>
          <w:szCs w:val="32"/>
        </w:rPr>
        <w:t>2021</w:t>
      </w:r>
      <w:r>
        <w:rPr>
          <w:rFonts w:hint="eastAsia" w:ascii="宋体" w:hAnsi="宋体" w:cs="宋体"/>
          <w:sz w:val="32"/>
          <w:szCs w:val="32"/>
        </w:rPr>
        <w:t>年部门预算包括本级预算和所属单位预算在内的汇总情况。收入既包括一般公共预算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、政府性基金收入和国有资本经营预算收入，又包括事业单位经营服务等收入；支出既包括机关及所属事业单位基本运行的经费，也包括</w:t>
      </w:r>
      <w:r>
        <w:rPr>
          <w:rFonts w:hint="eastAsia" w:eastAsiaTheme="minorEastAsia"/>
          <w:sz w:val="32"/>
          <w:szCs w:val="32"/>
        </w:rPr>
        <w:t>安全生产</w:t>
      </w:r>
      <w:r>
        <w:rPr>
          <w:rFonts w:hint="eastAsia" w:ascii="宋体" w:hAnsi="宋体" w:cs="宋体"/>
          <w:sz w:val="32"/>
          <w:szCs w:val="32"/>
        </w:rPr>
        <w:t>等专项经费。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/>
          <w:sz w:val="32"/>
          <w:szCs w:val="32"/>
        </w:rPr>
        <w:t>2021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 w:eastAsiaTheme="minorEastAsia"/>
          <w:sz w:val="32"/>
          <w:szCs w:val="32"/>
        </w:rPr>
        <w:t>506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 w:eastAsiaTheme="minorEastAsia"/>
          <w:sz w:val="32"/>
          <w:szCs w:val="32"/>
        </w:rPr>
        <w:t>506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 w:eastAsiaTheme="minorEastAsia"/>
          <w:sz w:val="32"/>
          <w:szCs w:val="32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 w:eastAsiaTheme="minorEastAsia"/>
          <w:sz w:val="32"/>
          <w:szCs w:val="32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 w:eastAsiaTheme="minorEastAsia"/>
          <w:sz w:val="32"/>
          <w:szCs w:val="32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hint="eastAsia" w:ascii="??_GB2312" w:hAnsi="??_GB2312" w:cs="宋体"/>
          <w:sz w:val="32"/>
          <w:szCs w:val="32"/>
        </w:rPr>
        <w:t>收入较去年增加60.1万元，主要是</w:t>
      </w:r>
      <w:r>
        <w:rPr>
          <w:rFonts w:hint="eastAsia" w:ascii="??_GB2312" w:hAnsi="??_GB2312" w:cs="??_GB2312"/>
          <w:sz w:val="32"/>
          <w:szCs w:val="32"/>
        </w:rPr>
        <w:t>人员增加了6人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2、支出预算</w:t>
      </w:r>
      <w:r>
        <w:rPr>
          <w:rFonts w:hint="eastAsia"/>
          <w:sz w:val="32"/>
          <w:szCs w:val="32"/>
        </w:rPr>
        <w:t>2021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 w:eastAsiaTheme="minorEastAsia"/>
          <w:sz w:val="32"/>
          <w:szCs w:val="32"/>
        </w:rPr>
        <w:t>506</w:t>
      </w:r>
      <w:r>
        <w:rPr>
          <w:rFonts w:hint="eastAsia" w:ascii="宋体" w:hAnsi="宋体" w:cs="宋体"/>
          <w:sz w:val="32"/>
          <w:szCs w:val="32"/>
        </w:rPr>
        <w:t>万元，其中，一般公共服务</w:t>
      </w:r>
      <w:r>
        <w:rPr>
          <w:rFonts w:hint="eastAsia" w:eastAsiaTheme="minorEastAsia"/>
          <w:sz w:val="32"/>
          <w:szCs w:val="32"/>
        </w:rPr>
        <w:t>455</w:t>
      </w:r>
      <w:r>
        <w:rPr>
          <w:rFonts w:hint="eastAsia" w:ascii="宋体" w:hAnsi="宋体" w:cs="宋体"/>
          <w:sz w:val="32"/>
          <w:szCs w:val="32"/>
        </w:rPr>
        <w:t>万元，社会保障和就业支出21万元，卫生健康支出10万元，住房保障支出20万元。</w:t>
      </w:r>
      <w:r>
        <w:rPr>
          <w:rFonts w:hint="eastAsia" w:ascii="??_GB2312" w:hAnsi="??_GB2312" w:cs="宋体"/>
          <w:sz w:val="32"/>
          <w:szCs w:val="32"/>
        </w:rPr>
        <w:t>支出较去年增加60.1万元，主要是</w:t>
      </w:r>
      <w:r>
        <w:rPr>
          <w:rFonts w:hint="eastAsia" w:ascii="??_GB2312" w:hAnsi="??_GB2312" w:cs="??_GB2312"/>
          <w:sz w:val="32"/>
          <w:szCs w:val="32"/>
        </w:rPr>
        <w:t>人员经费的增加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</w:rPr>
        <w:t>2021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 w:eastAsiaTheme="minorEastAsia"/>
          <w:sz w:val="32"/>
          <w:szCs w:val="32"/>
        </w:rPr>
        <w:t>506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1、基本支出</w:t>
      </w:r>
      <w:r>
        <w:rPr>
          <w:rFonts w:hint="eastAsia"/>
          <w:sz w:val="32"/>
          <w:szCs w:val="32"/>
        </w:rPr>
        <w:t>2021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 w:eastAsiaTheme="minorEastAsia"/>
          <w:sz w:val="32"/>
          <w:szCs w:val="32"/>
        </w:rPr>
        <w:t>272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2、项目支出</w:t>
      </w:r>
      <w:r>
        <w:rPr>
          <w:rFonts w:hint="eastAsia"/>
          <w:sz w:val="32"/>
          <w:szCs w:val="32"/>
        </w:rPr>
        <w:t>2021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 w:eastAsiaTheme="minorEastAsia"/>
          <w:sz w:val="32"/>
          <w:szCs w:val="32"/>
        </w:rPr>
        <w:t>234</w:t>
      </w:r>
      <w:r>
        <w:rPr>
          <w:rFonts w:hint="eastAsia" w:ascii="宋体" w:hAnsi="宋体" w:cs="宋体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 w:eastAsiaTheme="minorEastAsia"/>
          <w:sz w:val="32"/>
          <w:szCs w:val="32"/>
        </w:rPr>
        <w:t>安全生产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 w:eastAsiaTheme="minorEastAsia"/>
          <w:sz w:val="32"/>
          <w:szCs w:val="32"/>
        </w:rPr>
        <w:t>38.5</w:t>
      </w:r>
      <w:r>
        <w:rPr>
          <w:rFonts w:hint="eastAsia" w:ascii="宋体" w:hAnsi="宋体" w:cs="宋体"/>
          <w:sz w:val="32"/>
          <w:szCs w:val="32"/>
        </w:rPr>
        <w:t>万元，水府旅游区内的安全生产由水府管委会负责，水府庙水库水域广，水上安全压力巨大。据往年经费使用情况依实测算，需要</w:t>
      </w:r>
      <w:r>
        <w:rPr>
          <w:rFonts w:hint="eastAsia" w:eastAsiaTheme="minorEastAsia"/>
          <w:sz w:val="32"/>
          <w:szCs w:val="32"/>
        </w:rPr>
        <w:t>38.5</w:t>
      </w:r>
      <w:r>
        <w:rPr>
          <w:rFonts w:hint="eastAsia" w:ascii="宋体" w:hAnsi="宋体" w:cs="宋体"/>
          <w:sz w:val="32"/>
          <w:szCs w:val="32"/>
        </w:rPr>
        <w:t>万元；招商引资支出29万元，主要用于来市考察投资的商务接待等费用；旅游宣传及推广29万元，主要用于进一步加大水府旅游营销力度，提升旅游形象；湿地保护及宣教29万元，主要用于水府自然保护区保护及宣教等费用；旅游产业及旅游企业培育奖扶29万，主要用于加强渔民上岸后的帮扶，对符合法律法规要求，发展种养殖业和名优特农产品加工业并达到一定规模的，给予相应奖励；旅游管理培训25万元；主汛期水上垃圾打捞29.5万元，主要用于打捞每年汛期水库流域遭遇持续暴雨袭击后，来自水库上游流域和岸线的飘浮垃圾劳务费用；溪口渔场运行经费25万元，[2019]年41号中共湘乡市委常委议事协调会议纪要明确：“溪口渔场按每年25万元进行财政补贴”。</w:t>
      </w:r>
    </w:p>
    <w:p>
      <w:pPr>
        <w:widowControl/>
        <w:spacing w:line="600" w:lineRule="exact"/>
        <w:ind w:firstLine="660"/>
        <w:jc w:val="lef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三、预算绩效情况</w:t>
      </w:r>
    </w:p>
    <w:p>
      <w:pPr>
        <w:widowControl/>
        <w:spacing w:line="600" w:lineRule="exact"/>
        <w:ind w:firstLine="660"/>
        <w:jc w:val="left"/>
        <w:rPr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2020年安全生产及招商引资</w:t>
      </w:r>
      <w:r>
        <w:rPr>
          <w:rFonts w:hint="eastAsia" w:cs="宋体"/>
          <w:sz w:val="32"/>
          <w:szCs w:val="32"/>
        </w:rPr>
        <w:t>项目支出纳入了财政绩效评价，财政绩效评价结果</w:t>
      </w:r>
      <w:r>
        <w:rPr>
          <w:rFonts w:hint="eastAsia"/>
          <w:sz w:val="32"/>
          <w:szCs w:val="32"/>
        </w:rPr>
        <w:t>为</w:t>
      </w:r>
      <w:r>
        <w:rPr>
          <w:rFonts w:hint="eastAsia" w:eastAsiaTheme="minorEastAsia"/>
          <w:sz w:val="32"/>
          <w:szCs w:val="32"/>
        </w:rPr>
        <w:t>中等</w:t>
      </w:r>
      <w:r>
        <w:rPr>
          <w:rFonts w:hint="eastAsia" w:cs="宋体"/>
          <w:sz w:val="32"/>
          <w:szCs w:val="32"/>
        </w:rPr>
        <w:t>，</w:t>
      </w:r>
      <w:r>
        <w:rPr>
          <w:rFonts w:hint="eastAsia"/>
          <w:sz w:val="32"/>
          <w:szCs w:val="32"/>
        </w:rPr>
        <w:t>2021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</w:rPr>
        <w:t>安全生产</w:t>
      </w:r>
      <w:r>
        <w:rPr>
          <w:rFonts w:hint="eastAsia" w:cs="宋体"/>
          <w:sz w:val="32"/>
          <w:szCs w:val="32"/>
        </w:rPr>
        <w:t>项目支出纳入了财政绩效评价。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</w:rPr>
        <w:t>2021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年本单位或部门的机关运行经费当年一般公共预算拨款51万元，比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</w:rPr>
        <w:t>20</w:t>
      </w:r>
      <w:r>
        <w:rPr>
          <w:rFonts w:hint="eastAsia" w:ascii="宋体" w:hAnsi="宋体" w:cs="宋体"/>
          <w:sz w:val="32"/>
          <w:szCs w:val="32"/>
        </w:rPr>
        <w:t>年预算增加30.4万元，上升148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eastAsia="Times New Roman"/>
          <w:b/>
          <w:bCs/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sz w:val="32"/>
          <w:szCs w:val="32"/>
        </w:rPr>
        <w:t>.8万元，其中，公务接待费19.5万元，公务用车购置及运行费6.3万元（其中，公务用车购置费0万元</w:t>
      </w:r>
      <w:bookmarkStart w:id="0" w:name="_GoBack"/>
      <w:bookmarkEnd w:id="0"/>
      <w:r>
        <w:rPr>
          <w:rFonts w:hint="eastAsia" w:ascii="宋体" w:hAnsi="宋体" w:cs="宋体"/>
          <w:sz w:val="32"/>
          <w:szCs w:val="32"/>
        </w:rPr>
        <w:t>，公务用车运行费6.3万元），因公出国（境）费0万元。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</w:rPr>
        <w:t>20</w:t>
      </w:r>
      <w:r>
        <w:rPr>
          <w:rFonts w:hint="eastAsia" w:ascii="宋体" w:hAnsi="宋体" w:cs="宋体"/>
          <w:sz w:val="32"/>
          <w:szCs w:val="32"/>
        </w:rPr>
        <w:t>年减少38.2万元，主要是</w:t>
      </w:r>
      <w:r>
        <w:rPr>
          <w:rFonts w:hint="eastAsia" w:eastAsiaTheme="minorEastAsia"/>
          <w:sz w:val="32"/>
          <w:szCs w:val="32"/>
        </w:rPr>
        <w:t>招商引资引发公务接待费大幅压缩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eastAsiaTheme="minorEastAsia"/>
          <w:sz w:val="32"/>
          <w:szCs w:val="32"/>
        </w:rPr>
        <w:t>水府管委会</w:t>
      </w:r>
      <w:r>
        <w:rPr>
          <w:rFonts w:hint="eastAsia" w:ascii="宋体" w:hAnsi="宋体" w:cs="宋体"/>
          <w:sz w:val="32"/>
          <w:szCs w:val="32"/>
        </w:rPr>
        <w:t>政府采购预算总额2.5万元，其中，</w:t>
      </w:r>
      <w:r>
        <w:rPr>
          <w:rFonts w:hint="eastAsia" w:eastAsiaTheme="minorEastAsia"/>
          <w:sz w:val="32"/>
          <w:szCs w:val="32"/>
        </w:rPr>
        <w:t>政府</w:t>
      </w:r>
      <w:r>
        <w:rPr>
          <w:rFonts w:hint="eastAsia" w:ascii="宋体" w:hAnsi="宋体" w:cs="宋体"/>
          <w:sz w:val="32"/>
          <w:szCs w:val="32"/>
        </w:rPr>
        <w:t>采购货物预算2.5万元.</w:t>
      </w:r>
    </w:p>
    <w:p>
      <w:pPr>
        <w:widowControl/>
        <w:spacing w:line="600" w:lineRule="exact"/>
        <w:ind w:firstLine="640" w:firstLineChars="200"/>
        <w:rPr>
          <w:rFonts w:ascii="宋体" w:hAnsi="宋体" w:cs="宋体"/>
          <w:color w:val="000000" w:themeColor="text1"/>
          <w:sz w:val="32"/>
          <w:szCs w:val="32"/>
        </w:rPr>
      </w:pPr>
      <w:r>
        <w:rPr>
          <w:rFonts w:hint="eastAsia" w:ascii="宋体" w:hAnsi="宋体" w:cs="宋体"/>
          <w:color w:val="000000" w:themeColor="text1"/>
          <w:sz w:val="32"/>
          <w:szCs w:val="32"/>
        </w:rPr>
        <w:t>4、政府购买服务情况</w:t>
      </w:r>
    </w:p>
    <w:p>
      <w:pPr>
        <w:widowControl/>
        <w:spacing w:line="600" w:lineRule="exact"/>
        <w:ind w:firstLine="660"/>
        <w:rPr>
          <w:rFonts w:ascii="宋体" w:hAnsi="宋体" w:cs="宋体"/>
          <w:color w:val="000000" w:themeColor="text1"/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</w:rPr>
        <w:t>21</w:t>
      </w:r>
      <w:r>
        <w:rPr>
          <w:rFonts w:hint="eastAsia" w:ascii="宋体" w:hAnsi="宋体" w:cs="宋体"/>
          <w:sz w:val="32"/>
          <w:szCs w:val="32"/>
        </w:rPr>
        <w:t>年本单位无政府购买服务预算。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第三部分、名词解释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3871"/>
    <w:rsid w:val="000D7350"/>
    <w:rsid w:val="0014613F"/>
    <w:rsid w:val="001B4C0B"/>
    <w:rsid w:val="0020174A"/>
    <w:rsid w:val="002D16C4"/>
    <w:rsid w:val="002F577C"/>
    <w:rsid w:val="003E0BC9"/>
    <w:rsid w:val="003E3871"/>
    <w:rsid w:val="003F3476"/>
    <w:rsid w:val="00414B59"/>
    <w:rsid w:val="00435C97"/>
    <w:rsid w:val="00656F8D"/>
    <w:rsid w:val="006E6780"/>
    <w:rsid w:val="00823430"/>
    <w:rsid w:val="00847955"/>
    <w:rsid w:val="009340DD"/>
    <w:rsid w:val="009B6981"/>
    <w:rsid w:val="00A121F9"/>
    <w:rsid w:val="00AA4D3E"/>
    <w:rsid w:val="00B6157F"/>
    <w:rsid w:val="00C23B0A"/>
    <w:rsid w:val="00CE47C7"/>
    <w:rsid w:val="00D9092A"/>
    <w:rsid w:val="00E827A7"/>
    <w:rsid w:val="00EF2556"/>
    <w:rsid w:val="00F662A7"/>
    <w:rsid w:val="0D5D6C5C"/>
    <w:rsid w:val="20B607FA"/>
    <w:rsid w:val="28E94267"/>
    <w:rsid w:val="301F6F84"/>
    <w:rsid w:val="438C6E72"/>
    <w:rsid w:val="4DE41E38"/>
    <w:rsid w:val="60F0595B"/>
    <w:rsid w:val="63181C3A"/>
    <w:rsid w:val="6D4A1E18"/>
    <w:rsid w:val="6EEE573F"/>
    <w:rsid w:val="751B5D91"/>
    <w:rsid w:val="769A1D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  <w:style w:type="paragraph" w:styleId="8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czj</Company>
  <Pages>6</Pages>
  <Words>371</Words>
  <Characters>2115</Characters>
  <Lines>17</Lines>
  <Paragraphs>4</Paragraphs>
  <TotalTime>49</TotalTime>
  <ScaleCrop>false</ScaleCrop>
  <LinksUpToDate>false</LinksUpToDate>
  <CharactersWithSpaces>2482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2021-03-29T01:57:31Z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