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line="344" w:lineRule="atLeast"/>
        <w:ind w:left="638" w:firstLine="58"/>
        <w:jc w:val="left"/>
        <w:rPr>
          <w:rFonts w:ascii="方正仿宋_GBK" w:hAnsi="宋体" w:eastAsia="方正仿宋_GBK" w:cs="宋体"/>
          <w:b/>
          <w:bCs/>
          <w:color w:val="444444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/>
          <w:b/>
          <w:bCs/>
          <w:kern w:val="0"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湘乡市司法局</w:t>
      </w:r>
      <w:r>
        <w:rPr>
          <w:b/>
          <w:bCs/>
          <w:kern w:val="0"/>
          <w:sz w:val="44"/>
          <w:szCs w:val="44"/>
        </w:rPr>
        <w:t>20</w:t>
      </w:r>
      <w:r>
        <w:rPr>
          <w:rFonts w:hint="eastAsia"/>
          <w:b/>
          <w:bCs/>
          <w:kern w:val="0"/>
          <w:sz w:val="44"/>
          <w:szCs w:val="44"/>
        </w:rPr>
        <w:t>21</w:t>
      </w:r>
      <w:r>
        <w:rPr>
          <w:rFonts w:hint="eastAsia" w:ascii="宋体" w:hAnsi="宋体"/>
          <w:b/>
          <w:bCs/>
          <w:kern w:val="0"/>
          <w:sz w:val="44"/>
          <w:szCs w:val="44"/>
        </w:rPr>
        <w:t>年部门预算说明</w:t>
      </w:r>
    </w:p>
    <w:p>
      <w:pPr>
        <w:widowControl/>
        <w:shd w:val="clear" w:color="auto" w:fill="FFFFFF"/>
        <w:spacing w:before="100" w:beforeAutospacing="1" w:line="344" w:lineRule="atLeast"/>
        <w:ind w:left="638" w:firstLine="58"/>
        <w:jc w:val="left"/>
        <w:rPr>
          <w:rFonts w:ascii="方正仿宋_GBK" w:hAnsi="宋体" w:eastAsia="方正仿宋_GBK" w:cs="宋体"/>
          <w:b/>
          <w:bCs/>
          <w:color w:val="444444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b/>
          <w:bCs/>
          <w:color w:val="444444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before="100" w:beforeAutospacing="1" w:line="344" w:lineRule="atLeast"/>
        <w:ind w:left="638" w:firstLine="58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b/>
          <w:bCs/>
          <w:color w:val="444444"/>
          <w:kern w:val="0"/>
          <w:sz w:val="32"/>
          <w:szCs w:val="32"/>
        </w:rPr>
        <w:t>一、 单位概况</w:t>
      </w:r>
    </w:p>
    <w:p>
      <w:pPr>
        <w:widowControl/>
        <w:shd w:val="clear" w:color="auto" w:fill="FFFFFF"/>
        <w:spacing w:before="100" w:beforeAutospacing="1" w:line="344" w:lineRule="atLeast"/>
        <w:ind w:firstLine="64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b/>
          <w:bCs/>
          <w:color w:val="444444"/>
          <w:kern w:val="0"/>
          <w:sz w:val="32"/>
          <w:szCs w:val="32"/>
        </w:rPr>
        <w:t>（一）职能职责</w:t>
      </w:r>
    </w:p>
    <w:p>
      <w:pPr>
        <w:widowControl/>
        <w:shd w:val="clear" w:color="auto" w:fill="FFFFFF"/>
        <w:spacing w:before="100" w:beforeAutospacing="1" w:line="344" w:lineRule="atLeast"/>
        <w:ind w:firstLine="640"/>
        <w:jc w:val="left"/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</w:rPr>
        <w:t xml:space="preserve">承担全面依法治市重大问题的政策研究；协调有关方面提出全面依法治市中长期规划建设；负责有关重大决策部署督查工作。负责开展依法治市和法治建设考核工作。贯彻执行国家、省、湘潭市关于司法行政工作的方针政策和法律法规。编制全市司法行政工作发展中、长期规划和年度计划并监督实施。承担市人民政府法律顾问工作，负责对政府重大行政决策进行合法性审查或论证说明。负责市政府行政复议、应诉、裁决案件的办理；指导、监督乡镇（街道）及市直单位行政复议、应诉、裁决的有关工作。负责指导全市规范性文件管理相关工作；承担市政府规范性文件送审稿的合法性审查工作；负责市人民政府及其部门规范性文件的登记工作；受理有关规范性文件违法的审查申请；负责乡镇（街道）园区和市直部门规范性文件备案审查工作；组织开展规范性文件清理工作；推进重大行政决策听证；监督、指导政府等重大行政决策听证工作。承担统筹推进法治政府建设的责任。指导、监督各地各部门依法行政工作；负责综合协调行政执法，承担推进行政执法体制改革有关工作，推进严格规范公正文明执法。负责政府合同的审查管理，参与、指导、监督重大政府合同的调研、谈判、起草、签订等工作；督促指导乡镇（街道）及市直单位规范政府合同管理。负责拟订法治宣传教育规划，组织实施普法宣传工作，组织对外法治宣传；指导依法治理和法治创建工作。负责拟订公共法律服务体系建设规划并指导实施，统筹和布局城乡、区域法律服务资源；指导全市法律顾问工作。指导监督管理律师、司法鉴定、公证和基层法律服务工作。指导监督管理法律援助工作，指派承办法律援助案件。推动人民参与和促进法治建设；指导并监督管理人民调解工作及司法所工作，推进司法所建设；负责人民陪审员、人民监督员选任管理工作。指导、管理社区矫正工作；指导刑满释放人员安置帮教工作。负责指导、监督各乡镇（街道）园区、各部门行政执法工作，负责行政执法人员资格管理。参与社会治安综合管理。规划、协调、指导法治人才队伍建设相关工作；负责本系统队伍建设。完成市委、市人民政府交办的其他事项。   </w:t>
      </w:r>
    </w:p>
    <w:p>
      <w:pPr>
        <w:widowControl/>
        <w:shd w:val="clear" w:color="auto" w:fill="FFFFFF"/>
        <w:spacing w:before="100" w:beforeAutospacing="1" w:line="344" w:lineRule="atLeast"/>
        <w:ind w:firstLine="64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</w:rPr>
        <w:t xml:space="preserve"> </w:t>
      </w:r>
      <w:r>
        <w:rPr>
          <w:rFonts w:hint="eastAsia" w:ascii="方正仿宋_GBK" w:hAnsi="宋体" w:eastAsia="方正仿宋_GBK" w:cs="宋体"/>
          <w:b/>
          <w:bCs/>
          <w:color w:val="444444"/>
          <w:kern w:val="0"/>
          <w:sz w:val="32"/>
          <w:szCs w:val="32"/>
        </w:rPr>
        <w:t>（二）机构设置</w:t>
      </w:r>
    </w:p>
    <w:p>
      <w:pPr>
        <w:widowControl/>
        <w:shd w:val="clear" w:color="auto" w:fill="FFFFFF"/>
        <w:spacing w:before="100" w:beforeAutospacing="1" w:line="344" w:lineRule="atLeast"/>
        <w:ind w:firstLine="64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</w:rPr>
        <w:t>我单位是市政府行政部门（以编委规定的职责为准）。无二级机构，没有其他二级预算单位，因此，纳入2021年部门预算编制范围的只有司法局部门本级。</w:t>
      </w:r>
    </w:p>
    <w:p>
      <w:pPr>
        <w:widowControl/>
        <w:shd w:val="clear" w:color="auto" w:fill="FFFFFF"/>
        <w:spacing w:before="100" w:beforeAutospacing="1" w:line="344" w:lineRule="atLeast"/>
        <w:ind w:firstLine="64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</w:rPr>
        <w:t>本单位在职人员118人，退休 25人；公车2辆。单位国有资产共计477万元，独立拥有办公业务用房一栋4370平方米。</w:t>
      </w:r>
    </w:p>
    <w:p>
      <w:pPr>
        <w:widowControl/>
        <w:shd w:val="clear" w:color="auto" w:fill="FFFFFF"/>
        <w:spacing w:before="100" w:beforeAutospacing="1" w:line="344" w:lineRule="atLeast"/>
        <w:ind w:firstLine="64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before="100" w:beforeAutospacing="1" w:line="344" w:lineRule="atLeast"/>
        <w:ind w:firstLine="64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</w:rPr>
        <w:t>我局设12个内设机构（即：办公室、普法与依法治理股、行政复议与应诉股、行政执法协调监督股、规范性文件管理股、社区矫正管理股、合同审查管理股、人民参与和促进法治股、公共法律服务管理、装备财务保障股、党建办、人事股），一个事业单位：湘乡市法律援助中心，市公证处接受市司法局指导监督（编制数并入局机关司法行政专项编制数）；全市按乡、镇、办事处共设22个副科级司法所。</w:t>
      </w:r>
    </w:p>
    <w:p>
      <w:pPr>
        <w:widowControl/>
        <w:shd w:val="clear" w:color="auto" w:fill="FFFFFF"/>
        <w:wordWrap w:val="0"/>
        <w:spacing w:before="100" w:beforeAutospacing="1" w:line="600" w:lineRule="atLeast"/>
        <w:ind w:left="638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b/>
          <w:bCs/>
          <w:color w:val="444444"/>
          <w:kern w:val="0"/>
          <w:sz w:val="32"/>
          <w:szCs w:val="32"/>
          <w:shd w:val="clear" w:color="auto" w:fill="FFFFFF"/>
        </w:rPr>
        <w:t>二、</w:t>
      </w:r>
      <w:r>
        <w:rPr>
          <w:rFonts w:hint="eastAsia" w:ascii="方正仿宋_GBK" w:hAnsi="宋体" w:eastAsia="方正仿宋_GBK" w:cs="宋体"/>
          <w:b/>
          <w:bCs/>
          <w:color w:val="333333"/>
          <w:kern w:val="0"/>
          <w:sz w:val="32"/>
          <w:szCs w:val="32"/>
        </w:rPr>
        <w:t>2021年度部门预算情况说明</w:t>
      </w: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</w:rPr>
        <w:br w:type="textWrapping"/>
      </w: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</w:rPr>
        <w:t>（一）部门收支预算总体情况说明</w:t>
      </w:r>
    </w:p>
    <w:p>
      <w:pPr>
        <w:widowControl/>
        <w:shd w:val="clear" w:color="auto" w:fill="FFFFFF"/>
        <w:wordWrap w:val="0"/>
        <w:spacing w:before="100" w:beforeAutospacing="1" w:line="600" w:lineRule="atLeast"/>
        <w:ind w:firstLine="641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</w:rPr>
        <w:t>2021年部门预算包括本级预算和所属单位预算在内的汇总情况。收入既包括一般公共预算收入,又包括事业单位经营服务等收入；支出既包括机关及所属事业单位基本运行的经费，也包括普法宣传、安置帮教、法律援助等专项经费。</w:t>
      </w:r>
    </w:p>
    <w:p>
      <w:pPr>
        <w:widowControl/>
        <w:shd w:val="clear" w:color="auto" w:fill="FFFFFF"/>
        <w:spacing w:before="100" w:beforeAutospacing="1" w:line="344" w:lineRule="atLeast"/>
        <w:ind w:firstLine="48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  <w:shd w:val="clear" w:color="auto" w:fill="FFFFFF"/>
        </w:rPr>
        <w:t>（1）收入预算：</w:t>
      </w: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</w:rPr>
        <w:t>2021年收入总计1805万元。其中：公共财政拨款收入1805万元；政府性基金拨款收入0万元；纳入专户管理的非税收入拨款0万元。收入较去年增加163万元，主要是公用经费标准及乡镇补贴标准和工资的提高。</w:t>
      </w:r>
    </w:p>
    <w:p>
      <w:pPr>
        <w:widowControl/>
        <w:shd w:val="clear" w:color="auto" w:fill="FFFFFF"/>
        <w:spacing w:before="100" w:beforeAutospacing="1" w:line="344" w:lineRule="atLeast"/>
        <w:ind w:firstLine="48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  <w:shd w:val="clear" w:color="auto" w:fill="FFFFFF"/>
        </w:rPr>
        <w:t>（2）支出预算：</w:t>
      </w: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</w:rPr>
        <w:t>2021年年初预算数1805万元，其中：一般公共服务支出1588万元，社会保障和就业支出120万元，医疗卫生和计划生育支出61万元，住房保障支出124万元。支出较去年增加主要是工资支出增加。</w:t>
      </w:r>
    </w:p>
    <w:p>
      <w:pPr>
        <w:widowControl/>
        <w:shd w:val="clear" w:color="auto" w:fill="FFFFFF"/>
        <w:spacing w:before="100" w:beforeAutospacing="1" w:line="344" w:lineRule="atLeast"/>
        <w:ind w:firstLine="48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</w:rPr>
        <w:t>（二）</w:t>
      </w: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</w:rPr>
        <w:t>一般公共预算财政拨款支出预算情况说明</w:t>
      </w:r>
    </w:p>
    <w:p>
      <w:pPr>
        <w:widowControl/>
        <w:shd w:val="clear" w:color="auto" w:fill="FFFFFF"/>
        <w:spacing w:before="100" w:beforeAutospacing="1" w:line="344" w:lineRule="atLeast"/>
        <w:ind w:firstLine="64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</w:rPr>
        <w:t>2021年一般公共预算拨款收入1805万元，具体安排情况如下：</w:t>
      </w:r>
    </w:p>
    <w:p>
      <w:pPr>
        <w:widowControl/>
        <w:shd w:val="clear" w:color="auto" w:fill="FFFFFF"/>
        <w:spacing w:before="100" w:beforeAutospacing="1" w:line="344" w:lineRule="atLeast"/>
        <w:ind w:firstLine="48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</w:rPr>
        <w:t xml:space="preserve">（一）基本支出：2021年年初预算数1588万元，系保障我单位机构正常运转、完成日常工作任务而发生的各项支出。包括用于基本工资、津贴补贴等人员经费以及办公费、印刷费、水电费、差旅费、办公设备购置等日常公用经费。          </w:t>
      </w:r>
    </w:p>
    <w:p>
      <w:pPr>
        <w:widowControl/>
        <w:shd w:val="clear" w:color="auto" w:fill="FFFFFF"/>
        <w:spacing w:before="100" w:beforeAutospacing="1" w:line="344" w:lineRule="atLeast"/>
        <w:ind w:firstLine="48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</w:rPr>
        <w:t>（二）</w:t>
      </w: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</w:rPr>
        <w:t>项目支出217万元，是我单位为完成特定行政工作任务而发生的支出。其中：普法工作支出24.8万元、主要用于法制宣传教育和依法治理、安置帮教支出6.44万元、主要用于安置帮教，律师管理支出4万元、主要用于律师管理，法律援助支出16万元、主要用于法律援助办案补贴等，社区矫正支出23.8万元、主要用于社区矫正对象的调查、监管、教育、培训，医患调解支出10万元、主要用于医患调解矛盾纠纷，道路调解支出8万元、主要用于道路调解矛盾纠纷，人民调解支出28万元、主要用于全市的矛盾纠纷调解，法治视点栏目支出8万元、主要用于电视台法治视点栏目的制作和播放，法律顾问经费支出8万元、主要用于市依法决策的法律顾问，司法业务经费16.4万元、主要用于司法业务工作，依法行政考核考评8万元，听证员培训5万元，行政复议4万元，行政民事案件办理13万元，专家咨询库经费4万元，政府合同审查8万元，行政执法培训5万元，行政决策法律顾问5万元，典型案例发布5万元。</w:t>
      </w:r>
    </w:p>
    <w:p>
      <w:pPr>
        <w:widowControl/>
        <w:shd w:val="clear" w:color="auto" w:fill="FFFFFF"/>
        <w:spacing w:before="100" w:beforeAutospacing="1" w:line="344" w:lineRule="atLeast"/>
        <w:ind w:firstLine="48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</w:rPr>
        <w:t>（三）、预算绩效情况</w:t>
      </w:r>
    </w:p>
    <w:p>
      <w:pPr>
        <w:widowControl/>
        <w:shd w:val="clear" w:color="auto" w:fill="FFFFFF"/>
        <w:spacing w:before="100" w:beforeAutospacing="1" w:line="344" w:lineRule="atLeast"/>
        <w:ind w:firstLine="64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  <w:shd w:val="clear" w:color="auto" w:fill="FFFFFF"/>
        </w:rPr>
        <w:t>2020年社区矫正项目支出、普法宣传项目、人民调解支出纳入财政绩效评价，财政绩效评价结果良好，2021年社区矫正项目、普法宣传项目、人民调解支出仍纳入财政绩效评价。</w:t>
      </w:r>
    </w:p>
    <w:p>
      <w:pPr>
        <w:widowControl/>
        <w:shd w:val="clear" w:color="auto" w:fill="FFFFFF"/>
        <w:wordWrap w:val="0"/>
        <w:spacing w:before="100" w:beforeAutospacing="1" w:line="600" w:lineRule="atLeast"/>
        <w:ind w:firstLine="64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b/>
          <w:bCs/>
          <w:color w:val="444444"/>
          <w:kern w:val="0"/>
          <w:sz w:val="32"/>
          <w:szCs w:val="32"/>
          <w:shd w:val="clear" w:color="auto" w:fill="FFFFFF"/>
        </w:rPr>
        <w:t>（四）、其他重要事项的情况说明</w:t>
      </w:r>
    </w:p>
    <w:p>
      <w:pPr>
        <w:widowControl/>
        <w:shd w:val="clear" w:color="auto" w:fill="FFFFFF"/>
        <w:wordWrap w:val="0"/>
        <w:spacing w:before="100" w:beforeAutospacing="1" w:line="600" w:lineRule="atLeast"/>
        <w:ind w:firstLine="66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  <w:shd w:val="clear" w:color="auto" w:fill="FFFFFF"/>
        </w:rPr>
        <w:t>1、机关运行经费</w:t>
      </w:r>
    </w:p>
    <w:p>
      <w:pPr>
        <w:widowControl/>
        <w:shd w:val="clear" w:color="auto" w:fill="FFFFFF"/>
        <w:wordWrap w:val="0"/>
        <w:spacing w:before="100" w:beforeAutospacing="1" w:line="600" w:lineRule="atLeast"/>
        <w:ind w:firstLine="660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2021年局机关运行经费当年一般公共预算拨款252万元，运行经费比2020年189万元增加63万元，增加33%。主要原因是公用经费的</w:t>
      </w:r>
      <w:bookmarkStart w:id="0" w:name="_GoBack"/>
      <w:bookmarkEnd w:id="0"/>
      <w:r>
        <w:rPr>
          <w:rFonts w:hint="eastAsia"/>
          <w:sz w:val="32"/>
          <w:szCs w:val="32"/>
        </w:rPr>
        <w:t>增加。</w:t>
      </w:r>
    </w:p>
    <w:p>
      <w:pPr>
        <w:widowControl/>
        <w:shd w:val="clear" w:color="auto" w:fill="FFFFFF"/>
        <w:wordWrap w:val="0"/>
        <w:spacing w:before="100" w:beforeAutospacing="1" w:line="600" w:lineRule="atLeast"/>
        <w:ind w:firstLine="660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2、</w:t>
      </w:r>
      <w:r>
        <w:rPr>
          <w:rFonts w:hint="eastAsia"/>
          <w:sz w:val="32"/>
          <w:szCs w:val="32"/>
        </w:rPr>
        <w:t>“三公”经费预算</w:t>
      </w:r>
    </w:p>
    <w:p>
      <w:pPr>
        <w:widowControl/>
        <w:shd w:val="clear" w:color="auto" w:fill="FFFFFF"/>
        <w:wordWrap w:val="0"/>
        <w:spacing w:before="100" w:beforeAutospacing="1" w:line="600" w:lineRule="atLeast"/>
        <w:ind w:firstLine="660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2021年“三公”经费预算合计</w:t>
      </w:r>
      <w:r>
        <w:rPr>
          <w:rFonts w:hint="eastAsia"/>
          <w:sz w:val="32"/>
          <w:szCs w:val="32"/>
          <w:lang w:val="en-US" w:eastAsia="zh-CN"/>
        </w:rPr>
        <w:t>24</w:t>
      </w:r>
      <w:r>
        <w:rPr>
          <w:rFonts w:hint="eastAsia"/>
          <w:sz w:val="32"/>
          <w:szCs w:val="32"/>
        </w:rPr>
        <w:t>.6万元，其中，公务用车购置及运行维护费支出17.6万元，公务接待7万元，因公出国(境)费支出0万元。2021年“三公”经费预算较2020年预算</w:t>
      </w:r>
      <w:r>
        <w:rPr>
          <w:rFonts w:hint="eastAsia"/>
          <w:sz w:val="32"/>
          <w:szCs w:val="32"/>
          <w:lang w:eastAsia="zh-CN"/>
        </w:rPr>
        <w:t>减少</w:t>
      </w:r>
      <w:r>
        <w:rPr>
          <w:rFonts w:hint="eastAsia"/>
          <w:sz w:val="32"/>
          <w:szCs w:val="32"/>
          <w:lang w:val="en-US" w:eastAsia="zh-CN"/>
        </w:rPr>
        <w:t>2.4</w:t>
      </w:r>
      <w:r>
        <w:rPr>
          <w:rFonts w:hint="eastAsia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hint="eastAsia"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/>
          <w:sz w:val="32"/>
          <w:szCs w:val="32"/>
        </w:rPr>
        <w:t>、政府采购情况</w:t>
      </w:r>
    </w:p>
    <w:p>
      <w:pPr>
        <w:widowControl/>
        <w:shd w:val="clear" w:color="auto" w:fill="FFFFFF"/>
        <w:wordWrap w:val="0"/>
        <w:spacing w:before="100" w:beforeAutospacing="1" w:line="600" w:lineRule="atLeast"/>
        <w:ind w:firstLine="660"/>
        <w:jc w:val="left"/>
        <w:rPr>
          <w:rFonts w:ascii="宋体" w:hAnsi="宋体"/>
          <w:sz w:val="32"/>
          <w:szCs w:val="32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</w:rPr>
        <w:t>21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eastAsiaTheme="minorEastAsia"/>
          <w:sz w:val="32"/>
          <w:szCs w:val="32"/>
        </w:rPr>
        <w:t>司法局</w:t>
      </w:r>
      <w:r>
        <w:rPr>
          <w:rFonts w:hint="eastAsia" w:ascii="宋体" w:hAnsi="宋体"/>
          <w:sz w:val="32"/>
          <w:szCs w:val="32"/>
        </w:rPr>
        <w:t>政府采购预算总额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</w:rPr>
        <w:t>46.4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</w:rPr>
        <w:t>万元，其中，司法机关通用设备预算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</w:rPr>
        <w:t>20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</w:rPr>
        <w:t>万元；乡镇司法所预算</w:t>
      </w:r>
      <w:r>
        <w:rPr>
          <w:rFonts w:eastAsia="Times New Roman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</w:rPr>
        <w:t>24</w:t>
      </w:r>
      <w:r>
        <w:rPr>
          <w:rFonts w:hint="eastAsia" w:ascii="宋体" w:hAnsi="宋体"/>
          <w:sz w:val="32"/>
          <w:szCs w:val="32"/>
        </w:rPr>
        <w:t>万元。</w:t>
      </w:r>
    </w:p>
    <w:p>
      <w:pPr>
        <w:widowControl/>
        <w:shd w:val="clear" w:color="auto" w:fill="FFFFFF"/>
        <w:wordWrap w:val="0"/>
        <w:spacing w:before="100" w:beforeAutospacing="1" w:line="600" w:lineRule="atLeast"/>
        <w:ind w:firstLine="66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  <w:shd w:val="clear" w:color="auto" w:fill="FFFFFF"/>
        </w:rPr>
        <w:t>4、政府购买服务情况</w:t>
      </w:r>
    </w:p>
    <w:p>
      <w:pPr>
        <w:widowControl/>
        <w:shd w:val="clear" w:color="auto" w:fill="FFFFFF"/>
        <w:wordWrap w:val="0"/>
        <w:spacing w:before="100" w:beforeAutospacing="1" w:line="600" w:lineRule="atLeast"/>
        <w:ind w:firstLine="66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  <w:shd w:val="clear" w:color="auto" w:fill="FFFFFF"/>
        </w:rPr>
        <w:t>2021年司法局政府购买服务预算总额38万元，其中，社区矫正预算8万元；医患调解预算10万元；法律援助预算8万元；法律顾问工作经费8万元；咨询经费4万元。</w:t>
      </w:r>
    </w:p>
    <w:p>
      <w:pPr>
        <w:widowControl/>
        <w:shd w:val="clear" w:color="auto" w:fill="FFFFFF"/>
        <w:wordWrap w:val="0"/>
        <w:spacing w:before="100" w:beforeAutospacing="1" w:line="600" w:lineRule="atLeast"/>
        <w:ind w:firstLine="66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b/>
          <w:bCs/>
          <w:color w:val="444444"/>
          <w:kern w:val="0"/>
          <w:sz w:val="32"/>
          <w:szCs w:val="32"/>
          <w:shd w:val="clear" w:color="auto" w:fill="FFFFFF"/>
        </w:rPr>
        <w:t>三、名词解释</w:t>
      </w:r>
    </w:p>
    <w:p>
      <w:pPr>
        <w:widowControl/>
        <w:shd w:val="clear" w:color="auto" w:fill="FFFFFF"/>
        <w:wordWrap w:val="0"/>
        <w:spacing w:before="100" w:beforeAutospacing="1" w:line="600" w:lineRule="atLeast"/>
        <w:ind w:firstLine="66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  <w:shd w:val="clear" w:color="auto" w:fill="FFFFFF"/>
        </w:rPr>
        <w:t>1、机关运行经费：为保障行政单位（包括参照公务员法管理的事业单位）运行，用一般公共预算拨款安排用于购买货物和服务的各项资金，包括办公及印刷费、邮电费、差旅费、会议费、福利费、日常维修费、办公用房水电费、办公用房取暖费、办公用房物业管理费、公务用车运行维护费以及其他费用。</w:t>
      </w:r>
    </w:p>
    <w:p>
      <w:pPr>
        <w:widowControl/>
        <w:shd w:val="clear" w:color="auto" w:fill="FFFFFF"/>
        <w:wordWrap w:val="0"/>
        <w:spacing w:before="100" w:beforeAutospacing="1" w:line="600" w:lineRule="atLeast"/>
        <w:ind w:firstLine="660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color w:val="444444"/>
          <w:kern w:val="0"/>
          <w:sz w:val="32"/>
          <w:szCs w:val="32"/>
          <w:shd w:val="clear" w:color="auto" w:fill="FFFFFF"/>
        </w:rPr>
        <w:t>2、“三公”经费：纳入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rPr>
          <w:rFonts w:hint="eastAsia"/>
        </w:rPr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2297"/>
    <w:rsid w:val="006579DC"/>
    <w:rsid w:val="00CD2297"/>
    <w:rsid w:val="147D5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441</Words>
  <Characters>2516</Characters>
  <Lines>20</Lines>
  <Paragraphs>5</Paragraphs>
  <TotalTime>6</TotalTime>
  <ScaleCrop>false</ScaleCrop>
  <LinksUpToDate>false</LinksUpToDate>
  <CharactersWithSpaces>2952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2021-03-24T08:40:00Z</dcterms:created>
  <dc:creator>Administrator</dc:creator>
  <cp:lastModifiedBy>Administrator</cp:lastModifiedBy>
  <dcterms:modified xsi:type="dcterms:W3CDTF">2021-04-06T07:04:23Z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