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12"/>
        <w:jc w:val="center"/>
        <w:rPr>
          <w:rFonts w:hint="eastAsia"/>
          <w:sz w:val="56"/>
          <w:szCs w:val="56"/>
        </w:rPr>
      </w:pPr>
    </w:p>
    <w:p>
      <w:pPr>
        <w:pStyle w:val="12"/>
        <w:jc w:val="center"/>
        <w:rPr>
          <w:sz w:val="56"/>
          <w:szCs w:val="56"/>
        </w:rPr>
      </w:pPr>
    </w:p>
    <w:p>
      <w:pPr>
        <w:pStyle w:val="12"/>
        <w:jc w:val="center"/>
        <w:rPr>
          <w:sz w:val="84"/>
          <w:szCs w:val="84"/>
        </w:rPr>
      </w:pPr>
    </w:p>
    <w:p>
      <w:pPr>
        <w:pStyle w:val="12"/>
        <w:jc w:val="center"/>
        <w:rPr>
          <w:sz w:val="84"/>
          <w:szCs w:val="84"/>
        </w:rPr>
      </w:pPr>
    </w:p>
    <w:p>
      <w:pPr>
        <w:pStyle w:val="12"/>
        <w:jc w:val="center"/>
        <w:rPr>
          <w:sz w:val="84"/>
          <w:szCs w:val="84"/>
        </w:rPr>
      </w:pPr>
      <w:r>
        <w:rPr>
          <w:rFonts w:hint="eastAsia"/>
          <w:sz w:val="84"/>
          <w:szCs w:val="84"/>
        </w:rPr>
        <w:t>2021年度</w:t>
      </w:r>
    </w:p>
    <w:p>
      <w:pPr>
        <w:pStyle w:val="12"/>
        <w:jc w:val="center"/>
        <w:rPr>
          <w:rFonts w:hint="eastAsia"/>
          <w:sz w:val="84"/>
          <w:szCs w:val="84"/>
          <w:lang w:eastAsia="zh-CN"/>
        </w:rPr>
      </w:pPr>
      <w:r>
        <w:rPr>
          <w:rFonts w:hint="eastAsia"/>
          <w:sz w:val="84"/>
          <w:szCs w:val="84"/>
          <w:lang w:eastAsia="zh-CN"/>
        </w:rPr>
        <w:t>湘乡市交通运输局</w:t>
      </w:r>
    </w:p>
    <w:p>
      <w:pPr>
        <w:pStyle w:val="12"/>
        <w:jc w:val="center"/>
        <w:rPr>
          <w:sz w:val="84"/>
          <w:szCs w:val="84"/>
        </w:rPr>
      </w:pPr>
      <w:r>
        <w:rPr>
          <w:rFonts w:hint="eastAsia"/>
          <w:sz w:val="84"/>
          <w:szCs w:val="84"/>
        </w:rPr>
        <w:t>部门决算</w:t>
      </w: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56"/>
          <w:szCs w:val="56"/>
        </w:rPr>
      </w:pPr>
    </w:p>
    <w:p>
      <w:pPr>
        <w:pStyle w:val="12"/>
        <w:jc w:val="center"/>
        <w:rPr>
          <w:sz w:val="32"/>
          <w:szCs w:val="32"/>
        </w:rPr>
      </w:pPr>
    </w:p>
    <w:p>
      <w:pPr>
        <w:pStyle w:val="12"/>
        <w:jc w:val="center"/>
        <w:rPr>
          <w:sz w:val="32"/>
          <w:szCs w:val="32"/>
        </w:rPr>
      </w:pPr>
    </w:p>
    <w:p>
      <w:pPr>
        <w:pStyle w:val="12"/>
        <w:jc w:val="center"/>
        <w:rPr>
          <w:sz w:val="32"/>
          <w:szCs w:val="32"/>
        </w:rPr>
      </w:pPr>
    </w:p>
    <w:p>
      <w:pPr>
        <w:pStyle w:val="12"/>
        <w:jc w:val="center"/>
        <w:rPr>
          <w:sz w:val="32"/>
          <w:szCs w:val="32"/>
        </w:rPr>
      </w:pPr>
    </w:p>
    <w:p>
      <w:pPr>
        <w:pStyle w:val="12"/>
        <w:jc w:val="center"/>
        <w:rPr>
          <w:sz w:val="32"/>
          <w:szCs w:val="32"/>
        </w:rPr>
      </w:pPr>
    </w:p>
    <w:p>
      <w:pPr>
        <w:pStyle w:val="12"/>
        <w:spacing w:line="500" w:lineRule="exact"/>
        <w:jc w:val="center"/>
        <w:rPr>
          <w:b/>
          <w:sz w:val="36"/>
          <w:szCs w:val="28"/>
        </w:rPr>
      </w:pPr>
      <w:r>
        <w:rPr>
          <w:rFonts w:hint="eastAsia"/>
          <w:b/>
          <w:sz w:val="36"/>
          <w:szCs w:val="28"/>
        </w:rPr>
        <w:t>目录</w:t>
      </w:r>
    </w:p>
    <w:p>
      <w:pPr>
        <w:pStyle w:val="12"/>
        <w:spacing w:line="500" w:lineRule="exact"/>
        <w:rPr>
          <w:rFonts w:ascii="仿宋_GB2312" w:hAnsi="仿宋_GB2312" w:cs="仿宋_GB2312"/>
          <w:b/>
          <w:sz w:val="28"/>
          <w:szCs w:val="28"/>
        </w:rPr>
      </w:pPr>
      <w:r>
        <w:rPr>
          <w:rFonts w:hint="eastAsia"/>
          <w:b/>
          <w:sz w:val="28"/>
          <w:szCs w:val="28"/>
        </w:rPr>
        <w:t>第一部分</w:t>
      </w:r>
      <w:r>
        <w:rPr>
          <w:rFonts w:hint="eastAsia"/>
          <w:b/>
          <w:sz w:val="28"/>
          <w:szCs w:val="28"/>
          <w:lang w:eastAsia="zh-CN"/>
        </w:rPr>
        <w:t>湘乡市交通运输局</w:t>
      </w:r>
      <w:r>
        <w:rPr>
          <w:rFonts w:hint="eastAsia"/>
          <w:b/>
          <w:sz w:val="28"/>
          <w:szCs w:val="28"/>
        </w:rPr>
        <w:t>单位概况</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一、部门职责</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二、机构设置</w:t>
      </w:r>
    </w:p>
    <w:p>
      <w:pPr>
        <w:pStyle w:val="12"/>
        <w:spacing w:line="500" w:lineRule="exact"/>
        <w:rPr>
          <w:rFonts w:ascii="仿宋_GB2312" w:hAnsi="仿宋_GB2312" w:cs="仿宋_GB2312"/>
          <w:b/>
          <w:sz w:val="28"/>
          <w:szCs w:val="28"/>
        </w:rPr>
      </w:pPr>
      <w:r>
        <w:rPr>
          <w:rFonts w:hint="eastAsia" w:hAnsi="仿宋_GB2312"/>
          <w:b/>
          <w:sz w:val="28"/>
          <w:szCs w:val="28"/>
        </w:rPr>
        <w:t>第二部分</w:t>
      </w:r>
      <w:r>
        <w:rPr>
          <w:rFonts w:hAnsi="仿宋_GB2312"/>
          <w:b/>
          <w:sz w:val="28"/>
          <w:szCs w:val="28"/>
        </w:rPr>
        <w:t>20</w:t>
      </w:r>
      <w:r>
        <w:rPr>
          <w:rFonts w:hint="eastAsia" w:hAnsi="仿宋_GB2312"/>
          <w:b/>
          <w:sz w:val="28"/>
          <w:szCs w:val="28"/>
        </w:rPr>
        <w:t>21年度部门决算表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二、收入决算表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三、支出决算表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四、财政拨款收入支出决算总表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五、一般公共预算财政拨款支出决算表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六、一般公共预算财政拨款基本支出决算</w:t>
      </w:r>
      <w:r>
        <w:rPr>
          <w:rFonts w:hint="eastAsia" w:cs="仿宋_GB2312" w:asciiTheme="minorEastAsia" w:hAnsiTheme="minorEastAsia" w:eastAsiaTheme="minorEastAsia"/>
          <w:sz w:val="28"/>
          <w:szCs w:val="28"/>
        </w:rPr>
        <w:t>明细</w:t>
      </w:r>
      <w:r>
        <w:rPr>
          <w:rFonts w:cs="仿宋_GB2312" w:asciiTheme="minorEastAsia" w:hAnsiTheme="minorEastAsia" w:eastAsiaTheme="minorEastAsia"/>
          <w:sz w:val="28"/>
          <w:szCs w:val="28"/>
        </w:rPr>
        <w:t>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七、一般公共预算财政拨款“三公”经费支出决算表</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八、政府性基金预算财政拨款收入支出决算表</w:t>
      </w:r>
    </w:p>
    <w:p>
      <w:pPr>
        <w:pStyle w:val="12"/>
        <w:spacing w:line="500" w:lineRule="exact"/>
        <w:ind w:firstLine="700" w:firstLineChars="250"/>
        <w:rPr>
          <w:rFonts w:cs="仿宋_GB2312" w:asciiTheme="minorEastAsia" w:hAnsiTheme="minorEastAsia" w:eastAsiaTheme="minorEastAsia"/>
          <w:sz w:val="28"/>
          <w:szCs w:val="28"/>
        </w:rPr>
      </w:pPr>
      <w:r>
        <w:rPr>
          <w:rFonts w:hint="eastAsia" w:cs="仿宋_GB2312" w:asciiTheme="minorEastAsia" w:hAnsiTheme="minorEastAsia" w:eastAsiaTheme="minorEastAsia"/>
          <w:sz w:val="28"/>
          <w:szCs w:val="28"/>
        </w:rPr>
        <w:t>九、国有资本经营预算财政拨款支出决算表</w:t>
      </w:r>
    </w:p>
    <w:p>
      <w:pPr>
        <w:pStyle w:val="12"/>
        <w:spacing w:line="500" w:lineRule="exact"/>
        <w:rPr>
          <w:rFonts w:ascii="仿宋_GB2312" w:hAnsi="仿宋_GB2312" w:cs="仿宋_GB2312"/>
          <w:b/>
          <w:sz w:val="28"/>
          <w:szCs w:val="28"/>
        </w:rPr>
      </w:pPr>
      <w:r>
        <w:rPr>
          <w:rFonts w:hint="eastAsia" w:hAnsi="仿宋_GB2312"/>
          <w:b/>
          <w:sz w:val="28"/>
          <w:szCs w:val="28"/>
        </w:rPr>
        <w:t>第三部分</w:t>
      </w:r>
      <w:r>
        <w:rPr>
          <w:rFonts w:hAnsi="仿宋_GB2312"/>
          <w:b/>
          <w:sz w:val="28"/>
          <w:szCs w:val="28"/>
        </w:rPr>
        <w:t>20</w:t>
      </w:r>
      <w:r>
        <w:rPr>
          <w:rFonts w:hint="eastAsia" w:hAnsi="仿宋_GB2312"/>
          <w:b/>
          <w:sz w:val="28"/>
          <w:szCs w:val="28"/>
        </w:rPr>
        <w:t>21年度部门决算情况说明</w:t>
      </w:r>
    </w:p>
    <w:p>
      <w:pPr>
        <w:pStyle w:val="12"/>
        <w:spacing w:line="500" w:lineRule="exact"/>
        <w:ind w:firstLine="700" w:firstLineChars="250"/>
        <w:rPr>
          <w:rFonts w:cs="仿宋_GB2312" w:asciiTheme="minorEastAsia" w:hAnsiTheme="minorEastAsia" w:eastAsiaTheme="minorEastAsia"/>
          <w:sz w:val="28"/>
          <w:szCs w:val="28"/>
        </w:rPr>
      </w:pPr>
      <w:r>
        <w:rPr>
          <w:rFonts w:cs="仿宋_GB2312" w:asciiTheme="minorEastAsia" w:hAnsiTheme="minorEastAsia" w:eastAsiaTheme="minorEastAsia"/>
          <w:sz w:val="28"/>
          <w:szCs w:val="28"/>
        </w:rPr>
        <w:t>一、收入支出决算总体情况说明</w:t>
      </w:r>
    </w:p>
    <w:p>
      <w:pPr>
        <w:spacing w:line="500" w:lineRule="exact"/>
        <w:ind w:firstLine="700" w:firstLineChars="250"/>
        <w:jc w:val="left"/>
        <w:rPr>
          <w:rFonts w:ascii="仿宋_GB2312" w:hAnsi="仿宋_GB2312" w:cs="仿宋_GB2312"/>
          <w:sz w:val="28"/>
          <w:szCs w:val="28"/>
        </w:rPr>
      </w:pPr>
      <w:r>
        <w:rPr>
          <w:rFonts w:ascii="仿宋_GB2312" w:hAnsi="仿宋_GB2312" w:cs="仿宋_GB2312"/>
          <w:sz w:val="28"/>
          <w:szCs w:val="28"/>
        </w:rPr>
        <w:t>二、收入决算情况说明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三、支出决算情况说明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四、财政拨款收入支出决算总体情况说明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五、一般公共预算财政拨款支出决算情况说明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六、一般公共预算财政拨款基本支出决算情况说明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ascii="仿宋_GB2312" w:hAnsi="仿宋_GB2312" w:cs="仿宋_GB2312"/>
          <w:color w:val="000000"/>
          <w:kern w:val="0"/>
          <w:sz w:val="28"/>
          <w:szCs w:val="28"/>
        </w:rPr>
        <w:t>七、一般公共预算财政拨款</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三公</w:t>
      </w:r>
      <w:r>
        <w:rPr>
          <w:rFonts w:hint="eastAsia" w:ascii="仿宋_GB2312" w:hAnsi="仿宋_GB2312" w:cs="仿宋_GB2312"/>
          <w:color w:val="000000"/>
          <w:kern w:val="0"/>
          <w:sz w:val="28"/>
          <w:szCs w:val="28"/>
        </w:rPr>
        <w:t>”</w:t>
      </w:r>
      <w:r>
        <w:rPr>
          <w:rFonts w:ascii="仿宋_GB2312" w:hAnsi="仿宋_GB2312" w:cs="仿宋_GB2312"/>
          <w:color w:val="000000"/>
          <w:kern w:val="0"/>
          <w:sz w:val="28"/>
          <w:szCs w:val="28"/>
        </w:rPr>
        <w:t>经费支出决算情况说明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八</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政府性基金预算收入支出决算情况</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九</w:t>
      </w:r>
      <w:r>
        <w:rPr>
          <w:rFonts w:ascii="仿宋_GB2312" w:hAnsi="仿宋_GB2312" w:cs="仿宋_GB2312"/>
          <w:color w:val="000000"/>
          <w:kern w:val="0"/>
          <w:sz w:val="28"/>
          <w:szCs w:val="28"/>
        </w:rPr>
        <w:t>、</w:t>
      </w:r>
      <w:r>
        <w:rPr>
          <w:rFonts w:hint="eastAsia" w:ascii="仿宋_GB2312" w:hAnsi="仿宋_GB2312" w:cs="仿宋_GB2312"/>
          <w:color w:val="000000"/>
          <w:kern w:val="0"/>
          <w:sz w:val="28"/>
          <w:szCs w:val="28"/>
        </w:rPr>
        <w:t>机关运行经费支出说明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十、一般性支出情况说明</w:t>
      </w:r>
    </w:p>
    <w:p>
      <w:pPr>
        <w:autoSpaceDE w:val="0"/>
        <w:autoSpaceDN w:val="0"/>
        <w:adjustRightInd w:val="0"/>
        <w:spacing w:line="500" w:lineRule="exact"/>
        <w:ind w:firstLine="700" w:firstLineChars="250"/>
        <w:jc w:val="left"/>
        <w:rPr>
          <w:rFonts w:ascii="仿宋_GB2312" w:hAnsi="仿宋_GB2312" w:cs="仿宋_GB2312"/>
          <w:color w:val="000000"/>
          <w:kern w:val="0"/>
          <w:sz w:val="28"/>
          <w:szCs w:val="28"/>
        </w:rPr>
      </w:pPr>
      <w:r>
        <w:rPr>
          <w:rFonts w:hint="eastAsia" w:ascii="仿宋_GB2312" w:hAnsi="仿宋_GB2312" w:cs="仿宋_GB2312"/>
          <w:color w:val="000000"/>
          <w:kern w:val="0"/>
          <w:sz w:val="28"/>
          <w:szCs w:val="28"/>
        </w:rPr>
        <w:t>十一、政府采购支出说明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十二、国有资产占用情况说明</w:t>
      </w:r>
    </w:p>
    <w:p>
      <w:pPr>
        <w:pStyle w:val="12"/>
        <w:spacing w:line="500" w:lineRule="exact"/>
        <w:ind w:firstLine="700" w:firstLineChars="250"/>
        <w:rPr>
          <w:rFonts w:ascii="仿宋_GB2312" w:hAnsi="仿宋_GB2312" w:cs="仿宋_GB2312" w:eastAsiaTheme="minorEastAsia"/>
          <w:sz w:val="28"/>
          <w:szCs w:val="28"/>
        </w:rPr>
      </w:pPr>
      <w:r>
        <w:rPr>
          <w:rFonts w:hint="eastAsia" w:ascii="仿宋_GB2312" w:hAnsi="仿宋_GB2312" w:cs="仿宋_GB2312" w:eastAsiaTheme="minorEastAsia"/>
          <w:sz w:val="28"/>
          <w:szCs w:val="28"/>
        </w:rPr>
        <w:t>十三、</w:t>
      </w:r>
      <w:r>
        <w:rPr>
          <w:rFonts w:hint="eastAsia" w:cs="仿宋_GB2312" w:asciiTheme="minorEastAsia" w:hAnsiTheme="minorEastAsia" w:eastAsiaTheme="minorEastAsia"/>
          <w:sz w:val="28"/>
          <w:szCs w:val="28"/>
        </w:rPr>
        <w:t>2021年</w:t>
      </w:r>
      <w:r>
        <w:rPr>
          <w:rFonts w:hint="eastAsia" w:ascii="仿宋_GB2312" w:hAnsi="仿宋_GB2312" w:cs="仿宋_GB2312" w:eastAsiaTheme="minorEastAsia"/>
          <w:sz w:val="28"/>
          <w:szCs w:val="28"/>
        </w:rPr>
        <w:t>度预算绩效情况说明</w:t>
      </w:r>
    </w:p>
    <w:p>
      <w:pPr>
        <w:autoSpaceDE w:val="0"/>
        <w:autoSpaceDN w:val="0"/>
        <w:adjustRightInd w:val="0"/>
        <w:spacing w:line="500" w:lineRule="exact"/>
        <w:jc w:val="left"/>
        <w:rPr>
          <w:rFonts w:ascii="黑体" w:hAnsi="黑体" w:eastAsia="黑体" w:cs="黑体"/>
          <w:b/>
          <w:color w:val="000000"/>
          <w:kern w:val="0"/>
          <w:sz w:val="28"/>
          <w:szCs w:val="28"/>
        </w:rPr>
      </w:pPr>
      <w:r>
        <w:rPr>
          <w:rFonts w:ascii="黑体" w:hAnsi="黑体" w:eastAsia="黑体" w:cs="黑体"/>
          <w:b/>
          <w:color w:val="000000"/>
          <w:kern w:val="0"/>
          <w:sz w:val="28"/>
          <w:szCs w:val="28"/>
        </w:rPr>
        <w:t>第四部分名词解释</w:t>
      </w:r>
    </w:p>
    <w:p>
      <w:pPr>
        <w:autoSpaceDE w:val="0"/>
        <w:autoSpaceDN w:val="0"/>
        <w:adjustRightInd w:val="0"/>
        <w:spacing w:line="500" w:lineRule="exact"/>
        <w:jc w:val="left"/>
        <w:rPr>
          <w:rFonts w:ascii="黑体" w:hAnsi="黑体" w:eastAsia="黑体" w:cs="仿宋_GB2312"/>
          <w:b/>
          <w:color w:val="000000"/>
          <w:kern w:val="0"/>
          <w:sz w:val="28"/>
          <w:szCs w:val="28"/>
        </w:rPr>
      </w:pPr>
      <w:r>
        <w:rPr>
          <w:rFonts w:hint="eastAsia" w:ascii="黑体" w:hAnsi="黑体" w:eastAsia="黑体" w:cs="黑体"/>
          <w:b/>
          <w:color w:val="000000"/>
          <w:kern w:val="0"/>
          <w:sz w:val="28"/>
          <w:szCs w:val="28"/>
        </w:rPr>
        <w:t>第五部分附件</w:t>
      </w:r>
    </w:p>
    <w:p>
      <w:pPr>
        <w:jc w:val="center"/>
        <w:rPr>
          <w:sz w:val="72"/>
          <w:szCs w:val="72"/>
        </w:rPr>
      </w:pPr>
    </w:p>
    <w:p>
      <w:pPr>
        <w:jc w:val="center"/>
        <w:rPr>
          <w:sz w:val="72"/>
          <w:szCs w:val="72"/>
        </w:rPr>
      </w:pPr>
    </w:p>
    <w:p>
      <w:pPr>
        <w:jc w:val="center"/>
        <w:rPr>
          <w:sz w:val="72"/>
          <w:szCs w:val="72"/>
        </w:rPr>
      </w:pPr>
    </w:p>
    <w:p>
      <w:pPr>
        <w:jc w:val="center"/>
        <w:rPr>
          <w:sz w:val="72"/>
          <w:szCs w:val="72"/>
        </w:rPr>
      </w:pPr>
    </w:p>
    <w:p>
      <w:pPr>
        <w:rPr>
          <w:sz w:val="72"/>
          <w:szCs w:val="72"/>
        </w:rPr>
      </w:pPr>
    </w:p>
    <w:p>
      <w:pPr>
        <w:pStyle w:val="12"/>
        <w:jc w:val="center"/>
        <w:rPr>
          <w:sz w:val="84"/>
          <w:szCs w:val="84"/>
        </w:rPr>
      </w:pPr>
      <w:r>
        <w:rPr>
          <w:rFonts w:hint="eastAsia"/>
          <w:sz w:val="84"/>
          <w:szCs w:val="84"/>
        </w:rPr>
        <w:t>第一部分</w:t>
      </w:r>
      <w:r>
        <w:rPr>
          <w:sz w:val="84"/>
          <w:szCs w:val="84"/>
        </w:rPr>
        <w:t xml:space="preserve"> </w:t>
      </w:r>
    </w:p>
    <w:p>
      <w:pPr>
        <w:pStyle w:val="12"/>
        <w:jc w:val="center"/>
        <w:rPr>
          <w:sz w:val="84"/>
          <w:szCs w:val="84"/>
        </w:rPr>
      </w:pPr>
    </w:p>
    <w:p>
      <w:pPr>
        <w:pStyle w:val="12"/>
        <w:jc w:val="center"/>
        <w:rPr>
          <w:rFonts w:hint="eastAsia"/>
          <w:sz w:val="84"/>
          <w:szCs w:val="84"/>
        </w:rPr>
      </w:pPr>
      <w:r>
        <w:rPr>
          <w:rFonts w:hint="eastAsia"/>
          <w:sz w:val="84"/>
          <w:szCs w:val="84"/>
        </w:rPr>
        <w:t>湘乡市交通运输局</w:t>
      </w:r>
    </w:p>
    <w:p>
      <w:pPr>
        <w:pStyle w:val="12"/>
        <w:jc w:val="center"/>
        <w:rPr>
          <w:sz w:val="84"/>
          <w:szCs w:val="84"/>
        </w:rPr>
      </w:pPr>
      <w:r>
        <w:rPr>
          <w:rFonts w:hint="eastAsia"/>
          <w:sz w:val="84"/>
          <w:szCs w:val="84"/>
        </w:rPr>
        <w:t>单位概况</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pStyle w:val="13"/>
        <w:ind w:left="720" w:firstLine="0" w:firstLineChars="0"/>
        <w:jc w:val="left"/>
        <w:rPr>
          <w:rFonts w:ascii="黑体" w:hAnsi="黑体" w:eastAsia="黑体"/>
          <w:sz w:val="32"/>
          <w:szCs w:val="32"/>
        </w:rPr>
      </w:pPr>
    </w:p>
    <w:p>
      <w:pPr>
        <w:pStyle w:val="13"/>
        <w:numPr>
          <w:ilvl w:val="0"/>
          <w:numId w:val="1"/>
        </w:numPr>
        <w:ind w:firstLineChars="0"/>
        <w:jc w:val="left"/>
        <w:rPr>
          <w:rFonts w:ascii="黑体" w:hAnsi="黑体" w:eastAsia="黑体"/>
          <w:sz w:val="32"/>
          <w:szCs w:val="32"/>
        </w:rPr>
      </w:pPr>
      <w:r>
        <w:rPr>
          <w:rFonts w:ascii="黑体" w:hAnsi="黑体" w:eastAsia="黑体"/>
          <w:sz w:val="32"/>
          <w:szCs w:val="32"/>
        </w:rPr>
        <w:t>部门职责</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我局为政府组成局，担负着贯彻执行国家、省、市有关交通工作的方针、政策和法律、法规的职能，制订全市公路、水路交通行业发展战略和管理的规范性文件，并负责组织实施。主要有如下职责：</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一</w:t>
      </w:r>
      <w:r>
        <w:rPr>
          <w:rFonts w:hint="eastAsia" w:asciiTheme="minorEastAsia" w:hAnsiTheme="minorEastAsia"/>
          <w:sz w:val="32"/>
          <w:szCs w:val="32"/>
        </w:rPr>
        <w:t>）贯彻执行国家、省有关交通运输工作的方针政策和法律法规。组织拟订全市综合交通运输发展战略和政策，组织编制全市综合交通运输体系规划，拟订全市公路、水路发展战略、政策和规划，指导交通运输枢纽规划和管理。优化交通运输主要通道和重要枢纽节点布局，促进交通运输方式融合。</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二</w:t>
      </w:r>
      <w:r>
        <w:rPr>
          <w:rFonts w:hint="eastAsia" w:asciiTheme="minorEastAsia" w:hAnsiTheme="minorEastAsia"/>
          <w:sz w:val="32"/>
          <w:szCs w:val="32"/>
        </w:rPr>
        <w:t>）组织拟订并监督实施全市公路、水路等行业规划、政策和标准。负责全市交通运输执法检查和监督。</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三</w:t>
      </w:r>
      <w:r>
        <w:rPr>
          <w:rFonts w:hint="eastAsia" w:asciiTheme="minorEastAsia" w:hAnsiTheme="minorEastAsia"/>
          <w:sz w:val="32"/>
          <w:szCs w:val="32"/>
        </w:rPr>
        <w:t>）承担道路、水路运输市场监管责任。组织拟订全市道路、水路运输有关政策、技术标准和运营规范并监督实施。指导全市城乡客运及有关设施规划和管理工作，指导出租车行业管理工作。</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四</w:t>
      </w:r>
      <w:r>
        <w:rPr>
          <w:rFonts w:hint="eastAsia" w:asciiTheme="minorEastAsia" w:hAnsiTheme="minorEastAsia"/>
          <w:sz w:val="32"/>
          <w:szCs w:val="32"/>
        </w:rPr>
        <w:t>）承担水上交通安全监管责任。负责水上交通管制、船舶及相关水上设施检验、登记和防止污染、水上消防、救助打捞、通信导航、船舶与港口设施保安及危险品运输监督管理等工作。</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五</w:t>
      </w:r>
      <w:r>
        <w:rPr>
          <w:rFonts w:hint="eastAsia" w:asciiTheme="minorEastAsia" w:hAnsiTheme="minorEastAsia"/>
          <w:sz w:val="32"/>
          <w:szCs w:val="32"/>
        </w:rPr>
        <w:t>）负责提出全市公路、水路固定资产投资规模和方向、财政性资金安排建议，按市政府规定权限审批、核准全市规划内和年度计划规模内固定资产投资项目。负责公路、公路桥梁、渡口、隧道的行业管理。</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六</w:t>
      </w:r>
      <w:r>
        <w:rPr>
          <w:rFonts w:hint="eastAsia" w:asciiTheme="minorEastAsia" w:hAnsiTheme="minorEastAsia"/>
          <w:sz w:val="32"/>
          <w:szCs w:val="32"/>
        </w:rPr>
        <w:t>）承担公路、水路建设市场监管责任。</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七</w:t>
      </w:r>
      <w:r>
        <w:rPr>
          <w:rFonts w:hint="eastAsia" w:asciiTheme="minorEastAsia" w:hAnsiTheme="minorEastAsia"/>
          <w:sz w:val="32"/>
          <w:szCs w:val="32"/>
        </w:rPr>
        <w:t>）监督、指导全市公路、水路行业安全生产和应急管理工作。</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八</w:t>
      </w:r>
      <w:r>
        <w:rPr>
          <w:rFonts w:hint="eastAsia" w:asciiTheme="minorEastAsia" w:hAnsiTheme="minorEastAsia"/>
          <w:sz w:val="32"/>
          <w:szCs w:val="32"/>
        </w:rPr>
        <w:t>）拟订地方性交通运输行业科技政策、规划和规范并监督实施。指导全市交通运输信息化建设，监测分析运行情况，开展相关统计工作，发布有关信息；指导公路、水路行业环境保护和节能减排工作。</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九</w:t>
      </w:r>
      <w:r>
        <w:rPr>
          <w:rFonts w:hint="eastAsia" w:asciiTheme="minorEastAsia" w:hAnsiTheme="minorEastAsia"/>
          <w:sz w:val="32"/>
          <w:szCs w:val="32"/>
        </w:rPr>
        <w:t>）承担县、乡、农村道路的建设和管养工作。</w:t>
      </w:r>
    </w:p>
    <w:p>
      <w:pPr>
        <w:ind w:firstLine="640" w:firstLineChars="200"/>
        <w:jc w:val="left"/>
        <w:rPr>
          <w:rFonts w:hint="eastAsia"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十</w:t>
      </w:r>
      <w:r>
        <w:rPr>
          <w:rFonts w:hint="eastAsia" w:asciiTheme="minorEastAsia" w:hAnsiTheme="minorEastAsia"/>
          <w:sz w:val="32"/>
          <w:szCs w:val="32"/>
        </w:rPr>
        <w:t>）负责交通运输预算资金的申请、拨付和监管。</w:t>
      </w:r>
    </w:p>
    <w:p>
      <w:pPr>
        <w:ind w:firstLine="640" w:firstLineChars="200"/>
        <w:jc w:val="left"/>
        <w:rPr>
          <w:rFonts w:asciiTheme="minorEastAsia" w:hAnsiTheme="minorEastAsia"/>
          <w:sz w:val="32"/>
          <w:szCs w:val="32"/>
        </w:rPr>
      </w:pPr>
      <w:r>
        <w:rPr>
          <w:rFonts w:hint="eastAsia" w:asciiTheme="minorEastAsia" w:hAnsiTheme="minorEastAsia"/>
          <w:sz w:val="32"/>
          <w:szCs w:val="32"/>
        </w:rPr>
        <w:t>（</w:t>
      </w:r>
      <w:r>
        <w:rPr>
          <w:rFonts w:hint="eastAsia" w:asciiTheme="minorEastAsia" w:hAnsiTheme="minorEastAsia"/>
          <w:sz w:val="32"/>
          <w:szCs w:val="32"/>
          <w:lang w:eastAsia="zh-CN"/>
        </w:rPr>
        <w:t>十一</w:t>
      </w:r>
      <w:r>
        <w:rPr>
          <w:rFonts w:hint="eastAsia" w:asciiTheme="minorEastAsia" w:hAnsiTheme="minorEastAsia"/>
          <w:sz w:val="32"/>
          <w:szCs w:val="32"/>
        </w:rPr>
        <w:t>）承办市政府交办的其他事项。</w:t>
      </w:r>
    </w:p>
    <w:p>
      <w:pPr>
        <w:widowControl/>
        <w:spacing w:line="600" w:lineRule="exact"/>
        <w:rPr>
          <w:rFonts w:ascii="黑体" w:hAnsi="黑体" w:eastAsia="黑体"/>
          <w:bCs/>
          <w:kern w:val="0"/>
          <w:sz w:val="32"/>
          <w:szCs w:val="32"/>
        </w:rPr>
      </w:pPr>
      <w:r>
        <w:rPr>
          <w:rFonts w:hint="eastAsia" w:ascii="黑体" w:hAnsi="黑体" w:eastAsia="黑体"/>
          <w:bCs/>
          <w:kern w:val="0"/>
          <w:sz w:val="32"/>
          <w:szCs w:val="32"/>
        </w:rPr>
        <w:t>二、机构设置及决算单位构成</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rPr>
        <w:t>（一）内设机构设置。</w:t>
      </w:r>
    </w:p>
    <w:p>
      <w:pPr>
        <w:widowControl/>
        <w:spacing w:line="600" w:lineRule="exact"/>
        <w:ind w:firstLine="640" w:firstLineChars="200"/>
        <w:rPr>
          <w:rFonts w:hint="eastAsia" w:asciiTheme="minorEastAsia" w:hAnsiTheme="minorEastAsia"/>
          <w:bCs/>
          <w:kern w:val="0"/>
          <w:sz w:val="32"/>
          <w:szCs w:val="32"/>
        </w:rPr>
      </w:pPr>
      <w:r>
        <w:rPr>
          <w:rFonts w:hint="eastAsia" w:asciiTheme="minorEastAsia" w:hAnsiTheme="minorEastAsia"/>
          <w:bCs/>
          <w:kern w:val="0"/>
          <w:sz w:val="32"/>
          <w:szCs w:val="32"/>
          <w:lang w:eastAsia="zh-CN"/>
        </w:rPr>
        <w:t>湘乡市交通运输局</w:t>
      </w:r>
      <w:r>
        <w:rPr>
          <w:rFonts w:hint="eastAsia" w:asciiTheme="minorEastAsia" w:hAnsiTheme="minorEastAsia"/>
          <w:bCs/>
          <w:kern w:val="0"/>
          <w:sz w:val="32"/>
          <w:szCs w:val="32"/>
        </w:rPr>
        <w:t>单位内设机构包括：局机关内设办公室、财务股、政工人事股、规划计划统计股、公路管理股、运输管理股、基本建设股、安全股、法规股、行政审批股等。</w:t>
      </w:r>
      <w:r>
        <w:rPr>
          <w:rFonts w:hint="eastAsia" w:asciiTheme="minorEastAsia" w:hAnsiTheme="minorEastAsia"/>
          <w:bCs/>
          <w:kern w:val="0"/>
          <w:sz w:val="32"/>
          <w:szCs w:val="32"/>
          <w:lang w:eastAsia="zh-CN"/>
        </w:rPr>
        <w:t>我</w:t>
      </w:r>
      <w:r>
        <w:rPr>
          <w:rFonts w:hint="eastAsia" w:asciiTheme="minorEastAsia" w:hAnsiTheme="minorEastAsia"/>
          <w:bCs/>
          <w:kern w:val="0"/>
          <w:sz w:val="32"/>
          <w:szCs w:val="32"/>
        </w:rPr>
        <w:t>局</w:t>
      </w:r>
      <w:r>
        <w:rPr>
          <w:rFonts w:hint="eastAsia" w:asciiTheme="minorEastAsia" w:hAnsiTheme="minorEastAsia"/>
          <w:bCs/>
          <w:kern w:val="0"/>
          <w:sz w:val="32"/>
          <w:szCs w:val="32"/>
          <w:lang w:eastAsia="zh-CN"/>
        </w:rPr>
        <w:t>下</w:t>
      </w:r>
      <w:r>
        <w:rPr>
          <w:rFonts w:hint="eastAsia" w:asciiTheme="minorEastAsia" w:hAnsiTheme="minorEastAsia"/>
          <w:bCs/>
          <w:kern w:val="0"/>
          <w:sz w:val="32"/>
          <w:szCs w:val="32"/>
        </w:rPr>
        <w:t>属</w:t>
      </w:r>
      <w:r>
        <w:rPr>
          <w:rFonts w:hint="eastAsia" w:asciiTheme="minorEastAsia" w:hAnsiTheme="minorEastAsia"/>
          <w:bCs/>
          <w:kern w:val="0"/>
          <w:sz w:val="32"/>
          <w:szCs w:val="32"/>
          <w:lang w:val="en-US" w:eastAsia="zh-CN"/>
        </w:rPr>
        <w:t>5个</w:t>
      </w:r>
      <w:r>
        <w:rPr>
          <w:rFonts w:hint="eastAsia" w:asciiTheme="minorEastAsia" w:hAnsiTheme="minorEastAsia"/>
          <w:bCs/>
          <w:kern w:val="0"/>
          <w:sz w:val="32"/>
          <w:szCs w:val="32"/>
        </w:rPr>
        <w:t>二级</w:t>
      </w:r>
      <w:r>
        <w:rPr>
          <w:rFonts w:hint="eastAsia" w:asciiTheme="minorEastAsia" w:hAnsiTheme="minorEastAsia"/>
          <w:bCs/>
          <w:kern w:val="0"/>
          <w:sz w:val="32"/>
          <w:szCs w:val="32"/>
          <w:lang w:eastAsia="zh-CN"/>
        </w:rPr>
        <w:t>机构：</w:t>
      </w:r>
      <w:r>
        <w:rPr>
          <w:rFonts w:hint="eastAsia" w:asciiTheme="minorEastAsia" w:hAnsiTheme="minorEastAsia"/>
          <w:bCs/>
          <w:kern w:val="0"/>
          <w:sz w:val="32"/>
          <w:szCs w:val="32"/>
        </w:rPr>
        <w:t>湘乡市交通运输服务中心、湘乡市水运事务中心、湘乡市公路建设养护中心、湘乡市交通和安全质量监督检测站、湘乡市交通运输综合执法大队。</w:t>
      </w:r>
    </w:p>
    <w:p>
      <w:pPr>
        <w:widowControl/>
        <w:spacing w:line="600" w:lineRule="exact"/>
        <w:ind w:firstLine="640" w:firstLineChars="200"/>
        <w:rPr>
          <w:rFonts w:hint="eastAsia" w:asciiTheme="minorEastAsia" w:hAnsiTheme="minorEastAsia" w:eastAsiaTheme="minorEastAsia"/>
          <w:bCs/>
          <w:kern w:val="0"/>
          <w:sz w:val="32"/>
          <w:szCs w:val="32"/>
          <w:lang w:eastAsia="zh-CN"/>
        </w:rPr>
      </w:pPr>
      <w:r>
        <w:rPr>
          <w:rFonts w:hint="eastAsia" w:asciiTheme="minorEastAsia" w:hAnsiTheme="minorEastAsia"/>
          <w:bCs/>
          <w:kern w:val="0"/>
          <w:sz w:val="32"/>
          <w:szCs w:val="32"/>
        </w:rPr>
        <w:t>（二）决算单位构成。</w:t>
      </w:r>
      <w:r>
        <w:rPr>
          <w:rFonts w:hint="eastAsia" w:asciiTheme="minorEastAsia" w:hAnsiTheme="minorEastAsia"/>
          <w:bCs/>
          <w:kern w:val="0"/>
          <w:sz w:val="32"/>
          <w:szCs w:val="32"/>
          <w:lang w:eastAsia="zh-CN"/>
        </w:rPr>
        <w:t>湘乡市交通运输局</w:t>
      </w:r>
      <w:r>
        <w:rPr>
          <w:rFonts w:hint="eastAsia" w:asciiTheme="minorEastAsia" w:hAnsiTheme="minorEastAsia"/>
          <w:bCs/>
          <w:kern w:val="0"/>
          <w:sz w:val="32"/>
          <w:szCs w:val="32"/>
        </w:rPr>
        <w:t>单位</w:t>
      </w:r>
      <w:r>
        <w:rPr>
          <w:rFonts w:asciiTheme="minorEastAsia" w:hAnsiTheme="minorEastAsia"/>
          <w:bCs/>
          <w:kern w:val="0"/>
          <w:sz w:val="32"/>
          <w:szCs w:val="32"/>
        </w:rPr>
        <w:t>20</w:t>
      </w:r>
      <w:r>
        <w:rPr>
          <w:rFonts w:hint="eastAsia" w:asciiTheme="minorEastAsia" w:hAnsiTheme="minorEastAsia"/>
          <w:bCs/>
          <w:kern w:val="0"/>
          <w:sz w:val="32"/>
          <w:szCs w:val="32"/>
        </w:rPr>
        <w:t>2</w:t>
      </w:r>
      <w:r>
        <w:rPr>
          <w:rFonts w:hint="eastAsia" w:asciiTheme="minorEastAsia" w:hAnsiTheme="minorEastAsia"/>
          <w:bCs/>
          <w:kern w:val="0"/>
          <w:sz w:val="32"/>
          <w:szCs w:val="32"/>
          <w:lang w:val="en-US" w:eastAsia="zh-CN"/>
        </w:rPr>
        <w:t>1</w:t>
      </w:r>
      <w:r>
        <w:rPr>
          <w:rFonts w:hint="eastAsia" w:asciiTheme="minorEastAsia" w:hAnsiTheme="minorEastAsia"/>
          <w:bCs/>
          <w:kern w:val="0"/>
          <w:sz w:val="32"/>
          <w:szCs w:val="32"/>
        </w:rPr>
        <w:t>年部门决算汇总公开单位构成包括：</w:t>
      </w:r>
      <w:r>
        <w:rPr>
          <w:rFonts w:hint="eastAsia" w:asciiTheme="minorEastAsia" w:hAnsiTheme="minorEastAsia"/>
          <w:bCs/>
          <w:kern w:val="0"/>
          <w:sz w:val="32"/>
          <w:szCs w:val="32"/>
          <w:lang w:eastAsia="zh-CN"/>
        </w:rPr>
        <w:t>湘乡市交通运输局</w:t>
      </w:r>
      <w:r>
        <w:rPr>
          <w:rFonts w:hint="eastAsia" w:asciiTheme="minorEastAsia" w:hAnsiTheme="minorEastAsia"/>
          <w:bCs/>
          <w:kern w:val="0"/>
          <w:sz w:val="32"/>
          <w:szCs w:val="32"/>
        </w:rPr>
        <w:t>单位本级</w:t>
      </w:r>
      <w:r>
        <w:rPr>
          <w:rFonts w:hint="eastAsia" w:asciiTheme="minorEastAsia" w:hAnsiTheme="minorEastAsia"/>
          <w:bCs/>
          <w:kern w:val="0"/>
          <w:sz w:val="32"/>
          <w:szCs w:val="32"/>
          <w:lang w:eastAsia="zh-CN"/>
        </w:rPr>
        <w:t>。</w:t>
      </w:r>
    </w:p>
    <w:p>
      <w:pPr>
        <w:jc w:val="left"/>
        <w:rPr>
          <w:rFonts w:ascii="仿宋_GB2312" w:eastAsia="仿宋_GB2312" w:hAnsiTheme="minorEastAsia"/>
          <w:sz w:val="28"/>
          <w:szCs w:val="32"/>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rFonts w:ascii="黑体" w:hAnsi="黑体" w:eastAsia="黑体"/>
          <w:sz w:val="28"/>
          <w:szCs w:val="28"/>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r>
        <w:rPr>
          <w:rFonts w:hint="eastAsia"/>
          <w:sz w:val="72"/>
          <w:szCs w:val="72"/>
        </w:rPr>
        <w:t>第二部分</w:t>
      </w:r>
    </w:p>
    <w:p>
      <w:pPr>
        <w:jc w:val="center"/>
        <w:rPr>
          <w:sz w:val="72"/>
          <w:szCs w:val="72"/>
        </w:rPr>
      </w:pPr>
    </w:p>
    <w:p>
      <w:pPr>
        <w:jc w:val="center"/>
        <w:rPr>
          <w:sz w:val="72"/>
          <w:szCs w:val="72"/>
        </w:rPr>
      </w:pPr>
      <w:r>
        <w:rPr>
          <w:rFonts w:hint="eastAsia"/>
          <w:sz w:val="72"/>
          <w:szCs w:val="72"/>
        </w:rPr>
        <w:t>部门决算表</w:t>
      </w: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center"/>
        <w:rPr>
          <w:sz w:val="72"/>
          <w:szCs w:val="72"/>
        </w:rPr>
      </w:pPr>
    </w:p>
    <w:p>
      <w:pPr>
        <w:jc w:val="left"/>
        <w:rPr>
          <w:sz w:val="32"/>
          <w:szCs w:val="32"/>
        </w:rPr>
      </w:pPr>
    </w:p>
    <w:p>
      <w:pPr>
        <w:jc w:val="left"/>
        <w:rPr>
          <w:rFonts w:asciiTheme="minorEastAsia" w:hAnsiTheme="minorEastAsia"/>
          <w:sz w:val="32"/>
          <w:szCs w:val="32"/>
        </w:rPr>
        <w:sectPr>
          <w:pgSz w:w="11906" w:h="16838"/>
          <w:pgMar w:top="720" w:right="720" w:bottom="720" w:left="720" w:header="851" w:footer="992" w:gutter="0"/>
          <w:cols w:space="425" w:num="1"/>
          <w:docGrid w:type="lines" w:linePitch="312" w:charSpace="0"/>
        </w:sectPr>
      </w:pPr>
    </w:p>
    <w:tbl>
      <w:tblPr>
        <w:tblStyle w:val="8"/>
        <w:tblW w:w="1407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4617"/>
        <w:gridCol w:w="811"/>
        <w:gridCol w:w="1490"/>
        <w:gridCol w:w="4345"/>
        <w:gridCol w:w="811"/>
        <w:gridCol w:w="1996"/>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4070" w:type="dxa"/>
            <w:gridSpan w:val="6"/>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收入支出决算总表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公开01表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部门：湘乡市交通运输局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收入</w:t>
            </w:r>
          </w:p>
        </w:tc>
        <w:tc>
          <w:tcPr>
            <w:tcW w:w="0" w:type="auto"/>
            <w:gridSpan w:val="3"/>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0" w:type="auto"/>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8,327.58</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三、国有资本经营预算财政拨款收入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四、上级补助收入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五、事业收入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六、经营收入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七、附属单位上缴收入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八、其他收入</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5,192.03</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409.85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11,951.49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13,868.60</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13,197.21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使用非财政拨款结余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结余分配</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3,025.82</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年末结转和结余</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3,697.20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0" w:type="auto"/>
            <w:tcBorders>
              <w:top w:val="nil"/>
              <w:left w:val="nil"/>
              <w:bottom w:val="single" w:color="000000" w:sz="4" w:space="0"/>
              <w:right w:val="single" w:color="000000" w:sz="4" w:space="0"/>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16,894.41</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16,894.41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注：本套报表金额单位转换时可能存在尾数误差。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1.本表依据《收入支出决算总表》（财决01表）进行批复。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6"/>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2.本表以“万元”为金额单位（保留两位小数）。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r>
    </w:tbl>
    <w:p>
      <w:pPr>
        <w:jc w:val="center"/>
        <w:rPr>
          <w:rFonts w:ascii="黑体" w:hAnsi="黑体" w:eastAsia="黑体"/>
          <w:sz w:val="28"/>
          <w:szCs w:val="28"/>
        </w:rPr>
        <w:sectPr>
          <w:pgSz w:w="16838" w:h="11906" w:orient="landscape"/>
          <w:pgMar w:top="1797" w:right="1440" w:bottom="1797" w:left="1440" w:header="851" w:footer="992" w:gutter="0"/>
          <w:cols w:space="425" w:num="1"/>
          <w:docGrid w:type="linesAndChars" w:linePitch="312" w:charSpace="0"/>
        </w:sectPr>
      </w:pPr>
    </w:p>
    <w:tbl>
      <w:tblPr>
        <w:tblStyle w:val="8"/>
        <w:tblW w:w="1550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347"/>
        <w:gridCol w:w="495"/>
        <w:gridCol w:w="495"/>
        <w:gridCol w:w="3405"/>
        <w:gridCol w:w="1410"/>
        <w:gridCol w:w="1425"/>
        <w:gridCol w:w="1620"/>
        <w:gridCol w:w="1170"/>
        <w:gridCol w:w="1200"/>
        <w:gridCol w:w="1320"/>
        <w:gridCol w:w="162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90" w:hRule="atLeast"/>
        </w:trPr>
        <w:tc>
          <w:tcPr>
            <w:tcW w:w="15507" w:type="dxa"/>
            <w:gridSpan w:val="11"/>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收入决算表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1347"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4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9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40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2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公开02表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2337"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部门：湘乡市交通运输局</w:t>
            </w:r>
          </w:p>
        </w:tc>
        <w:tc>
          <w:tcPr>
            <w:tcW w:w="340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2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7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32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2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405" w:type="dxa"/>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41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本年收入合计</w:t>
            </w:r>
          </w:p>
        </w:tc>
        <w:tc>
          <w:tcPr>
            <w:tcW w:w="1425"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财政拨款收入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上级补助收入</w:t>
            </w:r>
          </w:p>
        </w:tc>
        <w:tc>
          <w:tcPr>
            <w:tcW w:w="117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事业收入</w:t>
            </w:r>
          </w:p>
        </w:tc>
        <w:tc>
          <w:tcPr>
            <w:tcW w:w="12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经营收入</w:t>
            </w:r>
          </w:p>
        </w:tc>
        <w:tc>
          <w:tcPr>
            <w:tcW w:w="132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附属单位上缴收入</w:t>
            </w:r>
          </w:p>
        </w:tc>
        <w:tc>
          <w:tcPr>
            <w:tcW w:w="162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其他收入</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40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40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405" w:type="dxa"/>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1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425"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7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3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2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347" w:type="dxa"/>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49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495"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340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41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425"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2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17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2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32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2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1347" w:type="dxa"/>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495"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340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13,868.60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8,676.56</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5,192.03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409.85</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404.08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368.05</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362.28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34.93</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29.16</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333.13</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333.13</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其他生活救助</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12,622.88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7,436.62</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12,193.70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7,007.43</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5,186.26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3,299.43</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3,235.99</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63.44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2140102</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3,118.90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1,557.19</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1,561.71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2140106</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227.12</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180.00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47.12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2140112</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公路运输管理</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2140136</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水路运输管理支出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2140199</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5,343.04</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1,829.05</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3,514.00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成品油价格改革对交通运输的补贴</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2140403</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对出租车的补贴</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70.72</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70.72</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2140499</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成品油价格改革补贴其他支出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21499</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其他交通运输支出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2149901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基础设施建设</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2337" w:type="dxa"/>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2340102</w:t>
            </w:r>
          </w:p>
        </w:tc>
        <w:tc>
          <w:tcPr>
            <w:tcW w:w="340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141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42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17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20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3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2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07"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注：1.本表依据《收入决算表》（财决03表）进行批复。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07"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2.本表含一般公共预算财政拨款、政府性基金预算财政拨款和国有资本经营预算财政拨款。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07"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3.本表批复到项级科目。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15507" w:type="dxa"/>
            <w:gridSpan w:val="11"/>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4.本表以“万元”为金额单位（保留两位小数）。</w:t>
            </w:r>
          </w:p>
        </w:tc>
      </w:tr>
    </w:tbl>
    <w:p>
      <w:pPr>
        <w:widowControl/>
        <w:jc w:val="left"/>
        <w:rPr>
          <w:rFonts w:ascii="Times New Roman" w:hAnsi="Times New Roman" w:eastAsia="黑体" w:cs="Times New Roman"/>
          <w:bCs/>
          <w:kern w:val="0"/>
          <w:sz w:val="32"/>
          <w:szCs w:val="32"/>
        </w:rPr>
      </w:pPr>
      <w:r>
        <w:rPr>
          <w:rFonts w:ascii="Times New Roman" w:hAnsi="Times New Roman" w:eastAsia="黑体" w:cs="Times New Roman"/>
          <w:bCs/>
          <w:kern w:val="0"/>
          <w:sz w:val="32"/>
          <w:szCs w:val="32"/>
        </w:rPr>
        <w:t xml:space="preserve"> </w:t>
      </w:r>
      <w:r>
        <w:rPr>
          <w:rFonts w:ascii="Times New Roman" w:hAnsi="Times New Roman" w:eastAsia="黑体" w:cs="Times New Roman"/>
          <w:bCs/>
          <w:kern w:val="0"/>
          <w:sz w:val="32"/>
          <w:szCs w:val="32"/>
        </w:rPr>
        <w:br w:type="page"/>
      </w:r>
    </w:p>
    <w:p>
      <w:pPr>
        <w:widowControl/>
        <w:rPr>
          <w:rFonts w:ascii="Times New Roman" w:hAnsi="Times New Roman" w:eastAsia="方正小标宋_GBK" w:cs="Times New Roman"/>
          <w:color w:val="000000"/>
          <w:kern w:val="0"/>
          <w:sz w:val="36"/>
          <w:szCs w:val="36"/>
        </w:rPr>
      </w:pPr>
    </w:p>
    <w:tbl>
      <w:tblPr>
        <w:tblStyle w:val="8"/>
        <w:tblW w:w="15720"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autofit"/>
        <w:tblCellMar>
          <w:top w:w="0" w:type="dxa"/>
          <w:left w:w="108" w:type="dxa"/>
          <w:bottom w:w="0" w:type="dxa"/>
          <w:right w:w="108" w:type="dxa"/>
        </w:tblCellMar>
      </w:tblPr>
      <w:tblGrid>
        <w:gridCol w:w="2416"/>
        <w:gridCol w:w="436"/>
        <w:gridCol w:w="436"/>
        <w:gridCol w:w="4396"/>
        <w:gridCol w:w="1655"/>
        <w:gridCol w:w="1528"/>
        <w:gridCol w:w="1528"/>
        <w:gridCol w:w="763"/>
        <w:gridCol w:w="763"/>
        <w:gridCol w:w="180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90" w:hRule="atLeast"/>
        </w:trPr>
        <w:tc>
          <w:tcPr>
            <w:tcW w:w="15720"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公开03表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255" w:hRule="atLeast"/>
        </w:trPr>
        <w:tc>
          <w:tcPr>
            <w:tcW w:w="0" w:type="auto"/>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部门：湘乡市交通运输局</w:t>
            </w: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0" w:type="auto"/>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vMerge w:val="restart"/>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0" w:type="auto"/>
            <w:vMerge w:val="restart"/>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本年支出合计</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基本支出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上缴上级支出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经营支出</w:t>
            </w:r>
          </w:p>
        </w:tc>
        <w:tc>
          <w:tcPr>
            <w:tcW w:w="1800" w:type="dxa"/>
            <w:vMerge w:val="restart"/>
            <w:tcBorders>
              <w:top w:val="single" w:color="000000" w:sz="4" w:space="0"/>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对附属单位补助支出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vMerge w:val="continue"/>
            <w:tcBorders>
              <w:top w:val="single" w:color="000000" w:sz="4" w:space="0"/>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single" w:color="000000" w:sz="4" w:space="0"/>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800" w:type="dxa"/>
            <w:vMerge w:val="continue"/>
            <w:tcBorders>
              <w:top w:val="single" w:color="000000" w:sz="4" w:space="0"/>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vMerge w:val="restart"/>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类</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款</w:t>
            </w:r>
          </w:p>
        </w:tc>
        <w:tc>
          <w:tcPr>
            <w:tcW w:w="0" w:type="auto"/>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w:t>
            </w: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800" w:type="dxa"/>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vMerge w:val="continue"/>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13,197.21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4,704.78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8,492.43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409.85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409.85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368.05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34.93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2080505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333.13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333.13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其他生活救助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2082501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2089999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39.80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卫生健康支出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行政事业单位医疗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2101101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交通运输支出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11,951.49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3,808.04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8,143.45</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公路水路运输</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11,522.31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3,808.04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7,714.27</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3,299.43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3,299.43</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2,447.51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508.61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1,938.89</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227.12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227.12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2140112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公路运输管理</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2140136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水路运输管理支出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50.22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2140199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5,343.04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5,343.04</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成品油价格改革对交通运输的补贴</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74.18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2140403</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对出租车的补贴</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70.72</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2140499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成品油价格改革补贴其他支出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3.46</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车辆购置税支出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2140601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171.00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21499</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其他交通运输支出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2149901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184.00</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住房保障支出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住房改革支出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2210201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基础设施建设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3"/>
            <w:tcBorders>
              <w:top w:val="nil"/>
              <w:left w:val="single" w:color="000000" w:sz="4" w:space="0"/>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2340102</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0" w:type="auto"/>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注：1.本表依据《支出决算表》（财决04表）进行批复。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2.本表含一般公共预算财政拨款、政府性基金预算财政拨款和国有资本经营预算财政拨款。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3.本表批复到项级科目。</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8" w:hRule="atLeast"/>
        </w:trPr>
        <w:tc>
          <w:tcPr>
            <w:tcW w:w="0" w:type="auto"/>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4.本表以“万元”为金额单位（保留两位小数）。</w:t>
            </w:r>
          </w:p>
        </w:tc>
      </w:tr>
    </w:tbl>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p>
      <w:pPr>
        <w:widowControl/>
        <w:ind w:left="93"/>
        <w:jc w:val="center"/>
        <w:rPr>
          <w:rFonts w:ascii="Times New Roman" w:hAnsi="Times New Roman" w:eastAsia="方正小标宋_GBK" w:cs="Times New Roman"/>
          <w:color w:val="000000"/>
          <w:kern w:val="0"/>
          <w:sz w:val="36"/>
          <w:szCs w:val="21"/>
        </w:rPr>
      </w:pPr>
    </w:p>
    <w:tbl>
      <w:tblPr>
        <w:tblStyle w:val="8"/>
        <w:tblW w:w="15402"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3192"/>
        <w:gridCol w:w="524"/>
        <w:gridCol w:w="1640"/>
        <w:gridCol w:w="3734"/>
        <w:gridCol w:w="468"/>
        <w:gridCol w:w="1186"/>
        <w:gridCol w:w="1478"/>
        <w:gridCol w:w="1575"/>
        <w:gridCol w:w="1605"/>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54" w:hRule="atLeast"/>
        </w:trPr>
        <w:tc>
          <w:tcPr>
            <w:tcW w:w="15402" w:type="dxa"/>
            <w:gridSpan w:val="9"/>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bookmarkStart w:id="0" w:name="RANGE!A1:F16"/>
            <w:r>
              <w:rPr>
                <w:rFonts w:hint="eastAsia" w:ascii="宋体" w:hAnsi="宋体" w:eastAsia="宋体" w:cs="宋体"/>
                <w:i w:val="0"/>
                <w:iCs w:val="0"/>
                <w:color w:val="000000"/>
                <w:kern w:val="0"/>
                <w:sz w:val="30"/>
                <w:szCs w:val="30"/>
                <w:u w:val="none"/>
                <w:lang w:val="en-US" w:eastAsia="zh-CN" w:bidi="ar"/>
              </w:rPr>
              <w:t>财政拨款收入支出决算表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 w:hRule="atLeast"/>
        </w:trPr>
        <w:tc>
          <w:tcPr>
            <w:tcW w:w="3192"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52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7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0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公开04表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77" w:hRule="atLeast"/>
        </w:trPr>
        <w:tc>
          <w:tcPr>
            <w:tcW w:w="3192" w:type="dxa"/>
            <w:tcBorders>
              <w:top w:val="nil"/>
              <w:left w:val="nil"/>
              <w:bottom w:val="nil"/>
              <w:right w:val="nil"/>
            </w:tcBorders>
            <w:shd w:val="clear" w:color="auto" w:fill="auto"/>
            <w:noWrap/>
            <w:vAlign w:val="bottom"/>
          </w:tcPr>
          <w:p>
            <w:pPr>
              <w:keepNext w:val="0"/>
              <w:keepLines w:val="0"/>
              <w:widowControl/>
              <w:suppressLineNumbers w:val="0"/>
              <w:jc w:val="lef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部门：湘乡市交通运输局</w:t>
            </w:r>
          </w:p>
        </w:tc>
        <w:tc>
          <w:tcPr>
            <w:tcW w:w="52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4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73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46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18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478"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575"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605"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 w:hRule="atLeast"/>
        </w:trPr>
        <w:tc>
          <w:tcPr>
            <w:tcW w:w="5356" w:type="dxa"/>
            <w:gridSpan w:val="3"/>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收     入</w:t>
            </w:r>
          </w:p>
        </w:tc>
        <w:tc>
          <w:tcPr>
            <w:tcW w:w="10046"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支     出</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2" w:hRule="atLeast"/>
        </w:trPr>
        <w:tc>
          <w:tcPr>
            <w:tcW w:w="3192"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52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64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金额</w:t>
            </w:r>
          </w:p>
        </w:tc>
        <w:tc>
          <w:tcPr>
            <w:tcW w:w="373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项目</w:t>
            </w:r>
          </w:p>
        </w:tc>
        <w:tc>
          <w:tcPr>
            <w:tcW w:w="46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行次</w:t>
            </w:r>
          </w:p>
        </w:tc>
        <w:tc>
          <w:tcPr>
            <w:tcW w:w="1186" w:type="dxa"/>
            <w:vMerge w:val="restart"/>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合计</w:t>
            </w:r>
          </w:p>
        </w:tc>
        <w:tc>
          <w:tcPr>
            <w:tcW w:w="1478"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一般公共预算财政拨款</w:t>
            </w:r>
          </w:p>
        </w:tc>
        <w:tc>
          <w:tcPr>
            <w:tcW w:w="157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政府性基金预算财政拨款</w:t>
            </w:r>
          </w:p>
        </w:tc>
        <w:tc>
          <w:tcPr>
            <w:tcW w:w="1605"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国有资本经营预算财政拨款</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6" w:hRule="atLeast"/>
        </w:trPr>
        <w:tc>
          <w:tcPr>
            <w:tcW w:w="3192"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52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4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73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46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186" w:type="dxa"/>
            <w:vMerge w:val="continue"/>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478"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57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605"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524"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64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栏次</w:t>
            </w:r>
          </w:p>
        </w:tc>
        <w:tc>
          <w:tcPr>
            <w:tcW w:w="468" w:type="dxa"/>
            <w:tcBorders>
              <w:top w:val="nil"/>
              <w:left w:val="nil"/>
              <w:bottom w:val="single" w:color="000000" w:sz="4" w:space="0"/>
              <w:right w:val="single" w:color="000000" w:sz="4" w:space="0"/>
            </w:tcBorders>
            <w:shd w:val="clear" w:color="FFFFFF" w:fill="C0C0C0"/>
            <w:noWrap/>
            <w:vAlign w:val="center"/>
          </w:tcPr>
          <w:p>
            <w:pPr>
              <w:jc w:val="center"/>
              <w:rPr>
                <w:rFonts w:hint="eastAsia" w:ascii="宋体" w:hAnsi="宋体" w:eastAsia="宋体" w:cs="宋体"/>
                <w:i w:val="0"/>
                <w:iCs w:val="0"/>
                <w:color w:val="000000"/>
                <w:sz w:val="22"/>
                <w:szCs w:val="22"/>
                <w:u w:val="none"/>
              </w:rPr>
            </w:pPr>
          </w:p>
        </w:tc>
        <w:tc>
          <w:tcPr>
            <w:tcW w:w="118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47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57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05"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一、一般公共预算财政拨款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8,327.58</w:t>
            </w: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一、一般公共服务支出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二、政府性基金预算财政拨款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二、外交支出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三、国有资本经营财政拨款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三、国防支出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35</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四、公共安全支出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36</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五、教育支出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37</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六、科学技术支出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七、文化旅游体育与传媒支出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八、社会保障和就业支出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404.08</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404.08</w:t>
            </w: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九、卫生健康支出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176.97</w:t>
            </w: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十、节能环保支出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42</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十一、城乡社区支出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十二、农林水支出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十三、交通运输支出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7,436.62</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7,436.62</w:t>
            </w: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十四、资源勘探工业信息等支出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46</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十五、商业服务业等支出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47</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十六、金融支出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17</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十七、援助其他地区支出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十八、自然资源海洋气象等支出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十九、住房保障支出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309.91</w:t>
            </w: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二十、粮油物资储备支出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52</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二十一、国有资本经营预算支出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53</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二十二、灾害防治及应急管理支出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54</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二十三、其他支出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center"/>
              <w:rPr>
                <w:rFonts w:hint="eastAsia" w:ascii="宋体" w:hAnsi="宋体" w:eastAsia="宋体" w:cs="宋体"/>
                <w:b/>
                <w:bCs/>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二十四、债务还本支出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56</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二十五、债务付息支出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二十六、抗疫特别国债安排的支出</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58</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本年收入合计</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8,676.56</w:t>
            </w: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本年支出合计</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8,676.56</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8,327.58</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年初财政拨款结转和结余</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年末财政拨款结转和结余</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一般公共预算财政拨款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29</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61</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政府性基金预算财政拨款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0"/>
                <w:szCs w:val="20"/>
                <w:u w:val="none"/>
              </w:rPr>
            </w:pP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62</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0"/>
                <w:szCs w:val="20"/>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国有资本经营预算财政拨款</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w:t>
            </w:r>
          </w:p>
        </w:tc>
        <w:tc>
          <w:tcPr>
            <w:tcW w:w="16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3734"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63</w:t>
            </w:r>
          </w:p>
        </w:tc>
        <w:tc>
          <w:tcPr>
            <w:tcW w:w="1186"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478"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57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60" w:hRule="atLeast"/>
        </w:trPr>
        <w:tc>
          <w:tcPr>
            <w:tcW w:w="3192"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52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w:t>
            </w:r>
          </w:p>
        </w:tc>
        <w:tc>
          <w:tcPr>
            <w:tcW w:w="16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8,676.56</w:t>
            </w:r>
          </w:p>
        </w:tc>
        <w:tc>
          <w:tcPr>
            <w:tcW w:w="3734"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eastAsia="宋体" w:cs="宋体"/>
                <w:b/>
                <w:bCs/>
                <w:i w:val="0"/>
                <w:iCs w:val="0"/>
                <w:color w:val="000000"/>
                <w:kern w:val="0"/>
                <w:sz w:val="22"/>
                <w:szCs w:val="22"/>
                <w:u w:val="none"/>
                <w:lang w:val="en-US" w:eastAsia="zh-CN" w:bidi="ar"/>
              </w:rPr>
              <w:t>总计</w:t>
            </w:r>
          </w:p>
        </w:tc>
        <w:tc>
          <w:tcPr>
            <w:tcW w:w="468"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64</w:t>
            </w:r>
          </w:p>
        </w:tc>
        <w:tc>
          <w:tcPr>
            <w:tcW w:w="1186"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8,676.56</w:t>
            </w:r>
          </w:p>
        </w:tc>
        <w:tc>
          <w:tcPr>
            <w:tcW w:w="1478"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8,327.58</w:t>
            </w:r>
          </w:p>
        </w:tc>
        <w:tc>
          <w:tcPr>
            <w:tcW w:w="1575"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348.98</w:t>
            </w:r>
          </w:p>
        </w:tc>
        <w:tc>
          <w:tcPr>
            <w:tcW w:w="1605"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83" w:hRule="atLeast"/>
        </w:trPr>
        <w:tc>
          <w:tcPr>
            <w:tcW w:w="13797" w:type="dxa"/>
            <w:gridSpan w:val="8"/>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注：1.本表依据《财政拨款收入支出决算总表》（财决01-1表）进行批复。</w:t>
            </w:r>
          </w:p>
        </w:tc>
        <w:tc>
          <w:tcPr>
            <w:tcW w:w="1605" w:type="dxa"/>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77" w:hRule="atLeast"/>
        </w:trPr>
        <w:tc>
          <w:tcPr>
            <w:tcW w:w="5356" w:type="dxa"/>
            <w:gridSpan w:val="3"/>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2.本表以“万元”为金额单位（保留两位小数）。</w:t>
            </w:r>
          </w:p>
        </w:tc>
        <w:tc>
          <w:tcPr>
            <w:tcW w:w="10046" w:type="dxa"/>
            <w:gridSpan w:val="6"/>
            <w:tcBorders>
              <w:top w:val="nil"/>
              <w:left w:val="nil"/>
              <w:bottom w:val="nil"/>
              <w:right w:val="nil"/>
            </w:tcBorders>
            <w:shd w:val="clear" w:color="auto" w:fill="auto"/>
            <w:noWrap/>
            <w:vAlign w:val="center"/>
          </w:tcPr>
          <w:p>
            <w:pPr>
              <w:jc w:val="left"/>
              <w:rPr>
                <w:rFonts w:hint="eastAsia" w:ascii="宋体" w:hAnsi="宋体" w:eastAsia="宋体" w:cs="宋体"/>
                <w:i w:val="0"/>
                <w:iCs w:val="0"/>
                <w:color w:val="000000"/>
                <w:sz w:val="20"/>
                <w:szCs w:val="20"/>
                <w:u w:val="none"/>
              </w:rPr>
            </w:pPr>
          </w:p>
        </w:tc>
      </w:tr>
    </w:tbl>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一般公共预算财政拨款支出决算表</w:t>
      </w:r>
      <w:bookmarkEnd w:id="0"/>
    </w:p>
    <w:p>
      <w:pPr>
        <w:widowControl/>
        <w:spacing w:before="156" w:beforeLines="50"/>
        <w:jc w:val="left"/>
        <w:rPr>
          <w:rFonts w:ascii="Times New Roman" w:hAnsi="Times New Roman" w:eastAsia="仿宋_GB2312" w:cs="Times New Roman"/>
          <w:color w:val="000000"/>
          <w:kern w:val="0"/>
          <w:szCs w:val="21"/>
        </w:rPr>
      </w:pP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公开05表</w:t>
      </w:r>
    </w:p>
    <w:p>
      <w:pPr>
        <w:widowControl/>
        <w:jc w:val="left"/>
        <w:rPr>
          <w:rFonts w:ascii="Times New Roman" w:hAnsi="Times New Roman" w:eastAsia="宋体" w:cs="Times New Roman"/>
          <w:color w:val="000000"/>
          <w:kern w:val="0"/>
          <w:sz w:val="20"/>
          <w:szCs w:val="20"/>
        </w:rPr>
      </w:pP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单位：万元</w:t>
      </w:r>
    </w:p>
    <w:tbl>
      <w:tblPr>
        <w:tblStyle w:val="8"/>
        <w:tblW w:w="14219" w:type="dxa"/>
        <w:jc w:val="center"/>
        <w:tblLayout w:type="autofit"/>
        <w:tblCellMar>
          <w:top w:w="0" w:type="dxa"/>
          <w:left w:w="108" w:type="dxa"/>
          <w:bottom w:w="0" w:type="dxa"/>
          <w:right w:w="108" w:type="dxa"/>
        </w:tblCellMar>
      </w:tblPr>
      <w:tblGrid>
        <w:gridCol w:w="1200"/>
        <w:gridCol w:w="3527"/>
        <w:gridCol w:w="3000"/>
        <w:gridCol w:w="3492"/>
        <w:gridCol w:w="3000"/>
      </w:tblGrid>
      <w:tr>
        <w:tblPrEx>
          <w:tblCellMar>
            <w:top w:w="0" w:type="dxa"/>
            <w:left w:w="108" w:type="dxa"/>
            <w:bottom w:w="0" w:type="dxa"/>
            <w:right w:w="108" w:type="dxa"/>
          </w:tblCellMar>
        </w:tblPrEx>
        <w:trPr>
          <w:trHeight w:val="405" w:hRule="atLeast"/>
          <w:jc w:val="center"/>
        </w:trPr>
        <w:tc>
          <w:tcPr>
            <w:tcW w:w="4727" w:type="dxa"/>
            <w:gridSpan w:val="2"/>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9492" w:type="dxa"/>
            <w:gridSpan w:val="3"/>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r>
      <w:tr>
        <w:tblPrEx>
          <w:tblCellMar>
            <w:top w:w="0" w:type="dxa"/>
            <w:left w:w="108" w:type="dxa"/>
            <w:bottom w:w="0" w:type="dxa"/>
            <w:right w:w="108" w:type="dxa"/>
          </w:tblCellMar>
        </w:tblPrEx>
        <w:trPr>
          <w:trHeight w:val="495" w:hRule="atLeast"/>
          <w:jc w:val="center"/>
        </w:trPr>
        <w:tc>
          <w:tcPr>
            <w:tcW w:w="1200" w:type="dxa"/>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527"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300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3492"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基本支出</w:t>
            </w:r>
          </w:p>
        </w:tc>
        <w:tc>
          <w:tcPr>
            <w:tcW w:w="300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r>
      <w:tr>
        <w:tblPrEx>
          <w:tblCellMar>
            <w:top w:w="0" w:type="dxa"/>
            <w:left w:w="108" w:type="dxa"/>
            <w:bottom w:w="0" w:type="dxa"/>
            <w:right w:w="108" w:type="dxa"/>
          </w:tblCellMar>
        </w:tblPrEx>
        <w:trPr>
          <w:trHeight w:val="36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1200" w:type="dxa"/>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527"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492"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300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300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3492"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300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r>
      <w:tr>
        <w:tblPrEx>
          <w:tblCellMar>
            <w:top w:w="0" w:type="dxa"/>
            <w:left w:w="108" w:type="dxa"/>
            <w:bottom w:w="0" w:type="dxa"/>
            <w:right w:w="108" w:type="dxa"/>
          </w:tblCellMar>
        </w:tblPrEx>
        <w:trPr>
          <w:trHeight w:val="450" w:hRule="atLeast"/>
          <w:jc w:val="center"/>
        </w:trPr>
        <w:tc>
          <w:tcPr>
            <w:tcW w:w="4727"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8,327.58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4,559.33</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3,768.25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404.08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404.08</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行政事业单位养老支出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362.28</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362.28</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行政单位离退休</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29.16</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29.16</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2080505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333.13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333.13</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20825</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其他生活救助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2082501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其他城市生活救助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2.00</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39.80</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2089999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其他社会保障和就业支出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39.80</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39.80</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卫生健康支出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行政事业单位医疗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2101101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行政单位医疗</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176.97</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交通运输支出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7,436.62</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3,668.37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3,768.25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公路水路运输</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7,007.43</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3,668.37</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3,339.07</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行政运行</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3,235.99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3,235.99</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一般行政管理事务</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1,557.19</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432.38</w:t>
            </w: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1,124.81</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2140104</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公路建设</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80.00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公路养护</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180.00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180.00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2140112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公路运输管理</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74.98</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74.98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2140136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水路运输管理支出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50.22</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50.22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2140199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其他公路水路运输支出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1,829.05</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1,829.05</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21404</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成品油价格改革对交通运输的补贴</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74.18</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74.18</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2140403</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对出租车的补贴</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70.72</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70.72</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2140499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成品油价格改革补贴其他支出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3.46</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21406</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车辆购置税支出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2140601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车辆购置税用于公路等基础设施建设支出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171.00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21499</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其他交通运输支出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2149901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公共交通运营补助</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184.00</w:t>
            </w:r>
          </w:p>
        </w:tc>
        <w:tc>
          <w:tcPr>
            <w:tcW w:w="3492" w:type="dxa"/>
            <w:tcBorders>
              <w:top w:val="nil"/>
              <w:left w:val="nil"/>
              <w:bottom w:val="single" w:color="auto" w:sz="4" w:space="0"/>
              <w:right w:val="single" w:color="auto" w:sz="4"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c>
          <w:tcPr>
            <w:tcW w:w="3000" w:type="dxa"/>
            <w:tcBorders>
              <w:top w:val="nil"/>
              <w:left w:val="nil"/>
              <w:bottom w:val="single" w:color="auto" w:sz="4" w:space="0"/>
              <w:right w:val="single" w:color="auto" w:sz="8"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184.00</w:t>
            </w: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住房保障支出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住房改革支出</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450" w:hRule="atLeast"/>
          <w:jc w:val="center"/>
        </w:trPr>
        <w:tc>
          <w:tcPr>
            <w:tcW w:w="1200" w:type="dxa"/>
            <w:tcBorders>
              <w:top w:val="single" w:color="auto" w:sz="4" w:space="0"/>
              <w:left w:val="single" w:color="auto" w:sz="8" w:space="0"/>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2210201</w:t>
            </w:r>
          </w:p>
        </w:tc>
        <w:tc>
          <w:tcPr>
            <w:tcW w:w="3527"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3000"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492" w:type="dxa"/>
            <w:tcBorders>
              <w:top w:val="nil"/>
              <w:left w:val="nil"/>
              <w:bottom w:val="single" w:color="auto" w:sz="4" w:space="0"/>
              <w:right w:val="single" w:color="auto" w:sz="4" w:space="0"/>
            </w:tcBorders>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309.91</w:t>
            </w:r>
          </w:p>
        </w:tc>
        <w:tc>
          <w:tcPr>
            <w:tcW w:w="3000" w:type="dxa"/>
            <w:tcBorders>
              <w:top w:val="nil"/>
              <w:left w:val="nil"/>
              <w:bottom w:val="single" w:color="auto" w:sz="4" w:space="0"/>
              <w:right w:val="single" w:color="auto" w:sz="8" w:space="0"/>
            </w:tcBorders>
            <w:shd w:val="clear" w:color="auto" w:fill="auto"/>
            <w:vAlign w:val="center"/>
          </w:tcPr>
          <w:p>
            <w:pPr>
              <w:jc w:val="right"/>
              <w:rPr>
                <w:rFonts w:hint="eastAsia" w:ascii="宋体" w:hAnsi="宋体" w:eastAsia="宋体" w:cs="宋体"/>
                <w:i w:val="0"/>
                <w:iCs w:val="0"/>
                <w:color w:val="000000"/>
                <w:kern w:val="2"/>
                <w:sz w:val="22"/>
                <w:szCs w:val="22"/>
                <w:u w:val="none"/>
                <w:lang w:val="en-US" w:eastAsia="zh-CN" w:bidi="ar-SA"/>
              </w:rPr>
            </w:pPr>
          </w:p>
        </w:tc>
      </w:tr>
      <w:tr>
        <w:tblPrEx>
          <w:tblCellMar>
            <w:top w:w="0" w:type="dxa"/>
            <w:left w:w="108" w:type="dxa"/>
            <w:bottom w:w="0" w:type="dxa"/>
            <w:right w:w="108" w:type="dxa"/>
          </w:tblCellMar>
        </w:tblPrEx>
        <w:trPr>
          <w:trHeight w:val="645" w:hRule="atLeast"/>
          <w:jc w:val="center"/>
        </w:trPr>
        <w:tc>
          <w:tcPr>
            <w:tcW w:w="14219" w:type="dxa"/>
            <w:gridSpan w:val="5"/>
            <w:tcBorders>
              <w:top w:val="nil"/>
              <w:left w:val="nil"/>
              <w:bottom w:val="nil"/>
              <w:right w:val="nil"/>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注：本表反映部门本年度一般公共预算财政拨款支出情况。</w:t>
            </w:r>
          </w:p>
        </w:tc>
      </w:tr>
    </w:tbl>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p>
      <w:pPr>
        <w:widowControl/>
        <w:jc w:val="left"/>
        <w:rPr>
          <w:rFonts w:ascii="Times New Roman" w:hAnsi="Times New Roman" w:eastAsia="仿宋_GB2312" w:cs="Times New Roman"/>
          <w:bCs/>
          <w:kern w:val="0"/>
          <w:szCs w:val="21"/>
        </w:rPr>
      </w:pPr>
    </w:p>
    <w:tbl>
      <w:tblPr>
        <w:tblStyle w:val="8"/>
        <w:tblW w:w="15417" w:type="dxa"/>
        <w:tblInd w:w="93"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1021"/>
        <w:gridCol w:w="3071"/>
        <w:gridCol w:w="52"/>
        <w:gridCol w:w="1153"/>
        <w:gridCol w:w="1036"/>
        <w:gridCol w:w="2073"/>
        <w:gridCol w:w="984"/>
        <w:gridCol w:w="1010"/>
        <w:gridCol w:w="3277"/>
        <w:gridCol w:w="17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10" w:hRule="atLeast"/>
        </w:trPr>
        <w:tc>
          <w:tcPr>
            <w:tcW w:w="15417" w:type="dxa"/>
            <w:gridSpan w:val="10"/>
            <w:tcBorders>
              <w:top w:val="nil"/>
              <w:left w:val="nil"/>
              <w:bottom w:val="nil"/>
              <w:right w:val="nil"/>
            </w:tcBorders>
            <w:shd w:val="clear" w:color="auto" w:fill="auto"/>
            <w:noWrap/>
            <w:vAlign w:val="bottom"/>
          </w:tcPr>
          <w:p>
            <w:pPr>
              <w:keepNext w:val="0"/>
              <w:keepLines w:val="0"/>
              <w:widowControl/>
              <w:suppressLineNumbers w:val="0"/>
              <w:jc w:val="center"/>
              <w:textAlignment w:val="bottom"/>
              <w:rPr>
                <w:rFonts w:hint="eastAsia" w:ascii="宋体" w:hAnsi="宋体" w:eastAsia="宋体" w:cs="宋体"/>
                <w:i w:val="0"/>
                <w:iCs w:val="0"/>
                <w:color w:val="000000"/>
                <w:sz w:val="30"/>
                <w:szCs w:val="30"/>
                <w:u w:val="none"/>
              </w:rPr>
            </w:pPr>
            <w:r>
              <w:rPr>
                <w:rFonts w:hint="eastAsia" w:ascii="宋体" w:hAnsi="宋体" w:eastAsia="宋体" w:cs="宋体"/>
                <w:i w:val="0"/>
                <w:iCs w:val="0"/>
                <w:color w:val="000000"/>
                <w:kern w:val="0"/>
                <w:sz w:val="30"/>
                <w:szCs w:val="30"/>
                <w:u w:val="none"/>
                <w:lang w:val="en-US" w:eastAsia="zh-CN" w:bidi="ar"/>
              </w:rPr>
              <w:t>一般公共预算财政拨款基本支出决算明细表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05" w:hRule="atLeast"/>
        </w:trPr>
        <w:tc>
          <w:tcPr>
            <w:tcW w:w="1021" w:type="dxa"/>
            <w:tcBorders>
              <w:top w:val="nil"/>
              <w:left w:val="nil"/>
              <w:bottom w:val="nil"/>
              <w:right w:val="nil"/>
            </w:tcBorders>
            <w:shd w:val="clear" w:color="auto" w:fill="auto"/>
            <w:noWrap/>
            <w:vAlign w:val="bottom"/>
          </w:tcPr>
          <w:p>
            <w:pPr>
              <w:rPr>
                <w:rFonts w:hint="eastAsia" w:ascii="Arial" w:hAnsi="Arial" w:cs="Arial"/>
                <w:i w:val="0"/>
                <w:iCs w:val="0"/>
                <w:color w:val="000000"/>
                <w:sz w:val="20"/>
                <w:szCs w:val="20"/>
                <w:u w:val="none"/>
              </w:rPr>
            </w:pPr>
          </w:p>
        </w:tc>
        <w:tc>
          <w:tcPr>
            <w:tcW w:w="3071"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205" w:type="dxa"/>
            <w:gridSpan w:val="2"/>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7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7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74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公开06表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4144" w:type="dxa"/>
            <w:gridSpan w:val="3"/>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部门：湘乡市交通运输局</w:t>
            </w:r>
          </w:p>
        </w:tc>
        <w:tc>
          <w:tcPr>
            <w:tcW w:w="115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36"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2073"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984"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010"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3277" w:type="dxa"/>
            <w:tcBorders>
              <w:top w:val="nil"/>
              <w:left w:val="nil"/>
              <w:bottom w:val="nil"/>
              <w:right w:val="nil"/>
            </w:tcBorders>
            <w:shd w:val="clear" w:color="auto" w:fill="auto"/>
            <w:noWrap/>
            <w:vAlign w:val="bottom"/>
          </w:tcPr>
          <w:p>
            <w:pPr>
              <w:rPr>
                <w:rFonts w:hint="default" w:ascii="Arial" w:hAnsi="Arial" w:cs="Arial"/>
                <w:i w:val="0"/>
                <w:iCs w:val="0"/>
                <w:color w:val="000000"/>
                <w:sz w:val="20"/>
                <w:szCs w:val="20"/>
                <w:u w:val="none"/>
              </w:rPr>
            </w:pPr>
          </w:p>
        </w:tc>
        <w:tc>
          <w:tcPr>
            <w:tcW w:w="1740" w:type="dxa"/>
            <w:tcBorders>
              <w:top w:val="nil"/>
              <w:left w:val="nil"/>
              <w:bottom w:val="nil"/>
              <w:right w:val="nil"/>
            </w:tcBorders>
            <w:shd w:val="clear" w:color="auto" w:fill="auto"/>
            <w:noWrap/>
            <w:vAlign w:val="bottom"/>
          </w:tcPr>
          <w:p>
            <w:pPr>
              <w:keepNext w:val="0"/>
              <w:keepLines w:val="0"/>
              <w:widowControl/>
              <w:suppressLineNumbers w:val="0"/>
              <w:jc w:val="right"/>
              <w:textAlignment w:val="bottom"/>
              <w:rPr>
                <w:rFonts w:hint="eastAsia" w:ascii="宋体" w:hAnsi="宋体" w:eastAsia="宋体" w:cs="宋体"/>
                <w:i w:val="0"/>
                <w:iCs w:val="0"/>
                <w:color w:val="000000"/>
                <w:sz w:val="20"/>
                <w:szCs w:val="20"/>
                <w:u w:val="none"/>
              </w:rPr>
            </w:pPr>
            <w:r>
              <w:rPr>
                <w:rFonts w:hint="eastAsia" w:ascii="宋体" w:hAnsi="宋体" w:eastAsia="宋体" w:cs="宋体"/>
                <w:i w:val="0"/>
                <w:iCs w:val="0"/>
                <w:color w:val="000000"/>
                <w:kern w:val="0"/>
                <w:sz w:val="20"/>
                <w:szCs w:val="20"/>
                <w:u w:val="none"/>
                <w:lang w:val="en-US" w:eastAsia="zh-CN" w:bidi="ar"/>
              </w:rPr>
              <w:t>金额单位：万元</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5297" w:type="dxa"/>
            <w:gridSpan w:val="4"/>
            <w:tcBorders>
              <w:top w:val="single" w:color="000000" w:sz="4" w:space="0"/>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w:t>
            </w:r>
          </w:p>
        </w:tc>
        <w:tc>
          <w:tcPr>
            <w:tcW w:w="10120" w:type="dxa"/>
            <w:gridSpan w:val="6"/>
            <w:tcBorders>
              <w:top w:val="single" w:color="000000" w:sz="4" w:space="0"/>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21" w:type="dxa"/>
            <w:vMerge w:val="restart"/>
            <w:tcBorders>
              <w:top w:val="nil"/>
              <w:left w:val="single" w:color="000000" w:sz="4" w:space="0"/>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071"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205" w:type="dxa"/>
            <w:gridSpan w:val="2"/>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036"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2073"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984"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c>
          <w:tcPr>
            <w:tcW w:w="101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科目编码</w:t>
            </w:r>
          </w:p>
        </w:tc>
        <w:tc>
          <w:tcPr>
            <w:tcW w:w="3277"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科目名称</w:t>
            </w:r>
          </w:p>
        </w:tc>
        <w:tc>
          <w:tcPr>
            <w:tcW w:w="1740" w:type="dxa"/>
            <w:vMerge w:val="restart"/>
            <w:tcBorders>
              <w:top w:val="nil"/>
              <w:left w:val="nil"/>
              <w:bottom w:val="single" w:color="000000" w:sz="4" w:space="0"/>
              <w:right w:val="single" w:color="000000" w:sz="4" w:space="0"/>
            </w:tcBorders>
            <w:shd w:val="clear" w:color="FFFFFF" w:fill="C0C0C0"/>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决算数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2" w:hRule="atLeast"/>
        </w:trPr>
        <w:tc>
          <w:tcPr>
            <w:tcW w:w="1021" w:type="dxa"/>
            <w:vMerge w:val="continue"/>
            <w:tcBorders>
              <w:top w:val="nil"/>
              <w:left w:val="single" w:color="000000" w:sz="4" w:space="0"/>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071"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205" w:type="dxa"/>
            <w:gridSpan w:val="2"/>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36"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2073"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984"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01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3277"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c>
          <w:tcPr>
            <w:tcW w:w="1740" w:type="dxa"/>
            <w:vMerge w:val="continue"/>
            <w:tcBorders>
              <w:top w:val="nil"/>
              <w:left w:val="nil"/>
              <w:bottom w:val="single" w:color="000000" w:sz="4" w:space="0"/>
              <w:right w:val="single" w:color="000000" w:sz="4" w:space="0"/>
            </w:tcBorders>
            <w:shd w:val="clear" w:color="FFFFFF" w:fill="C0C0C0"/>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工资福利支出</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3,821.14</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商品和服务支出</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682.83</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债务利息及费用支出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30101</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基本工资</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1,360.96</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30201</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120.99</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30701</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国内债务付息</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30102</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津贴补贴</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579.79</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30202</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印刷费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4.14</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30702</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国外债务付息</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30103</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奖金</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327.32</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30203</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咨询费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2.60</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资本性支出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30106</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伙食补助费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129.96</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30204</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手续费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31001</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房屋建筑物购建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30107</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绩效工资</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282.87</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30205</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水费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7.86</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31002</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办公设备购置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30108</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机关事业单位基本养老保险缴费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336.64</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30206</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电费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12.23</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31003</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专用设备购置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30109</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职业年金缴费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18.89</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30207</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邮电费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13.98</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31005</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基础设施建设</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30110</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职工基本医疗保险缴费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187.86</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30208</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取暖费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31006</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大型修缮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30111</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公务员医疗补助缴费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65.53</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30209</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物业管理费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31.73</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31007</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信息网络及软件购置更新</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30112</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其他社会保障缴费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38.22</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30211</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差旅费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80.00</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31008</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物资储备</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30113</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住房公积金</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488.03</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30212</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因公出国（境）费用</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31009</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土地补偿</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30114</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30213</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维修（护）费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2.26</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31010</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安置补助</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30199</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其他工资福利支出</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5.08</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30214</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租赁费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31011</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地上附着物和青苗补偿</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对个人和家庭的补助</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55.37</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30215</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会议费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1.48</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31012</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拆迁补偿</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30301</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离休费</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8.90</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30216</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培训费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8.09</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31013</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30302</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退休费</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30217</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公务接待费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31019</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其他交通工具购置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30303</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退职（役）费</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30218</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专用材料费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20.00</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31021</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文物和陈列品购置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30304</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抚恤金</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15.27</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30224</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被装购置费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31022</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无形资产购置</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30305</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生活补助</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31.19</w:t>
            </w: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30225</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专用燃料费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31099</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其他资本性支出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30306</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救济费</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30226</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劳务费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18.78</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其他支出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30307</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医疗费补助</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30227</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委托业务费</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39906</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赠与</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30308</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助学金</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30228</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工会经费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107.78</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39907</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国家赔偿费用支出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30309</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奖励金</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30229</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福利费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7.14</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39908</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对民间非营利组织和群众性自治组织补贴</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30310</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个人农业生产补贴</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30231</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公务用车运行维护费</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21.47</w:t>
            </w:r>
          </w:p>
        </w:tc>
        <w:tc>
          <w:tcPr>
            <w:tcW w:w="1010"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39999</w:t>
            </w:r>
          </w:p>
        </w:tc>
        <w:tc>
          <w:tcPr>
            <w:tcW w:w="3277"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其他支出</w:t>
            </w: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30311</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代缴社会保险费</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30239</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其他交通费用</w:t>
            </w:r>
          </w:p>
        </w:tc>
        <w:tc>
          <w:tcPr>
            <w:tcW w:w="984"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222.29</w:t>
            </w:r>
          </w:p>
        </w:tc>
        <w:tc>
          <w:tcPr>
            <w:tcW w:w="101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277"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15"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30399</w:t>
            </w:r>
          </w:p>
        </w:tc>
        <w:tc>
          <w:tcPr>
            <w:tcW w:w="3071"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其他对个人和家庭的补助</w:t>
            </w: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30240</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税金及附加费用</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277"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20" w:hRule="atLeast"/>
        </w:trPr>
        <w:tc>
          <w:tcPr>
            <w:tcW w:w="1021" w:type="dxa"/>
            <w:tcBorders>
              <w:top w:val="nil"/>
              <w:left w:val="single" w:color="000000" w:sz="4" w:space="0"/>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071"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205" w:type="dxa"/>
            <w:gridSpan w:val="2"/>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36"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30299</w:t>
            </w:r>
          </w:p>
        </w:tc>
        <w:tc>
          <w:tcPr>
            <w:tcW w:w="2073" w:type="dxa"/>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其他商品和服务支出</w:t>
            </w:r>
          </w:p>
        </w:tc>
        <w:tc>
          <w:tcPr>
            <w:tcW w:w="984"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c>
          <w:tcPr>
            <w:tcW w:w="1010"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3277" w:type="dxa"/>
            <w:tcBorders>
              <w:top w:val="nil"/>
              <w:left w:val="nil"/>
              <w:bottom w:val="single" w:color="000000" w:sz="4" w:space="0"/>
              <w:right w:val="single" w:color="000000" w:sz="4" w:space="0"/>
            </w:tcBorders>
            <w:shd w:val="clear" w:color="FFFFFF" w:fill="C0C0C0"/>
            <w:noWrap/>
            <w:vAlign w:val="center"/>
          </w:tcPr>
          <w:p>
            <w:pPr>
              <w:jc w:val="left"/>
              <w:rPr>
                <w:rFonts w:hint="eastAsia" w:ascii="宋体" w:hAnsi="宋体" w:eastAsia="宋体" w:cs="宋体"/>
                <w:i w:val="0"/>
                <w:iCs w:val="0"/>
                <w:color w:val="000000"/>
                <w:sz w:val="22"/>
                <w:szCs w:val="22"/>
                <w:u w:val="none"/>
              </w:rPr>
            </w:pPr>
          </w:p>
        </w:tc>
        <w:tc>
          <w:tcPr>
            <w:tcW w:w="1740" w:type="dxa"/>
            <w:tcBorders>
              <w:top w:val="nil"/>
              <w:left w:val="nil"/>
              <w:bottom w:val="single" w:color="000000" w:sz="4" w:space="0"/>
              <w:right w:val="single" w:color="000000" w:sz="4" w:space="0"/>
            </w:tcBorders>
            <w:shd w:val="clear" w:color="auto" w:fill="auto"/>
            <w:noWrap/>
            <w:vAlign w:val="center"/>
          </w:tcPr>
          <w:p>
            <w:pPr>
              <w:jc w:val="right"/>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4092" w:type="dxa"/>
            <w:gridSpan w:val="2"/>
            <w:tcBorders>
              <w:top w:val="nil"/>
              <w:left w:val="single" w:color="000000" w:sz="4" w:space="0"/>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人员经费合计</w:t>
            </w:r>
          </w:p>
        </w:tc>
        <w:tc>
          <w:tcPr>
            <w:tcW w:w="1205" w:type="dxa"/>
            <w:gridSpan w:val="2"/>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3,876.50</w:t>
            </w:r>
          </w:p>
        </w:tc>
        <w:tc>
          <w:tcPr>
            <w:tcW w:w="8380" w:type="dxa"/>
            <w:gridSpan w:val="5"/>
            <w:tcBorders>
              <w:top w:val="nil"/>
              <w:left w:val="nil"/>
              <w:bottom w:val="single" w:color="000000" w:sz="4" w:space="0"/>
              <w:right w:val="single" w:color="000000" w:sz="4" w:space="0"/>
            </w:tcBorders>
            <w:shd w:val="clear" w:color="FFFFFF" w:fill="C0C0C0"/>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公用经费合计</w:t>
            </w:r>
          </w:p>
        </w:tc>
        <w:tc>
          <w:tcPr>
            <w:tcW w:w="1740" w:type="dxa"/>
            <w:tcBorders>
              <w:top w:val="nil"/>
              <w:left w:val="nil"/>
              <w:bottom w:val="single" w:color="000000" w:sz="4" w:space="0"/>
              <w:right w:val="single" w:color="000000" w:sz="4" w:space="0"/>
            </w:tcBorders>
            <w:shd w:val="clear" w:color="auto" w:fill="auto"/>
            <w:noWrap/>
            <w:vAlign w:val="center"/>
          </w:tcPr>
          <w:p>
            <w:pPr>
              <w:keepNext w:val="0"/>
              <w:keepLines w:val="0"/>
              <w:widowControl/>
              <w:suppressLineNumbers w:val="0"/>
              <w:jc w:val="righ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682.83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315" w:hRule="atLeast"/>
        </w:trPr>
        <w:tc>
          <w:tcPr>
            <w:tcW w:w="15417"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注：1.本表依据《一般公共预算财政拨款基本支出决算明细表》（财决08-1表）进行批复。</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305" w:hRule="atLeast"/>
        </w:trPr>
        <w:tc>
          <w:tcPr>
            <w:tcW w:w="15417" w:type="dxa"/>
            <w:gridSpan w:val="10"/>
            <w:tcBorders>
              <w:top w:val="nil"/>
              <w:left w:val="nil"/>
              <w:bottom w:val="nil"/>
              <w:right w:val="nil"/>
            </w:tcBorders>
            <w:shd w:val="clear" w:color="auto" w:fill="auto"/>
            <w:noWrap/>
            <w:vAlign w:val="center"/>
          </w:tcPr>
          <w:p>
            <w:pPr>
              <w:keepNext w:val="0"/>
              <w:keepLines w:val="0"/>
              <w:widowControl/>
              <w:suppressLineNumbers w:val="0"/>
              <w:jc w:val="left"/>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 xml:space="preserve">    2.本表以“万元”为金额单位（保留两位小数）。</w:t>
            </w:r>
          </w:p>
        </w:tc>
      </w:tr>
    </w:tbl>
    <w:p>
      <w:pPr>
        <w:widowControl/>
        <w:jc w:val="left"/>
        <w:rPr>
          <w:rFonts w:ascii="Times New Roman" w:hAnsi="Times New Roman" w:eastAsia="仿宋_GB2312" w:cs="Times New Roman"/>
          <w:bCs/>
          <w:kern w:val="0"/>
          <w:szCs w:val="21"/>
        </w:rPr>
      </w:pPr>
      <w:r>
        <w:rPr>
          <w:rFonts w:ascii="Times New Roman" w:hAnsi="Times New Roman" w:eastAsia="仿宋_GB2312" w:cs="Times New Roman"/>
          <w:bCs/>
          <w:kern w:val="0"/>
          <w:szCs w:val="21"/>
        </w:rPr>
        <w:br w:type="page"/>
      </w:r>
    </w:p>
    <w:p>
      <w:pPr>
        <w:widowControl/>
        <w:jc w:val="center"/>
        <w:rPr>
          <w:rFonts w:ascii="Times New Roman" w:hAnsi="Times New Roman" w:eastAsia="方正小标宋_GBK" w:cs="Times New Roman"/>
          <w:color w:val="000000"/>
          <w:kern w:val="0"/>
          <w:sz w:val="36"/>
          <w:szCs w:val="36"/>
        </w:rPr>
      </w:pPr>
      <w:r>
        <w:rPr>
          <w:rFonts w:hint="eastAsia" w:ascii="Times New Roman" w:hAnsi="Times New Roman" w:eastAsia="方正小标宋_GBK" w:cs="Times New Roman"/>
          <w:color w:val="000000"/>
          <w:kern w:val="0"/>
          <w:sz w:val="36"/>
          <w:szCs w:val="36"/>
        </w:rPr>
        <w:t>一般公共预算财政拨款“三公”经费支出决算表</w:t>
      </w:r>
    </w:p>
    <w:p>
      <w:pPr>
        <w:widowControl/>
        <w:jc w:val="lef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 xml:space="preserve">部门：                                                                                                               </w:t>
      </w:r>
      <w:r>
        <w:rPr>
          <w:rFonts w:hint="eastAsia" w:ascii="Times New Roman" w:hAnsi="Times New Roman" w:eastAsia="仿宋_GB2312" w:cs="Times New Roman"/>
          <w:color w:val="000000"/>
          <w:kern w:val="0"/>
          <w:szCs w:val="21"/>
        </w:rPr>
        <w:t xml:space="preserve">         </w:t>
      </w:r>
      <w:r>
        <w:rPr>
          <w:rFonts w:ascii="Times New Roman" w:hAnsi="Times New Roman" w:eastAsia="仿宋_GB2312" w:cs="Times New Roman"/>
          <w:color w:val="000000"/>
          <w:kern w:val="0"/>
          <w:szCs w:val="21"/>
        </w:rPr>
        <w:t xml:space="preserve">       公开0</w:t>
      </w:r>
      <w:r>
        <w:rPr>
          <w:rFonts w:hint="eastAsia" w:ascii="Times New Roman" w:hAnsi="Times New Roman" w:eastAsia="仿宋_GB2312" w:cs="Times New Roman"/>
          <w:color w:val="000000"/>
          <w:kern w:val="0"/>
          <w:szCs w:val="21"/>
        </w:rPr>
        <w:t>7</w:t>
      </w:r>
      <w:r>
        <w:rPr>
          <w:rFonts w:ascii="Times New Roman" w:hAnsi="Times New Roman" w:eastAsia="仿宋_GB2312" w:cs="Times New Roman"/>
          <w:color w:val="000000"/>
          <w:kern w:val="0"/>
          <w:szCs w:val="21"/>
        </w:rPr>
        <w:t>表</w:t>
      </w:r>
    </w:p>
    <w:p>
      <w:pPr>
        <w:widowControl/>
        <w:ind w:right="420"/>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4640" w:type="dxa"/>
        <w:jc w:val="center"/>
        <w:tblLayout w:type="autofit"/>
        <w:tblCellMar>
          <w:top w:w="0" w:type="dxa"/>
          <w:left w:w="108" w:type="dxa"/>
          <w:bottom w:w="0" w:type="dxa"/>
          <w:right w:w="108" w:type="dxa"/>
        </w:tblCellMar>
      </w:tblPr>
      <w:tblGrid>
        <w:gridCol w:w="1220"/>
        <w:gridCol w:w="1220"/>
        <w:gridCol w:w="1220"/>
        <w:gridCol w:w="1220"/>
        <w:gridCol w:w="1220"/>
        <w:gridCol w:w="1220"/>
        <w:gridCol w:w="1220"/>
        <w:gridCol w:w="1220"/>
        <w:gridCol w:w="1220"/>
        <w:gridCol w:w="1220"/>
        <w:gridCol w:w="1220"/>
        <w:gridCol w:w="1220"/>
      </w:tblGrid>
      <w:tr>
        <w:tblPrEx>
          <w:tblCellMar>
            <w:top w:w="0" w:type="dxa"/>
            <w:left w:w="108" w:type="dxa"/>
            <w:bottom w:w="0" w:type="dxa"/>
            <w:right w:w="108" w:type="dxa"/>
          </w:tblCellMar>
        </w:tblPrEx>
        <w:trPr>
          <w:trHeight w:val="397" w:hRule="atLeast"/>
          <w:jc w:val="center"/>
        </w:trPr>
        <w:tc>
          <w:tcPr>
            <w:tcW w:w="7320" w:type="dxa"/>
            <w:gridSpan w:val="6"/>
            <w:tcBorders>
              <w:top w:val="single" w:color="auto" w:sz="8" w:space="0"/>
              <w:left w:val="single" w:color="auto" w:sz="8" w:space="0"/>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预算数</w:t>
            </w:r>
          </w:p>
        </w:tc>
        <w:tc>
          <w:tcPr>
            <w:tcW w:w="7320" w:type="dxa"/>
            <w:gridSpan w:val="6"/>
            <w:tcBorders>
              <w:top w:val="single" w:color="auto" w:sz="8" w:space="0"/>
              <w:left w:val="nil"/>
              <w:bottom w:val="single" w:color="auto" w:sz="4" w:space="0"/>
              <w:right w:val="single" w:color="000000"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决算数</w:t>
            </w:r>
          </w:p>
        </w:tc>
      </w:tr>
      <w:tr>
        <w:tblPrEx>
          <w:tblCellMar>
            <w:top w:w="0" w:type="dxa"/>
            <w:left w:w="108" w:type="dxa"/>
            <w:bottom w:w="0" w:type="dxa"/>
            <w:right w:w="108" w:type="dxa"/>
          </w:tblCellMar>
        </w:tblPrEx>
        <w:trPr>
          <w:trHeight w:val="397" w:hRule="atLeast"/>
          <w:jc w:val="center"/>
        </w:trPr>
        <w:tc>
          <w:tcPr>
            <w:tcW w:w="1220" w:type="dxa"/>
            <w:vMerge w:val="restart"/>
            <w:tcBorders>
              <w:top w:val="nil"/>
              <w:left w:val="single" w:color="auto" w:sz="8"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c>
          <w:tcPr>
            <w:tcW w:w="1220" w:type="dxa"/>
            <w:vMerge w:val="restart"/>
            <w:tcBorders>
              <w:top w:val="nil"/>
              <w:left w:val="nil"/>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1220"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因公出国（境）费</w:t>
            </w:r>
          </w:p>
        </w:tc>
        <w:tc>
          <w:tcPr>
            <w:tcW w:w="3660" w:type="dxa"/>
            <w:gridSpan w:val="3"/>
            <w:tcBorders>
              <w:top w:val="single" w:color="auto" w:sz="4" w:space="0"/>
              <w:left w:val="nil"/>
              <w:bottom w:val="single" w:color="auto" w:sz="4" w:space="0"/>
              <w:right w:val="single" w:color="000000"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公务用车购置及运行费</w:t>
            </w:r>
          </w:p>
        </w:tc>
        <w:tc>
          <w:tcPr>
            <w:tcW w:w="1220" w:type="dxa"/>
            <w:vMerge w:val="restart"/>
            <w:tcBorders>
              <w:top w:val="nil"/>
              <w:left w:val="single" w:color="auto" w:sz="4" w:space="0"/>
              <w:bottom w:val="single" w:color="000000"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公务</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接待费</w:t>
            </w:r>
          </w:p>
        </w:tc>
      </w:tr>
      <w:tr>
        <w:tblPrEx>
          <w:tblCellMar>
            <w:top w:w="0" w:type="dxa"/>
            <w:left w:w="108" w:type="dxa"/>
            <w:bottom w:w="0" w:type="dxa"/>
            <w:right w:w="108" w:type="dxa"/>
          </w:tblCellMar>
        </w:tblPrEx>
        <w:trPr>
          <w:trHeight w:val="397" w:hRule="atLeast"/>
          <w:jc w:val="center"/>
        </w:trPr>
        <w:tc>
          <w:tcPr>
            <w:tcW w:w="1220" w:type="dxa"/>
            <w:vMerge w:val="continue"/>
            <w:tcBorders>
              <w:top w:val="nil"/>
              <w:left w:val="single" w:color="auto" w:sz="8"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auto"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nil"/>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vMerge w:val="continue"/>
            <w:tcBorders>
              <w:top w:val="nil"/>
              <w:left w:val="single" w:color="auto" w:sz="4" w:space="0"/>
              <w:bottom w:val="single" w:color="000000" w:sz="4" w:space="0"/>
              <w:right w:val="single" w:color="auto" w:sz="4" w:space="0"/>
            </w:tcBorders>
            <w:vAlign w:val="center"/>
          </w:tcPr>
          <w:p>
            <w:pPr>
              <w:widowControl/>
              <w:jc w:val="left"/>
              <w:rPr>
                <w:rFonts w:ascii="Times New Roman" w:hAnsi="Times New Roman" w:eastAsia="仿宋_GB2312" w:cs="Times New Roman"/>
                <w:kern w:val="0"/>
                <w:szCs w:val="21"/>
              </w:rPr>
            </w:pP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小计</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购置费</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hint="eastAsia" w:ascii="Times New Roman" w:hAnsi="Times New Roman" w:eastAsia="仿宋_GB2312" w:cs="Times New Roman"/>
                <w:kern w:val="0"/>
                <w:szCs w:val="21"/>
                <w:lang w:eastAsia="zh-CN"/>
              </w:rPr>
            </w:pPr>
            <w:r>
              <w:rPr>
                <w:rFonts w:ascii="Times New Roman" w:hAnsi="Times New Roman" w:eastAsia="仿宋_GB2312" w:cs="Times New Roman"/>
                <w:kern w:val="0"/>
                <w:szCs w:val="21"/>
              </w:rPr>
              <w:t>公务用车</w:t>
            </w:r>
          </w:p>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运行费</w:t>
            </w:r>
          </w:p>
        </w:tc>
        <w:tc>
          <w:tcPr>
            <w:tcW w:w="1220" w:type="dxa"/>
            <w:vMerge w:val="continue"/>
            <w:tcBorders>
              <w:top w:val="nil"/>
              <w:left w:val="single" w:color="auto" w:sz="4" w:space="0"/>
              <w:bottom w:val="single" w:color="000000" w:sz="4" w:space="0"/>
              <w:right w:val="single" w:color="auto" w:sz="8" w:space="0"/>
            </w:tcBorders>
            <w:vAlign w:val="center"/>
          </w:tcPr>
          <w:p>
            <w:pPr>
              <w:widowControl/>
              <w:jc w:val="left"/>
              <w:rPr>
                <w:rFonts w:ascii="Times New Roman" w:hAnsi="Times New Roman" w:eastAsia="仿宋_GB2312" w:cs="Times New Roman"/>
                <w:kern w:val="0"/>
                <w:szCs w:val="21"/>
              </w:rPr>
            </w:pP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7</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8</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9</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10</w:t>
            </w:r>
          </w:p>
        </w:tc>
        <w:tc>
          <w:tcPr>
            <w:tcW w:w="1220" w:type="dxa"/>
            <w:tcBorders>
              <w:top w:val="nil"/>
              <w:left w:val="nil"/>
              <w:bottom w:val="single" w:color="auto" w:sz="4" w:space="0"/>
              <w:right w:val="single" w:color="auto" w:sz="4"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11</w:t>
            </w:r>
          </w:p>
        </w:tc>
        <w:tc>
          <w:tcPr>
            <w:tcW w:w="1220" w:type="dxa"/>
            <w:tcBorders>
              <w:top w:val="nil"/>
              <w:left w:val="nil"/>
              <w:bottom w:val="single" w:color="auto" w:sz="4" w:space="0"/>
              <w:right w:val="single" w:color="auto" w:sz="8" w:space="0"/>
            </w:tcBorders>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12</w:t>
            </w:r>
          </w:p>
        </w:tc>
      </w:tr>
      <w:tr>
        <w:tblPrEx>
          <w:tblCellMar>
            <w:top w:w="0" w:type="dxa"/>
            <w:left w:w="108" w:type="dxa"/>
            <w:bottom w:w="0" w:type="dxa"/>
            <w:right w:w="108" w:type="dxa"/>
          </w:tblCellMar>
        </w:tblPrEx>
        <w:trPr>
          <w:trHeight w:val="397" w:hRule="atLeast"/>
          <w:jc w:val="center"/>
        </w:trPr>
        <w:tc>
          <w:tcPr>
            <w:tcW w:w="1220" w:type="dxa"/>
            <w:tcBorders>
              <w:top w:val="nil"/>
              <w:left w:val="single" w:color="auto" w:sz="8" w:space="0"/>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191.6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99.6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99.6</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92</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41.75</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37.03</w:t>
            </w:r>
          </w:p>
        </w:tc>
        <w:tc>
          <w:tcPr>
            <w:tcW w:w="1220" w:type="dxa"/>
            <w:tcBorders>
              <w:top w:val="nil"/>
              <w:left w:val="nil"/>
              <w:bottom w:val="single" w:color="auto" w:sz="8" w:space="0"/>
              <w:right w:val="single" w:color="auto" w:sz="4" w:space="0"/>
            </w:tcBorders>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220" w:type="dxa"/>
            <w:tcBorders>
              <w:top w:val="nil"/>
              <w:left w:val="nil"/>
              <w:bottom w:val="single" w:color="auto" w:sz="8" w:space="0"/>
              <w:right w:val="nil"/>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37.03</w:t>
            </w:r>
          </w:p>
        </w:tc>
        <w:tc>
          <w:tcPr>
            <w:tcW w:w="1220" w:type="dxa"/>
            <w:tcBorders>
              <w:top w:val="nil"/>
              <w:left w:val="single" w:color="auto" w:sz="4" w:space="0"/>
              <w:bottom w:val="single" w:color="auto" w:sz="8" w:space="0"/>
              <w:right w:val="single" w:color="auto" w:sz="8" w:space="0"/>
            </w:tcBorders>
            <w:shd w:val="clear" w:color="auto" w:fill="auto"/>
            <w:vAlign w:val="center"/>
          </w:tcPr>
          <w:p>
            <w:pPr>
              <w:widowControl/>
              <w:jc w:val="left"/>
              <w:rPr>
                <w:rFonts w:hint="default" w:ascii="Times New Roman" w:hAnsi="Times New Roman" w:eastAsia="仿宋_GB2312" w:cs="Times New Roman"/>
                <w:kern w:val="0"/>
                <w:szCs w:val="21"/>
                <w:lang w:val="en-US" w:eastAsia="zh-CN"/>
              </w:rPr>
            </w:pPr>
            <w:r>
              <w:rPr>
                <w:rFonts w:ascii="Times New Roman" w:hAnsi="Times New Roman" w:eastAsia="仿宋_GB2312" w:cs="Times New Roman"/>
                <w:kern w:val="0"/>
                <w:szCs w:val="21"/>
              </w:rPr>
              <w:t>　</w:t>
            </w:r>
            <w:r>
              <w:rPr>
                <w:rFonts w:hint="eastAsia" w:ascii="Times New Roman" w:hAnsi="Times New Roman" w:eastAsia="仿宋_GB2312" w:cs="Times New Roman"/>
                <w:kern w:val="0"/>
                <w:szCs w:val="21"/>
                <w:lang w:val="en-US" w:eastAsia="zh-CN"/>
              </w:rPr>
              <w:t>4.72</w:t>
            </w:r>
          </w:p>
        </w:tc>
      </w:tr>
    </w:tbl>
    <w:p>
      <w:pPr>
        <w:widowControl/>
        <w:jc w:val="left"/>
        <w:rPr>
          <w:rFonts w:ascii="宋体" w:eastAsia="宋体" w:cs="宋体"/>
          <w:kern w:val="0"/>
          <w:sz w:val="24"/>
          <w:szCs w:val="24"/>
        </w:rPr>
      </w:pPr>
      <w:r>
        <w:rPr>
          <w:rFonts w:hint="eastAsia" w:ascii="宋体" w:eastAsia="宋体" w:cs="宋体"/>
          <w:kern w:val="0"/>
          <w:sz w:val="24"/>
          <w:szCs w:val="24"/>
        </w:rPr>
        <w:t>注：本表反映部门本年度“三公”经费支出预决算情况。其中，预算数为“三公”经费全年预算数，反映按规定程序调整后的预算数；决算数是包括当年一般公共预算财政拨款和以前年度结转资金安排的实际支出。</w:t>
      </w:r>
      <w:r>
        <w:rPr>
          <w:rFonts w:ascii="宋体" w:eastAsia="宋体" w:cs="宋体"/>
          <w:kern w:val="0"/>
          <w:sz w:val="24"/>
          <w:szCs w:val="24"/>
        </w:rPr>
        <w:br w:type="page"/>
      </w:r>
    </w:p>
    <w:p>
      <w:pPr>
        <w:widowControl/>
        <w:jc w:val="center"/>
        <w:rPr>
          <w:rFonts w:ascii="Times New Roman" w:hAnsi="Times New Roman" w:eastAsia="方正小标宋_GBK" w:cs="Times New Roman"/>
          <w:kern w:val="0"/>
          <w:sz w:val="36"/>
          <w:szCs w:val="36"/>
        </w:rPr>
      </w:pPr>
    </w:p>
    <w:p>
      <w:pPr>
        <w:widowControl/>
        <w:jc w:val="center"/>
        <w:rPr>
          <w:rFonts w:ascii="Times New Roman" w:hAnsi="Times New Roman" w:eastAsia="方正小标宋_GBK" w:cs="Times New Roman"/>
          <w:kern w:val="0"/>
          <w:sz w:val="36"/>
          <w:szCs w:val="36"/>
        </w:rPr>
      </w:pPr>
      <w:r>
        <w:rPr>
          <w:rFonts w:ascii="Times New Roman" w:hAnsi="Times New Roman" w:eastAsia="方正小标宋_GBK" w:cs="Times New Roman"/>
          <w:kern w:val="0"/>
          <w:sz w:val="36"/>
          <w:szCs w:val="36"/>
        </w:rPr>
        <w:t>政府性基金预算财政拨款收入支出决算表</w:t>
      </w:r>
    </w:p>
    <w:p>
      <w:pPr>
        <w:widowControl/>
        <w:wordWrap w:val="0"/>
        <w:jc w:val="both"/>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部门：</w:t>
      </w:r>
      <w:r>
        <w:rPr>
          <w:rFonts w:hint="eastAsia" w:ascii="Times New Roman" w:hAnsi="Times New Roman" w:eastAsia="仿宋_GB2312" w:cs="Times New Roman"/>
          <w:color w:val="000000"/>
          <w:kern w:val="0"/>
          <w:szCs w:val="21"/>
          <w:lang w:eastAsia="zh-CN"/>
        </w:rPr>
        <w:t>湘乡市交通运输局</w:t>
      </w:r>
      <w:r>
        <w:rPr>
          <w:rFonts w:ascii="Times New Roman" w:hAnsi="Times New Roman" w:eastAsia="仿宋_GB2312" w:cs="Times New Roman"/>
          <w:color w:val="000000"/>
          <w:kern w:val="0"/>
          <w:szCs w:val="21"/>
        </w:rPr>
        <w:t xml:space="preserve">                                                                                                  </w:t>
      </w:r>
      <w:r>
        <w:rPr>
          <w:rFonts w:hint="eastAsia" w:ascii="Times New Roman" w:hAnsi="Times New Roman" w:eastAsia="仿宋_GB2312" w:cs="Times New Roman"/>
          <w:color w:val="000000"/>
          <w:kern w:val="0"/>
          <w:szCs w:val="21"/>
          <w:lang w:val="en-US" w:eastAsia="zh-CN"/>
        </w:rPr>
        <w:t xml:space="preserve">           </w:t>
      </w:r>
      <w:r>
        <w:rPr>
          <w:rFonts w:ascii="Times New Roman" w:hAnsi="Times New Roman" w:eastAsia="仿宋_GB2312" w:cs="Times New Roman"/>
          <w:color w:val="000000"/>
          <w:kern w:val="0"/>
          <w:szCs w:val="21"/>
        </w:rPr>
        <w:t xml:space="preserve">      公开08表</w:t>
      </w:r>
    </w:p>
    <w:p>
      <w:pPr>
        <w:widowControl/>
        <w:jc w:val="right"/>
        <w:rPr>
          <w:rFonts w:ascii="Times New Roman" w:hAnsi="Times New Roman" w:eastAsia="仿宋_GB2312" w:cs="Times New Roman"/>
          <w:color w:val="000000"/>
          <w:kern w:val="0"/>
          <w:szCs w:val="21"/>
        </w:rPr>
      </w:pPr>
      <w:r>
        <w:rPr>
          <w:rFonts w:ascii="Times New Roman" w:hAnsi="Times New Roman" w:eastAsia="仿宋_GB2312" w:cs="Times New Roman"/>
          <w:color w:val="000000"/>
          <w:kern w:val="0"/>
          <w:szCs w:val="21"/>
        </w:rPr>
        <w:t>单位：万元</w:t>
      </w:r>
    </w:p>
    <w:tbl>
      <w:tblPr>
        <w:tblStyle w:val="8"/>
        <w:tblW w:w="15327" w:type="dxa"/>
        <w:jc w:val="center"/>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Layout w:type="autofit"/>
        <w:tblCellMar>
          <w:top w:w="0" w:type="dxa"/>
          <w:left w:w="108" w:type="dxa"/>
          <w:bottom w:w="0" w:type="dxa"/>
          <w:right w:w="108" w:type="dxa"/>
        </w:tblCellMar>
      </w:tblPr>
      <w:tblGrid>
        <w:gridCol w:w="1120"/>
        <w:gridCol w:w="3867"/>
        <w:gridCol w:w="2055"/>
        <w:gridCol w:w="1680"/>
        <w:gridCol w:w="1485"/>
        <w:gridCol w:w="1485"/>
        <w:gridCol w:w="1560"/>
        <w:gridCol w:w="2075"/>
      </w:tblGrid>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987" w:type="dxa"/>
            <w:gridSpan w:val="2"/>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项 </w:t>
            </w:r>
            <w:r>
              <w:rPr>
                <w:rFonts w:ascii="Times New Roman" w:hAnsi="Times New Roman" w:eastAsia="仿宋_GB2312" w:cs="Times New Roman"/>
                <w:b/>
                <w:color w:val="000000"/>
                <w:kern w:val="0"/>
                <w:szCs w:val="21"/>
              </w:rPr>
              <w:t xml:space="preserve">   </w:t>
            </w:r>
            <w:r>
              <w:rPr>
                <w:rFonts w:ascii="Times New Roman" w:hAnsi="Times New Roman" w:eastAsia="仿宋_GB2312" w:cs="Times New Roman"/>
                <w:b/>
                <w:kern w:val="0"/>
                <w:szCs w:val="21"/>
              </w:rPr>
              <w:t>目</w:t>
            </w:r>
          </w:p>
        </w:tc>
        <w:tc>
          <w:tcPr>
            <w:tcW w:w="205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年初结转和结余</w:t>
            </w:r>
          </w:p>
        </w:tc>
        <w:tc>
          <w:tcPr>
            <w:tcW w:w="168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本年收入</w:t>
            </w:r>
          </w:p>
        </w:tc>
        <w:tc>
          <w:tcPr>
            <w:tcW w:w="4530" w:type="dxa"/>
            <w:gridSpan w:val="3"/>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本年支出</w:t>
            </w:r>
          </w:p>
        </w:tc>
        <w:tc>
          <w:tcPr>
            <w:tcW w:w="207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年末结转和结余</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功能分类科目编码</w:t>
            </w:r>
          </w:p>
        </w:tc>
        <w:tc>
          <w:tcPr>
            <w:tcW w:w="3867"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科目名称</w:t>
            </w:r>
          </w:p>
        </w:tc>
        <w:tc>
          <w:tcPr>
            <w:tcW w:w="2055" w:type="dxa"/>
            <w:vMerge w:val="continue"/>
            <w:vAlign w:val="center"/>
          </w:tcPr>
          <w:p>
            <w:pPr>
              <w:widowControl/>
              <w:jc w:val="left"/>
              <w:rPr>
                <w:rFonts w:ascii="Times New Roman" w:hAnsi="Times New Roman" w:eastAsia="仿宋_GB2312" w:cs="Times New Roman"/>
                <w:b/>
                <w:kern w:val="0"/>
                <w:szCs w:val="21"/>
              </w:rPr>
            </w:pPr>
          </w:p>
        </w:tc>
        <w:tc>
          <w:tcPr>
            <w:tcW w:w="1680" w:type="dxa"/>
            <w:vMerge w:val="continue"/>
            <w:vAlign w:val="center"/>
          </w:tcPr>
          <w:p>
            <w:pPr>
              <w:widowControl/>
              <w:jc w:val="left"/>
              <w:rPr>
                <w:rFonts w:ascii="Times New Roman" w:hAnsi="Times New Roman" w:eastAsia="仿宋_GB2312" w:cs="Times New Roman"/>
                <w:b/>
                <w:kern w:val="0"/>
                <w:szCs w:val="21"/>
              </w:rPr>
            </w:pPr>
          </w:p>
        </w:tc>
        <w:tc>
          <w:tcPr>
            <w:tcW w:w="148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小计</w:t>
            </w:r>
          </w:p>
        </w:tc>
        <w:tc>
          <w:tcPr>
            <w:tcW w:w="1485"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 xml:space="preserve">基本支出  </w:t>
            </w:r>
          </w:p>
        </w:tc>
        <w:tc>
          <w:tcPr>
            <w:tcW w:w="1560" w:type="dxa"/>
            <w:vMerge w:val="restart"/>
            <w:shd w:val="clear" w:color="auto" w:fill="auto"/>
            <w:vAlign w:val="center"/>
          </w:tcPr>
          <w:p>
            <w:pPr>
              <w:widowControl/>
              <w:jc w:val="center"/>
              <w:rPr>
                <w:rFonts w:ascii="Times New Roman" w:hAnsi="Times New Roman" w:eastAsia="仿宋_GB2312" w:cs="Times New Roman"/>
                <w:b/>
                <w:kern w:val="0"/>
                <w:szCs w:val="21"/>
              </w:rPr>
            </w:pPr>
            <w:r>
              <w:rPr>
                <w:rFonts w:ascii="Times New Roman" w:hAnsi="Times New Roman" w:eastAsia="仿宋_GB2312" w:cs="Times New Roman"/>
                <w:b/>
                <w:kern w:val="0"/>
                <w:szCs w:val="21"/>
              </w:rPr>
              <w:t>项目支出</w:t>
            </w:r>
          </w:p>
        </w:tc>
        <w:tc>
          <w:tcPr>
            <w:tcW w:w="2075" w:type="dxa"/>
            <w:vMerge w:val="continue"/>
            <w:vAlign w:val="center"/>
          </w:tcPr>
          <w:p>
            <w:pPr>
              <w:widowControl/>
              <w:jc w:val="left"/>
              <w:rPr>
                <w:rFonts w:ascii="Times New Roman" w:hAnsi="Times New Roman" w:eastAsia="仿宋_GB2312" w:cs="Times New Roman"/>
                <w:b/>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867" w:type="dxa"/>
            <w:vMerge w:val="continue"/>
            <w:vAlign w:val="center"/>
          </w:tcPr>
          <w:p>
            <w:pPr>
              <w:widowControl/>
              <w:jc w:val="left"/>
              <w:rPr>
                <w:rFonts w:ascii="Times New Roman" w:hAnsi="Times New Roman" w:eastAsia="仿宋_GB2312" w:cs="Times New Roman"/>
                <w:kern w:val="0"/>
                <w:szCs w:val="21"/>
              </w:rPr>
            </w:pPr>
          </w:p>
        </w:tc>
        <w:tc>
          <w:tcPr>
            <w:tcW w:w="2055" w:type="dxa"/>
            <w:vMerge w:val="continue"/>
            <w:vAlign w:val="center"/>
          </w:tcPr>
          <w:p>
            <w:pPr>
              <w:widowControl/>
              <w:jc w:val="left"/>
              <w:rPr>
                <w:rFonts w:ascii="Times New Roman" w:hAnsi="Times New Roman" w:eastAsia="仿宋_GB2312" w:cs="Times New Roman"/>
                <w:kern w:val="0"/>
                <w:szCs w:val="21"/>
              </w:rPr>
            </w:pPr>
          </w:p>
        </w:tc>
        <w:tc>
          <w:tcPr>
            <w:tcW w:w="1680" w:type="dxa"/>
            <w:vMerge w:val="continue"/>
            <w:vAlign w:val="center"/>
          </w:tcPr>
          <w:p>
            <w:pPr>
              <w:widowControl/>
              <w:jc w:val="left"/>
              <w:rPr>
                <w:rFonts w:ascii="Times New Roman" w:hAnsi="Times New Roman" w:eastAsia="仿宋_GB2312" w:cs="Times New Roman"/>
                <w:kern w:val="0"/>
                <w:szCs w:val="21"/>
              </w:rPr>
            </w:pPr>
          </w:p>
        </w:tc>
        <w:tc>
          <w:tcPr>
            <w:tcW w:w="1485" w:type="dxa"/>
            <w:vMerge w:val="continue"/>
            <w:vAlign w:val="center"/>
          </w:tcPr>
          <w:p>
            <w:pPr>
              <w:widowControl/>
              <w:jc w:val="left"/>
              <w:rPr>
                <w:rFonts w:ascii="Times New Roman" w:hAnsi="Times New Roman" w:eastAsia="仿宋_GB2312" w:cs="Times New Roman"/>
                <w:kern w:val="0"/>
                <w:szCs w:val="21"/>
              </w:rPr>
            </w:pPr>
          </w:p>
        </w:tc>
        <w:tc>
          <w:tcPr>
            <w:tcW w:w="1485" w:type="dxa"/>
            <w:vMerge w:val="continue"/>
            <w:vAlign w:val="center"/>
          </w:tcPr>
          <w:p>
            <w:pPr>
              <w:widowControl/>
              <w:jc w:val="left"/>
              <w:rPr>
                <w:rFonts w:ascii="Times New Roman" w:hAnsi="Times New Roman" w:eastAsia="仿宋_GB2312" w:cs="Times New Roman"/>
                <w:kern w:val="0"/>
                <w:szCs w:val="21"/>
              </w:rPr>
            </w:pPr>
          </w:p>
        </w:tc>
        <w:tc>
          <w:tcPr>
            <w:tcW w:w="1560" w:type="dxa"/>
            <w:vMerge w:val="continue"/>
            <w:vAlign w:val="center"/>
          </w:tcPr>
          <w:p>
            <w:pPr>
              <w:widowControl/>
              <w:jc w:val="left"/>
              <w:rPr>
                <w:rFonts w:ascii="Times New Roman" w:hAnsi="Times New Roman" w:eastAsia="仿宋_GB2312" w:cs="Times New Roman"/>
                <w:kern w:val="0"/>
                <w:szCs w:val="21"/>
              </w:rPr>
            </w:pPr>
          </w:p>
        </w:tc>
        <w:tc>
          <w:tcPr>
            <w:tcW w:w="207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vMerge w:val="continue"/>
            <w:vAlign w:val="center"/>
          </w:tcPr>
          <w:p>
            <w:pPr>
              <w:widowControl/>
              <w:jc w:val="left"/>
              <w:rPr>
                <w:rFonts w:ascii="Times New Roman" w:hAnsi="Times New Roman" w:eastAsia="仿宋_GB2312" w:cs="Times New Roman"/>
                <w:kern w:val="0"/>
                <w:szCs w:val="21"/>
              </w:rPr>
            </w:pPr>
          </w:p>
        </w:tc>
        <w:tc>
          <w:tcPr>
            <w:tcW w:w="3867" w:type="dxa"/>
            <w:vMerge w:val="continue"/>
            <w:vAlign w:val="center"/>
          </w:tcPr>
          <w:p>
            <w:pPr>
              <w:widowControl/>
              <w:jc w:val="left"/>
              <w:rPr>
                <w:rFonts w:ascii="Times New Roman" w:hAnsi="Times New Roman" w:eastAsia="仿宋_GB2312" w:cs="Times New Roman"/>
                <w:kern w:val="0"/>
                <w:szCs w:val="21"/>
              </w:rPr>
            </w:pPr>
          </w:p>
        </w:tc>
        <w:tc>
          <w:tcPr>
            <w:tcW w:w="2055" w:type="dxa"/>
            <w:vMerge w:val="continue"/>
            <w:vAlign w:val="center"/>
          </w:tcPr>
          <w:p>
            <w:pPr>
              <w:widowControl/>
              <w:jc w:val="left"/>
              <w:rPr>
                <w:rFonts w:ascii="Times New Roman" w:hAnsi="Times New Roman" w:eastAsia="仿宋_GB2312" w:cs="Times New Roman"/>
                <w:kern w:val="0"/>
                <w:szCs w:val="21"/>
              </w:rPr>
            </w:pPr>
          </w:p>
        </w:tc>
        <w:tc>
          <w:tcPr>
            <w:tcW w:w="1680" w:type="dxa"/>
            <w:vMerge w:val="continue"/>
            <w:vAlign w:val="center"/>
          </w:tcPr>
          <w:p>
            <w:pPr>
              <w:widowControl/>
              <w:jc w:val="left"/>
              <w:rPr>
                <w:rFonts w:ascii="Times New Roman" w:hAnsi="Times New Roman" w:eastAsia="仿宋_GB2312" w:cs="Times New Roman"/>
                <w:kern w:val="0"/>
                <w:szCs w:val="21"/>
              </w:rPr>
            </w:pPr>
          </w:p>
        </w:tc>
        <w:tc>
          <w:tcPr>
            <w:tcW w:w="1485" w:type="dxa"/>
            <w:vMerge w:val="continue"/>
            <w:vAlign w:val="center"/>
          </w:tcPr>
          <w:p>
            <w:pPr>
              <w:widowControl/>
              <w:jc w:val="left"/>
              <w:rPr>
                <w:rFonts w:ascii="Times New Roman" w:hAnsi="Times New Roman" w:eastAsia="仿宋_GB2312" w:cs="Times New Roman"/>
                <w:kern w:val="0"/>
                <w:szCs w:val="21"/>
              </w:rPr>
            </w:pPr>
          </w:p>
        </w:tc>
        <w:tc>
          <w:tcPr>
            <w:tcW w:w="1485" w:type="dxa"/>
            <w:vMerge w:val="continue"/>
            <w:vAlign w:val="center"/>
          </w:tcPr>
          <w:p>
            <w:pPr>
              <w:widowControl/>
              <w:jc w:val="left"/>
              <w:rPr>
                <w:rFonts w:ascii="Times New Roman" w:hAnsi="Times New Roman" w:eastAsia="仿宋_GB2312" w:cs="Times New Roman"/>
                <w:kern w:val="0"/>
                <w:szCs w:val="21"/>
              </w:rPr>
            </w:pPr>
          </w:p>
        </w:tc>
        <w:tc>
          <w:tcPr>
            <w:tcW w:w="1560" w:type="dxa"/>
            <w:vMerge w:val="continue"/>
            <w:vAlign w:val="center"/>
          </w:tcPr>
          <w:p>
            <w:pPr>
              <w:widowControl/>
              <w:jc w:val="left"/>
              <w:rPr>
                <w:rFonts w:ascii="Times New Roman" w:hAnsi="Times New Roman" w:eastAsia="仿宋_GB2312" w:cs="Times New Roman"/>
                <w:kern w:val="0"/>
                <w:szCs w:val="21"/>
              </w:rPr>
            </w:pPr>
          </w:p>
        </w:tc>
        <w:tc>
          <w:tcPr>
            <w:tcW w:w="2075" w:type="dxa"/>
            <w:vMerge w:val="continue"/>
            <w:vAlign w:val="center"/>
          </w:tcPr>
          <w:p>
            <w:pPr>
              <w:widowControl/>
              <w:jc w:val="left"/>
              <w:rPr>
                <w:rFonts w:ascii="Times New Roman" w:hAnsi="Times New Roman" w:eastAsia="仿宋_GB2312" w:cs="Times New Roman"/>
                <w:kern w:val="0"/>
                <w:szCs w:val="21"/>
              </w:rPr>
            </w:pP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987"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栏次</w:t>
            </w:r>
          </w:p>
        </w:tc>
        <w:tc>
          <w:tcPr>
            <w:tcW w:w="205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1</w:t>
            </w:r>
          </w:p>
        </w:tc>
        <w:tc>
          <w:tcPr>
            <w:tcW w:w="168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2</w:t>
            </w:r>
          </w:p>
        </w:tc>
        <w:tc>
          <w:tcPr>
            <w:tcW w:w="14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3</w:t>
            </w:r>
          </w:p>
        </w:tc>
        <w:tc>
          <w:tcPr>
            <w:tcW w:w="14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4</w:t>
            </w:r>
          </w:p>
        </w:tc>
        <w:tc>
          <w:tcPr>
            <w:tcW w:w="156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5</w:t>
            </w:r>
          </w:p>
        </w:tc>
        <w:tc>
          <w:tcPr>
            <w:tcW w:w="20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6</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4987" w:type="dxa"/>
            <w:gridSpan w:val="2"/>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合计</w:t>
            </w:r>
          </w:p>
        </w:tc>
        <w:tc>
          <w:tcPr>
            <w:tcW w:w="205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80"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348.98</w:t>
            </w:r>
          </w:p>
        </w:tc>
        <w:tc>
          <w:tcPr>
            <w:tcW w:w="1485" w:type="dxa"/>
            <w:shd w:val="clear" w:color="auto" w:fill="auto"/>
            <w:vAlign w:val="center"/>
          </w:tcPr>
          <w:p>
            <w:pPr>
              <w:widowControl/>
              <w:jc w:val="right"/>
              <w:rPr>
                <w:rFonts w:ascii="Times New Roman" w:hAnsi="Times New Roman" w:eastAsia="仿宋_GB2312" w:cs="Times New Roman"/>
                <w:kern w:val="0"/>
                <w:szCs w:val="21"/>
              </w:rPr>
            </w:pPr>
            <w:r>
              <w:rPr>
                <w:rFonts w:hint="eastAsia" w:ascii="宋体" w:hAnsi="宋体" w:eastAsia="宋体" w:cs="宋体"/>
                <w:b/>
                <w:bCs/>
                <w:i w:val="0"/>
                <w:iCs w:val="0"/>
                <w:color w:val="000000"/>
                <w:kern w:val="0"/>
                <w:sz w:val="22"/>
                <w:szCs w:val="22"/>
                <w:u w:val="none"/>
                <w:lang w:val="en-US" w:eastAsia="zh-CN" w:bidi="ar"/>
              </w:rPr>
              <w:t>348.98</w:t>
            </w:r>
            <w:r>
              <w:rPr>
                <w:rFonts w:ascii="Times New Roman" w:hAnsi="Times New Roman" w:eastAsia="仿宋_GB2312" w:cs="Times New Roman"/>
                <w:kern w:val="0"/>
                <w:szCs w:val="21"/>
              </w:rPr>
              <w:t>　</w:t>
            </w:r>
          </w:p>
        </w:tc>
        <w:tc>
          <w:tcPr>
            <w:tcW w:w="148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60" w:type="dxa"/>
            <w:shd w:val="clear" w:color="auto" w:fill="auto"/>
            <w:vAlign w:val="center"/>
          </w:tcPr>
          <w:p>
            <w:pPr>
              <w:keepNext w:val="0"/>
              <w:keepLines w:val="0"/>
              <w:widowControl/>
              <w:suppressLineNumbers w:val="0"/>
              <w:jc w:val="right"/>
              <w:textAlignment w:val="center"/>
              <w:rPr>
                <w:rFonts w:hint="eastAsia" w:ascii="宋体" w:hAnsi="宋体" w:eastAsia="宋体" w:cs="宋体"/>
                <w:b/>
                <w:bCs/>
                <w:i w:val="0"/>
                <w:iCs w:val="0"/>
                <w:color w:val="000000"/>
                <w:kern w:val="2"/>
                <w:sz w:val="22"/>
                <w:szCs w:val="22"/>
                <w:u w:val="none"/>
                <w:lang w:val="en-US" w:eastAsia="zh-CN" w:bidi="ar-SA"/>
              </w:rPr>
            </w:pPr>
            <w:r>
              <w:rPr>
                <w:rFonts w:hint="eastAsia" w:ascii="宋体" w:hAnsi="宋体" w:eastAsia="宋体" w:cs="宋体"/>
                <w:b/>
                <w:bCs/>
                <w:i w:val="0"/>
                <w:iCs w:val="0"/>
                <w:color w:val="000000"/>
                <w:kern w:val="0"/>
                <w:sz w:val="22"/>
                <w:szCs w:val="22"/>
                <w:u w:val="none"/>
                <w:lang w:val="en-US" w:eastAsia="zh-CN" w:bidi="ar"/>
              </w:rPr>
              <w:t>348.98</w:t>
            </w:r>
          </w:p>
        </w:tc>
        <w:tc>
          <w:tcPr>
            <w:tcW w:w="2075"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w:t>
            </w:r>
          </w:p>
        </w:tc>
        <w:tc>
          <w:tcPr>
            <w:tcW w:w="386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抗疫特别国债安排的支出</w:t>
            </w:r>
          </w:p>
        </w:tc>
        <w:tc>
          <w:tcPr>
            <w:tcW w:w="205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68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56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w:t>
            </w:r>
          </w:p>
        </w:tc>
        <w:tc>
          <w:tcPr>
            <w:tcW w:w="386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基础设施建设</w:t>
            </w:r>
          </w:p>
        </w:tc>
        <w:tc>
          <w:tcPr>
            <w:tcW w:w="205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68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56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2340102</w:t>
            </w:r>
          </w:p>
        </w:tc>
        <w:tc>
          <w:tcPr>
            <w:tcW w:w="3867" w:type="dxa"/>
            <w:shd w:val="clear" w:color="auto" w:fill="auto"/>
            <w:vAlign w:val="center"/>
          </w:tcPr>
          <w:p>
            <w:pPr>
              <w:keepNext w:val="0"/>
              <w:keepLines w:val="0"/>
              <w:widowControl/>
              <w:suppressLineNumbers w:val="0"/>
              <w:jc w:val="lef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 xml:space="preserve">  重大疫情防控救治体系建设</w:t>
            </w:r>
          </w:p>
        </w:tc>
        <w:tc>
          <w:tcPr>
            <w:tcW w:w="205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68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1485"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p>
        </w:tc>
        <w:tc>
          <w:tcPr>
            <w:tcW w:w="1560" w:type="dxa"/>
            <w:shd w:val="clear" w:color="auto" w:fill="auto"/>
            <w:vAlign w:val="center"/>
          </w:tcPr>
          <w:p>
            <w:pPr>
              <w:keepNext w:val="0"/>
              <w:keepLines w:val="0"/>
              <w:widowControl/>
              <w:suppressLineNumbers w:val="0"/>
              <w:jc w:val="right"/>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348.98</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86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5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86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5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r>
        <w:tblPrEx>
          <w:tblBorders>
            <w:top w:val="single" w:color="auto" w:sz="8" w:space="0"/>
            <w:left w:val="single" w:color="auto" w:sz="8" w:space="0"/>
            <w:bottom w:val="single" w:color="auto" w:sz="8" w:space="0"/>
            <w:right w:val="single" w:color="auto" w:sz="8" w:space="0"/>
            <w:insideH w:val="single" w:color="auto" w:sz="8" w:space="0"/>
            <w:insideV w:val="single" w:color="auto" w:sz="8" w:space="0"/>
          </w:tblBorders>
          <w:tblCellMar>
            <w:top w:w="0" w:type="dxa"/>
            <w:left w:w="108" w:type="dxa"/>
            <w:bottom w:w="0" w:type="dxa"/>
            <w:right w:w="108" w:type="dxa"/>
          </w:tblCellMar>
        </w:tblPrEx>
        <w:trPr>
          <w:trHeight w:val="454" w:hRule="atLeast"/>
          <w:jc w:val="center"/>
        </w:trPr>
        <w:tc>
          <w:tcPr>
            <w:tcW w:w="1120" w:type="dxa"/>
            <w:shd w:val="clear" w:color="auto" w:fill="auto"/>
            <w:vAlign w:val="center"/>
          </w:tcPr>
          <w:p>
            <w:pPr>
              <w:widowControl/>
              <w:jc w:val="center"/>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3867"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5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68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48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1560"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c>
          <w:tcPr>
            <w:tcW w:w="2075" w:type="dxa"/>
            <w:shd w:val="clear" w:color="auto" w:fill="auto"/>
            <w:vAlign w:val="center"/>
          </w:tcPr>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　</w:t>
            </w:r>
          </w:p>
        </w:tc>
      </w:tr>
    </w:tbl>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注：本表反映部门本年度政府性基金预算财政拨款收入、支出及结转和结余情况</w:t>
      </w:r>
    </w:p>
    <w:p>
      <w:pPr>
        <w:widowControl/>
        <w:jc w:val="left"/>
        <w:rPr>
          <w:rFonts w:ascii="Times New Roman" w:hAnsi="Times New Roman" w:eastAsia="仿宋_GB2312" w:cs="Times New Roman"/>
          <w:kern w:val="0"/>
          <w:szCs w:val="21"/>
        </w:rPr>
      </w:pPr>
      <w:r>
        <w:rPr>
          <w:rFonts w:ascii="Times New Roman" w:hAnsi="Times New Roman" w:eastAsia="仿宋_GB2312" w:cs="Times New Roman"/>
          <w:kern w:val="0"/>
          <w:szCs w:val="21"/>
        </w:rPr>
        <w:t>(若本单位无政府性基金收支</w:t>
      </w:r>
      <w:r>
        <w:rPr>
          <w:rFonts w:hint="eastAsia" w:ascii="Times New Roman" w:hAnsi="Times New Roman" w:eastAsia="仿宋_GB2312" w:cs="Times New Roman"/>
          <w:kern w:val="0"/>
          <w:szCs w:val="21"/>
        </w:rPr>
        <w:t>,请说明：XX单位没有政府性基金收入，也没有使用政府性基金安排的支出，故本表无数据</w:t>
      </w:r>
      <w:r>
        <w:rPr>
          <w:rFonts w:ascii="Times New Roman" w:hAnsi="Times New Roman" w:eastAsia="仿宋_GB2312" w:cs="Times New Roman"/>
          <w:kern w:val="0"/>
          <w:szCs w:val="21"/>
        </w:rPr>
        <w:t>)。</w:t>
      </w:r>
    </w:p>
    <w:p>
      <w:pPr>
        <w:widowControl/>
        <w:jc w:val="left"/>
        <w:rPr>
          <w:rFonts w:ascii="黑体" w:hAnsi="黑体" w:eastAsia="黑体"/>
          <w:szCs w:val="21"/>
        </w:rPr>
      </w:pPr>
      <w:r>
        <w:rPr>
          <w:rFonts w:ascii="黑体" w:hAnsi="黑体" w:eastAsia="黑体"/>
          <w:szCs w:val="21"/>
        </w:rPr>
        <w:br w:type="page"/>
      </w:r>
    </w:p>
    <w:tbl>
      <w:tblPr>
        <w:tblStyle w:val="8"/>
        <w:tblW w:w="14190" w:type="dxa"/>
        <w:tblInd w:w="93" w:type="dxa"/>
        <w:tblLayout w:type="autofit"/>
        <w:tblCellMar>
          <w:top w:w="0" w:type="dxa"/>
          <w:left w:w="108" w:type="dxa"/>
          <w:bottom w:w="0" w:type="dxa"/>
          <w:right w:w="108" w:type="dxa"/>
        </w:tblCellMar>
      </w:tblPr>
      <w:tblGrid>
        <w:gridCol w:w="1060"/>
        <w:gridCol w:w="560"/>
        <w:gridCol w:w="1089"/>
        <w:gridCol w:w="2126"/>
        <w:gridCol w:w="1225"/>
        <w:gridCol w:w="1326"/>
        <w:gridCol w:w="1294"/>
        <w:gridCol w:w="1683"/>
        <w:gridCol w:w="3827"/>
      </w:tblGrid>
      <w:tr>
        <w:tblPrEx>
          <w:tblCellMar>
            <w:top w:w="0" w:type="dxa"/>
            <w:left w:w="108" w:type="dxa"/>
            <w:bottom w:w="0" w:type="dxa"/>
            <w:right w:w="108" w:type="dxa"/>
          </w:tblCellMar>
        </w:tblPrEx>
        <w:trPr>
          <w:trHeight w:val="720" w:hRule="atLeast"/>
        </w:trPr>
        <w:tc>
          <w:tcPr>
            <w:tcW w:w="14190" w:type="dxa"/>
            <w:gridSpan w:val="9"/>
            <w:tcBorders>
              <w:top w:val="nil"/>
              <w:left w:val="nil"/>
              <w:bottom w:val="nil"/>
              <w:right w:val="nil"/>
            </w:tcBorders>
            <w:shd w:val="clear" w:color="000000" w:fill="FFFFFF"/>
            <w:vAlign w:val="center"/>
          </w:tcPr>
          <w:p>
            <w:pPr>
              <w:widowControl/>
              <w:jc w:val="center"/>
              <w:rPr>
                <w:rFonts w:ascii="华文中宋" w:hAnsi="华文中宋" w:eastAsia="华文中宋" w:cs="宋体"/>
                <w:kern w:val="0"/>
                <w:sz w:val="32"/>
                <w:szCs w:val="32"/>
              </w:rPr>
            </w:pPr>
            <w:r>
              <w:rPr>
                <w:rFonts w:hint="eastAsia" w:ascii="华文中宋" w:hAnsi="华文中宋" w:eastAsia="华文中宋" w:cs="宋体"/>
                <w:kern w:val="0"/>
                <w:sz w:val="32"/>
                <w:szCs w:val="32"/>
              </w:rPr>
              <w:t>国有资本经营预算财政拨款支出决算表</w:t>
            </w:r>
          </w:p>
        </w:tc>
      </w:tr>
      <w:tr>
        <w:tblPrEx>
          <w:tblCellMar>
            <w:top w:w="0" w:type="dxa"/>
            <w:left w:w="108" w:type="dxa"/>
            <w:bottom w:w="0" w:type="dxa"/>
            <w:right w:w="108" w:type="dxa"/>
          </w:tblCellMar>
        </w:tblPrEx>
        <w:trPr>
          <w:trHeight w:val="285" w:hRule="atLeast"/>
        </w:trPr>
        <w:tc>
          <w:tcPr>
            <w:tcW w:w="10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560" w:type="dxa"/>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3215" w:type="dxa"/>
            <w:gridSpan w:val="2"/>
            <w:tcBorders>
              <w:top w:val="nil"/>
              <w:left w:val="nil"/>
              <w:bottom w:val="nil"/>
              <w:right w:val="nil"/>
            </w:tcBorders>
            <w:shd w:val="clear" w:color="000000" w:fill="FFFFFF"/>
            <w:vAlign w:val="center"/>
          </w:tcPr>
          <w:p>
            <w:pPr>
              <w:widowControl/>
              <w:jc w:val="center"/>
              <w:rPr>
                <w:rFonts w:ascii="宋体" w:hAnsi="宋体" w:eastAsia="宋体" w:cs="宋体"/>
                <w:kern w:val="0"/>
                <w:sz w:val="20"/>
                <w:szCs w:val="20"/>
              </w:rPr>
            </w:pPr>
            <w:r>
              <w:rPr>
                <w:rFonts w:hint="eastAsia" w:ascii="宋体" w:hAnsi="宋体" w:eastAsia="宋体" w:cs="宋体"/>
                <w:kern w:val="0"/>
                <w:sz w:val="20"/>
                <w:szCs w:val="20"/>
              </w:rPr>
              <w:t>　</w:t>
            </w:r>
          </w:p>
        </w:tc>
        <w:tc>
          <w:tcPr>
            <w:tcW w:w="1225" w:type="dxa"/>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nil"/>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公开09表</w:t>
            </w:r>
          </w:p>
        </w:tc>
      </w:tr>
      <w:tr>
        <w:tblPrEx>
          <w:tblCellMar>
            <w:top w:w="0" w:type="dxa"/>
            <w:left w:w="108" w:type="dxa"/>
            <w:bottom w:w="0" w:type="dxa"/>
            <w:right w:w="108" w:type="dxa"/>
          </w:tblCellMar>
        </w:tblPrEx>
        <w:trPr>
          <w:trHeight w:val="306" w:hRule="atLeast"/>
        </w:trPr>
        <w:tc>
          <w:tcPr>
            <w:tcW w:w="4835" w:type="dxa"/>
            <w:gridSpan w:val="4"/>
            <w:tcBorders>
              <w:top w:val="nil"/>
              <w:left w:val="nil"/>
              <w:bottom w:val="nil"/>
              <w:right w:val="nil"/>
            </w:tcBorders>
            <w:shd w:val="clear" w:color="000000" w:fill="FFFFFF"/>
            <w:noWrap/>
            <w:vAlign w:val="center"/>
          </w:tcPr>
          <w:p>
            <w:pPr>
              <w:widowControl/>
              <w:jc w:val="left"/>
              <w:rPr>
                <w:rFonts w:ascii="宋体" w:hAnsi="宋体" w:eastAsia="宋体" w:cs="宋体"/>
                <w:kern w:val="0"/>
                <w:sz w:val="20"/>
                <w:szCs w:val="20"/>
              </w:rPr>
            </w:pPr>
            <w:r>
              <w:rPr>
                <w:rFonts w:hint="eastAsia" w:ascii="宋体" w:hAnsi="宋体" w:eastAsia="宋体" w:cs="宋体"/>
                <w:color w:val="000000"/>
                <w:kern w:val="0"/>
                <w:sz w:val="20"/>
                <w:szCs w:val="20"/>
              </w:rPr>
              <w:t>部门：</w:t>
            </w:r>
            <w:r>
              <w:rPr>
                <w:rFonts w:hint="eastAsia" w:ascii="宋体" w:hAnsi="宋体" w:eastAsia="宋体" w:cs="宋体"/>
                <w:color w:val="000000"/>
                <w:kern w:val="0"/>
                <w:sz w:val="20"/>
                <w:szCs w:val="20"/>
                <w:lang w:eastAsia="zh-CN"/>
              </w:rPr>
              <w:t>湘乡市交通运输局</w:t>
            </w:r>
            <w:r>
              <w:rPr>
                <w:rFonts w:hint="eastAsia" w:ascii="宋体" w:hAnsi="宋体" w:eastAsia="宋体" w:cs="宋体"/>
                <w:kern w:val="0"/>
                <w:sz w:val="20"/>
                <w:szCs w:val="20"/>
              </w:rPr>
              <w:t>　</w:t>
            </w:r>
          </w:p>
        </w:tc>
        <w:tc>
          <w:tcPr>
            <w:tcW w:w="1225" w:type="dxa"/>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620" w:type="dxa"/>
            <w:gridSpan w:val="2"/>
            <w:tcBorders>
              <w:top w:val="nil"/>
              <w:left w:val="nil"/>
              <w:bottom w:val="single" w:color="auto" w:sz="8" w:space="0"/>
              <w:right w:val="nil"/>
            </w:tcBorders>
            <w:shd w:val="clear" w:color="000000" w:fill="FFFFFF"/>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5510" w:type="dxa"/>
            <w:gridSpan w:val="2"/>
            <w:tcBorders>
              <w:top w:val="nil"/>
              <w:left w:val="nil"/>
              <w:bottom w:val="nil"/>
              <w:right w:val="nil"/>
            </w:tcBorders>
            <w:shd w:val="clear" w:color="000000" w:fill="FFFFFF"/>
            <w:noWrap/>
            <w:vAlign w:val="center"/>
          </w:tcPr>
          <w:p>
            <w:pPr>
              <w:widowControl/>
              <w:jc w:val="right"/>
              <w:rPr>
                <w:rFonts w:ascii="宋体" w:hAnsi="宋体" w:eastAsia="宋体" w:cs="宋体"/>
                <w:color w:val="000000"/>
                <w:kern w:val="0"/>
                <w:sz w:val="20"/>
                <w:szCs w:val="20"/>
              </w:rPr>
            </w:pPr>
            <w:r>
              <w:rPr>
                <w:rFonts w:hint="eastAsia" w:ascii="宋体" w:hAnsi="宋体" w:eastAsia="宋体" w:cs="宋体"/>
                <w:color w:val="000000"/>
                <w:kern w:val="0"/>
                <w:sz w:val="20"/>
                <w:szCs w:val="20"/>
              </w:rPr>
              <w:t>单位：万元</w:t>
            </w:r>
          </w:p>
        </w:tc>
      </w:tr>
      <w:tr>
        <w:tblPrEx>
          <w:tblCellMar>
            <w:top w:w="0" w:type="dxa"/>
            <w:left w:w="108" w:type="dxa"/>
            <w:bottom w:w="0" w:type="dxa"/>
            <w:right w:w="108" w:type="dxa"/>
          </w:tblCellMar>
        </w:tblPrEx>
        <w:trPr>
          <w:trHeight w:val="402" w:hRule="atLeast"/>
        </w:trPr>
        <w:tc>
          <w:tcPr>
            <w:tcW w:w="4835" w:type="dxa"/>
            <w:gridSpan w:val="4"/>
            <w:tcBorders>
              <w:top w:val="single" w:color="auto" w:sz="8"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项 </w:t>
            </w:r>
            <w:r>
              <w:rPr>
                <w:rFonts w:hint="eastAsia" w:ascii="宋体" w:hAnsi="宋体" w:eastAsia="宋体" w:cs="宋体"/>
                <w:color w:val="000000"/>
                <w:kern w:val="0"/>
                <w:sz w:val="22"/>
              </w:rPr>
              <w:t xml:space="preserve">   </w:t>
            </w:r>
            <w:r>
              <w:rPr>
                <w:rFonts w:hint="eastAsia" w:ascii="宋体" w:hAnsi="宋体" w:eastAsia="宋体" w:cs="宋体"/>
                <w:kern w:val="0"/>
                <w:sz w:val="24"/>
                <w:szCs w:val="24"/>
              </w:rPr>
              <w:t>目</w:t>
            </w:r>
          </w:p>
        </w:tc>
        <w:tc>
          <w:tcPr>
            <w:tcW w:w="9355" w:type="dxa"/>
            <w:gridSpan w:val="5"/>
            <w:tcBorders>
              <w:top w:val="single" w:color="auto" w:sz="8" w:space="0"/>
              <w:left w:val="nil"/>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本年支出</w:t>
            </w:r>
          </w:p>
        </w:tc>
      </w:tr>
      <w:tr>
        <w:tblPrEx>
          <w:tblCellMar>
            <w:top w:w="0" w:type="dxa"/>
            <w:left w:w="108" w:type="dxa"/>
            <w:bottom w:w="0" w:type="dxa"/>
            <w:right w:w="108" w:type="dxa"/>
          </w:tblCellMar>
        </w:tblPrEx>
        <w:trPr>
          <w:trHeight w:val="402" w:hRule="atLeast"/>
        </w:trPr>
        <w:tc>
          <w:tcPr>
            <w:tcW w:w="2709" w:type="dxa"/>
            <w:gridSpan w:val="3"/>
            <w:vMerge w:val="restart"/>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功能分类科目编码</w:t>
            </w:r>
          </w:p>
        </w:tc>
        <w:tc>
          <w:tcPr>
            <w:tcW w:w="2126" w:type="dxa"/>
            <w:vMerge w:val="restart"/>
            <w:tcBorders>
              <w:top w:val="nil"/>
              <w:left w:val="single" w:color="auto" w:sz="4"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科目名称</w:t>
            </w:r>
          </w:p>
        </w:tc>
        <w:tc>
          <w:tcPr>
            <w:tcW w:w="2551"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977" w:type="dxa"/>
            <w:gridSpan w:val="2"/>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xml:space="preserve">基本支出  </w:t>
            </w:r>
          </w:p>
        </w:tc>
        <w:tc>
          <w:tcPr>
            <w:tcW w:w="3827" w:type="dxa"/>
            <w:vMerge w:val="restart"/>
            <w:tcBorders>
              <w:top w:val="nil"/>
              <w:left w:val="single" w:color="auto" w:sz="4" w:space="0"/>
              <w:bottom w:val="single" w:color="000000"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项目支出</w:t>
            </w: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2709" w:type="dxa"/>
            <w:gridSpan w:val="3"/>
            <w:vMerge w:val="continue"/>
            <w:tcBorders>
              <w:top w:val="single" w:color="auto" w:sz="4" w:space="0"/>
              <w:left w:val="single" w:color="auto" w:sz="8"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126" w:type="dxa"/>
            <w:vMerge w:val="continue"/>
            <w:tcBorders>
              <w:top w:val="nil"/>
              <w:left w:val="single" w:color="auto" w:sz="4" w:space="0"/>
              <w:bottom w:val="single" w:color="auto" w:sz="4" w:space="0"/>
              <w:right w:val="single" w:color="auto" w:sz="4" w:space="0"/>
            </w:tcBorders>
            <w:vAlign w:val="center"/>
          </w:tcPr>
          <w:p>
            <w:pPr>
              <w:widowControl/>
              <w:jc w:val="left"/>
              <w:rPr>
                <w:rFonts w:ascii="宋体" w:hAnsi="宋体" w:eastAsia="宋体" w:cs="宋体"/>
                <w:kern w:val="0"/>
                <w:sz w:val="24"/>
                <w:szCs w:val="24"/>
              </w:rPr>
            </w:pPr>
          </w:p>
        </w:tc>
        <w:tc>
          <w:tcPr>
            <w:tcW w:w="2551"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2977" w:type="dxa"/>
            <w:gridSpan w:val="2"/>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c>
          <w:tcPr>
            <w:tcW w:w="3827" w:type="dxa"/>
            <w:vMerge w:val="continue"/>
            <w:tcBorders>
              <w:top w:val="nil"/>
              <w:left w:val="single" w:color="auto" w:sz="4" w:space="0"/>
              <w:bottom w:val="single" w:color="000000" w:sz="4" w:space="0"/>
              <w:right w:val="single" w:color="auto" w:sz="4" w:space="0"/>
            </w:tcBorders>
            <w:vAlign w:val="center"/>
          </w:tcPr>
          <w:p>
            <w:pPr>
              <w:widowControl/>
              <w:jc w:val="left"/>
              <w:rPr>
                <w:rFonts w:ascii="宋体" w:hAnsi="宋体" w:eastAsia="宋体" w:cs="宋体"/>
                <w:kern w:val="0"/>
                <w:sz w:val="24"/>
                <w:szCs w:val="24"/>
              </w:rPr>
            </w:pPr>
          </w:p>
        </w:tc>
      </w:tr>
      <w:tr>
        <w:tblPrEx>
          <w:tblCellMar>
            <w:top w:w="0" w:type="dxa"/>
            <w:left w:w="108" w:type="dxa"/>
            <w:bottom w:w="0" w:type="dxa"/>
            <w:right w:w="108" w:type="dxa"/>
          </w:tblCellMar>
        </w:tblPrEx>
        <w:trPr>
          <w:trHeight w:val="402" w:hRule="atLeast"/>
        </w:trPr>
        <w:tc>
          <w:tcPr>
            <w:tcW w:w="4835" w:type="dxa"/>
            <w:gridSpan w:val="4"/>
            <w:tcBorders>
              <w:top w:val="single" w:color="auto" w:sz="4" w:space="0"/>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栏次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1</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2</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3</w:t>
            </w:r>
          </w:p>
        </w:tc>
      </w:tr>
      <w:tr>
        <w:tblPrEx>
          <w:tblCellMar>
            <w:top w:w="0" w:type="dxa"/>
            <w:left w:w="108" w:type="dxa"/>
            <w:bottom w:w="0" w:type="dxa"/>
            <w:right w:w="108" w:type="dxa"/>
          </w:tblCellMar>
        </w:tblPrEx>
        <w:trPr>
          <w:trHeight w:val="402" w:hRule="atLeast"/>
        </w:trPr>
        <w:tc>
          <w:tcPr>
            <w:tcW w:w="4835" w:type="dxa"/>
            <w:gridSpan w:val="4"/>
            <w:tcBorders>
              <w:top w:val="nil"/>
              <w:left w:val="single" w:color="auto" w:sz="8" w:space="0"/>
              <w:bottom w:val="single" w:color="auto" w:sz="4" w:space="0"/>
              <w:right w:val="single" w:color="000000"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合计</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lang w:val="en-US" w:eastAsia="zh-CN"/>
              </w:rPr>
              <w:t>0</w:t>
            </w: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0"/>
                <w:szCs w:val="20"/>
                <w:lang w:val="en-US" w:eastAsia="zh-CN"/>
              </w:rPr>
            </w:pPr>
            <w:r>
              <w:rPr>
                <w:rFonts w:hint="eastAsia" w:ascii="宋体" w:hAnsi="宋体" w:eastAsia="宋体" w:cs="宋体"/>
                <w:kern w:val="0"/>
                <w:sz w:val="20"/>
                <w:szCs w:val="20"/>
              </w:rPr>
              <w:t>　</w:t>
            </w:r>
            <w:r>
              <w:rPr>
                <w:rFonts w:hint="eastAsia" w:ascii="宋体" w:hAnsi="宋体" w:eastAsia="宋体" w:cs="宋体"/>
                <w:kern w:val="0"/>
                <w:sz w:val="20"/>
                <w:szCs w:val="20"/>
                <w:lang w:val="en-US" w:eastAsia="zh-CN"/>
              </w:rPr>
              <w:t>0</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hint="eastAsia" w:ascii="宋体" w:hAnsi="宋体" w:eastAsia="宋体" w:cs="宋体"/>
                <w:kern w:val="0"/>
                <w:sz w:val="24"/>
                <w:szCs w:val="24"/>
                <w:lang w:val="en-US" w:eastAsia="zh-CN"/>
              </w:rPr>
            </w:pPr>
            <w:r>
              <w:rPr>
                <w:rFonts w:hint="eastAsia" w:ascii="宋体" w:hAnsi="宋体" w:eastAsia="宋体" w:cs="宋体"/>
                <w:kern w:val="0"/>
                <w:sz w:val="24"/>
                <w:szCs w:val="24"/>
              </w:rPr>
              <w:t>　</w:t>
            </w:r>
            <w:r>
              <w:rPr>
                <w:rFonts w:hint="eastAsia" w:ascii="宋体" w:hAnsi="宋体" w:eastAsia="宋体" w:cs="宋体"/>
                <w:kern w:val="0"/>
                <w:sz w:val="24"/>
                <w:szCs w:val="24"/>
                <w:lang w:val="en-US" w:eastAsia="zh-CN"/>
              </w:rPr>
              <w:t>0</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0"/>
                <w:szCs w:val="20"/>
              </w:rPr>
            </w:pPr>
            <w:r>
              <w:rPr>
                <w:rFonts w:hint="eastAsia" w:ascii="宋体" w:hAnsi="宋体" w:eastAsia="宋体" w:cs="宋体"/>
                <w:kern w:val="0"/>
                <w:sz w:val="20"/>
                <w:szCs w:val="20"/>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4"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4"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402" w:hRule="atLeast"/>
        </w:trPr>
        <w:tc>
          <w:tcPr>
            <w:tcW w:w="1620" w:type="dxa"/>
            <w:gridSpan w:val="2"/>
            <w:tcBorders>
              <w:top w:val="single" w:color="auto" w:sz="4" w:space="0"/>
              <w:left w:val="single" w:color="auto" w:sz="8" w:space="0"/>
              <w:bottom w:val="single" w:color="auto" w:sz="8" w:space="0"/>
              <w:right w:val="single" w:color="auto" w:sz="4" w:space="0"/>
            </w:tcBorders>
            <w:shd w:val="clear" w:color="auto" w:fill="auto"/>
            <w:vAlign w:val="center"/>
          </w:tcPr>
          <w:p>
            <w:pPr>
              <w:widowControl/>
              <w:jc w:val="center"/>
              <w:rPr>
                <w:rFonts w:ascii="宋体" w:hAnsi="宋体" w:eastAsia="宋体" w:cs="宋体"/>
                <w:kern w:val="0"/>
                <w:sz w:val="24"/>
                <w:szCs w:val="24"/>
              </w:rPr>
            </w:pPr>
            <w:r>
              <w:rPr>
                <w:rFonts w:hint="eastAsia" w:ascii="宋体" w:hAnsi="宋体" w:eastAsia="宋体" w:cs="宋体"/>
                <w:kern w:val="0"/>
                <w:sz w:val="24"/>
                <w:szCs w:val="24"/>
              </w:rPr>
              <w:t>　</w:t>
            </w:r>
          </w:p>
        </w:tc>
        <w:tc>
          <w:tcPr>
            <w:tcW w:w="3215"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551"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2977" w:type="dxa"/>
            <w:gridSpan w:val="2"/>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c>
          <w:tcPr>
            <w:tcW w:w="3827" w:type="dxa"/>
            <w:tcBorders>
              <w:top w:val="nil"/>
              <w:left w:val="nil"/>
              <w:bottom w:val="single" w:color="auto" w:sz="8" w:space="0"/>
              <w:right w:val="single" w:color="auto" w:sz="4" w:space="0"/>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　</w:t>
            </w:r>
          </w:p>
        </w:tc>
      </w:tr>
      <w:tr>
        <w:tblPrEx>
          <w:tblCellMar>
            <w:top w:w="0" w:type="dxa"/>
            <w:left w:w="108" w:type="dxa"/>
            <w:bottom w:w="0" w:type="dxa"/>
            <w:right w:w="108" w:type="dxa"/>
          </w:tblCellMar>
        </w:tblPrEx>
        <w:trPr>
          <w:trHeight w:val="720" w:hRule="atLeast"/>
        </w:trPr>
        <w:tc>
          <w:tcPr>
            <w:tcW w:w="14190" w:type="dxa"/>
            <w:gridSpan w:val="9"/>
            <w:tcBorders>
              <w:top w:val="single" w:color="auto" w:sz="8" w:space="0"/>
              <w:left w:val="nil"/>
              <w:bottom w:val="nil"/>
              <w:right w:val="nil"/>
            </w:tcBorders>
            <w:shd w:val="clear" w:color="auto" w:fill="auto"/>
            <w:vAlign w:val="center"/>
          </w:tcPr>
          <w:p>
            <w:pPr>
              <w:widowControl/>
              <w:jc w:val="left"/>
              <w:rPr>
                <w:rFonts w:ascii="宋体" w:hAnsi="宋体" w:eastAsia="宋体" w:cs="宋体"/>
                <w:kern w:val="0"/>
                <w:sz w:val="24"/>
                <w:szCs w:val="24"/>
              </w:rPr>
            </w:pPr>
            <w:r>
              <w:rPr>
                <w:rFonts w:hint="eastAsia" w:ascii="宋体" w:hAnsi="宋体" w:eastAsia="宋体" w:cs="宋体"/>
                <w:kern w:val="0"/>
                <w:sz w:val="24"/>
                <w:szCs w:val="24"/>
              </w:rPr>
              <w:t>注：本表反映部门本年度国有资本经营预算财政拨款支出情况。</w:t>
            </w:r>
          </w:p>
        </w:tc>
      </w:tr>
    </w:tbl>
    <w:p>
      <w:pPr>
        <w:pStyle w:val="12"/>
        <w:rPr>
          <w:sz w:val="72"/>
          <w:szCs w:val="72"/>
        </w:rPr>
        <w:sectPr>
          <w:pgSz w:w="16838" w:h="11906" w:orient="landscape"/>
          <w:pgMar w:top="720" w:right="720" w:bottom="720" w:left="720" w:header="851" w:footer="992" w:gutter="0"/>
          <w:cols w:space="425" w:num="1"/>
          <w:docGrid w:type="lines" w:linePitch="312" w:charSpace="0"/>
        </w:sectPr>
      </w:pPr>
    </w:p>
    <w:p>
      <w:pPr>
        <w:pStyle w:val="12"/>
        <w:rPr>
          <w:sz w:val="72"/>
          <w:szCs w:val="72"/>
        </w:rPr>
      </w:pPr>
    </w:p>
    <w:p>
      <w:pPr>
        <w:pStyle w:val="12"/>
        <w:rPr>
          <w:sz w:val="72"/>
          <w:szCs w:val="72"/>
        </w:rPr>
      </w:pPr>
    </w:p>
    <w:p>
      <w:pPr>
        <w:pStyle w:val="12"/>
        <w:rPr>
          <w:sz w:val="72"/>
          <w:szCs w:val="72"/>
        </w:rPr>
      </w:pPr>
    </w:p>
    <w:p>
      <w:pPr>
        <w:pStyle w:val="12"/>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第三部分</w:t>
      </w:r>
    </w:p>
    <w:p>
      <w:pPr>
        <w:pStyle w:val="12"/>
        <w:jc w:val="center"/>
        <w:rPr>
          <w:sz w:val="70"/>
          <w:szCs w:val="70"/>
        </w:rPr>
      </w:pPr>
    </w:p>
    <w:p>
      <w:pPr>
        <w:pStyle w:val="12"/>
        <w:jc w:val="center"/>
        <w:rPr>
          <w:sz w:val="70"/>
          <w:szCs w:val="70"/>
        </w:rPr>
      </w:pPr>
      <w:r>
        <w:rPr>
          <w:sz w:val="70"/>
          <w:szCs w:val="70"/>
        </w:rPr>
        <w:t>20</w:t>
      </w:r>
      <w:r>
        <w:rPr>
          <w:rFonts w:hint="eastAsia"/>
          <w:sz w:val="70"/>
          <w:szCs w:val="70"/>
        </w:rPr>
        <w:t>21年度部门决算情况说明</w:t>
      </w:r>
    </w:p>
    <w:p>
      <w:pPr>
        <w:widowControl/>
        <w:jc w:val="left"/>
        <w:rPr>
          <w:rFonts w:ascii="黑体" w:eastAsia="黑体" w:cs="黑体"/>
          <w:color w:val="000000"/>
          <w:kern w:val="0"/>
          <w:sz w:val="70"/>
          <w:szCs w:val="70"/>
        </w:rPr>
      </w:pPr>
      <w:r>
        <w:rPr>
          <w:sz w:val="70"/>
          <w:szCs w:val="70"/>
        </w:rPr>
        <w:br w:type="page"/>
      </w:r>
    </w:p>
    <w:p>
      <w:pPr>
        <w:pStyle w:val="12"/>
        <w:rPr>
          <w:rFonts w:asciiTheme="minorEastAsia" w:hAnsiTheme="minorEastAsia" w:eastAsiaTheme="minorEastAsia"/>
          <w:sz w:val="32"/>
          <w:szCs w:val="32"/>
        </w:rPr>
      </w:pPr>
    </w:p>
    <w:p>
      <w:pPr>
        <w:pStyle w:val="12"/>
        <w:ind w:firstLine="640" w:firstLineChars="200"/>
        <w:rPr>
          <w:rFonts w:hAnsi="黑体"/>
          <w:b/>
          <w:sz w:val="32"/>
          <w:szCs w:val="32"/>
        </w:rPr>
      </w:pPr>
      <w:r>
        <w:rPr>
          <w:rFonts w:hint="eastAsia" w:hAnsi="黑体"/>
          <w:b/>
          <w:sz w:val="32"/>
          <w:szCs w:val="32"/>
        </w:rPr>
        <w:t>一、收入支出决算总体情况说明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2021年度收、支总计</w:t>
      </w:r>
      <w:r>
        <w:rPr>
          <w:rFonts w:hint="eastAsia" w:asciiTheme="minorEastAsia" w:hAnsiTheme="minorEastAsia" w:eastAsiaTheme="minorEastAsia"/>
          <w:sz w:val="32"/>
          <w:szCs w:val="32"/>
          <w:lang w:val="en-US" w:eastAsia="zh-CN"/>
        </w:rPr>
        <w:t>16894.41</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3957.45</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18.98</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highlight w:val="none"/>
          <w:lang w:eastAsia="zh-CN"/>
        </w:rPr>
        <w:t>交通建设项目减少，财政拨款资金及上级补助资金减少。</w:t>
      </w:r>
    </w:p>
    <w:p>
      <w:pPr>
        <w:pStyle w:val="12"/>
        <w:ind w:firstLine="640" w:firstLineChars="200"/>
        <w:rPr>
          <w:rFonts w:hAnsi="黑体"/>
          <w:b/>
          <w:sz w:val="32"/>
          <w:szCs w:val="32"/>
        </w:rPr>
      </w:pPr>
      <w:r>
        <w:rPr>
          <w:rFonts w:hint="eastAsia" w:hAnsi="黑体"/>
          <w:b/>
          <w:sz w:val="32"/>
          <w:szCs w:val="32"/>
        </w:rPr>
        <w:t>二、收入决算情况说明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2021年度收入合计</w:t>
      </w:r>
      <w:r>
        <w:rPr>
          <w:rFonts w:hint="eastAsia" w:ascii="仿宋_GB2312" w:hAnsi="仿宋_GB2312" w:eastAsia="仿宋_GB2312"/>
          <w:sz w:val="32"/>
          <w:szCs w:val="24"/>
        </w:rPr>
        <w:t>13,868.6</w:t>
      </w:r>
      <w:r>
        <w:rPr>
          <w:rFonts w:hint="eastAsia" w:asciiTheme="minorEastAsia" w:hAnsiTheme="minorEastAsia" w:eastAsiaTheme="minorEastAsia"/>
          <w:sz w:val="32"/>
          <w:szCs w:val="32"/>
        </w:rPr>
        <w:t>万元，其中：财政拨款收入</w:t>
      </w:r>
      <w:r>
        <w:rPr>
          <w:rFonts w:hint="eastAsia" w:ascii="仿宋_GB2312" w:hAnsi="仿宋_GB2312" w:eastAsia="仿宋_GB2312"/>
          <w:sz w:val="32"/>
          <w:szCs w:val="24"/>
          <w:lang w:val="en-US" w:eastAsia="zh-CN"/>
        </w:rPr>
        <w:t>8676.56</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62.56</w:t>
      </w:r>
      <w:r>
        <w:rPr>
          <w:rFonts w:hint="eastAsia" w:asciiTheme="minorEastAsia" w:hAnsiTheme="minorEastAsia" w:eastAsiaTheme="minorEastAsia"/>
          <w:sz w:val="32"/>
          <w:szCs w:val="32"/>
        </w:rPr>
        <w:t>%；上级补助收入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%；事业收入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%；附属单位上缴收入</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%；其他收入</w:t>
      </w:r>
      <w:r>
        <w:rPr>
          <w:rFonts w:hint="eastAsia" w:asciiTheme="minorEastAsia" w:hAnsiTheme="minorEastAsia" w:eastAsiaTheme="minorEastAsia"/>
          <w:sz w:val="32"/>
          <w:szCs w:val="32"/>
          <w:lang w:val="en-US" w:eastAsia="zh-CN"/>
        </w:rPr>
        <w:t>5192.03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37.44</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三、支出决算情况说明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2021年度支出合计</w:t>
      </w:r>
      <w:r>
        <w:rPr>
          <w:rFonts w:hint="eastAsia" w:ascii="仿宋_GB2312" w:hAnsi="仿宋_GB2312" w:eastAsia="仿宋_GB2312"/>
          <w:sz w:val="32"/>
          <w:szCs w:val="24"/>
        </w:rPr>
        <w:t>13,197.21</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4704.78</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35.65</w:t>
      </w:r>
      <w:r>
        <w:rPr>
          <w:rFonts w:hint="eastAsia" w:asciiTheme="minorEastAsia" w:hAnsiTheme="minorEastAsia" w:eastAsiaTheme="minorEastAsia"/>
          <w:sz w:val="32"/>
          <w:szCs w:val="32"/>
        </w:rPr>
        <w:t>%；项目支出8492.43万元，占</w:t>
      </w:r>
      <w:r>
        <w:rPr>
          <w:rFonts w:hint="eastAsia" w:asciiTheme="minorEastAsia" w:hAnsiTheme="minorEastAsia" w:eastAsiaTheme="minorEastAsia"/>
          <w:sz w:val="32"/>
          <w:szCs w:val="32"/>
          <w:lang w:val="en-US" w:eastAsia="zh-CN"/>
        </w:rPr>
        <w:t>64.35</w:t>
      </w:r>
      <w:r>
        <w:rPr>
          <w:rFonts w:hint="eastAsia" w:asciiTheme="minorEastAsia" w:hAnsiTheme="minorEastAsia" w:eastAsiaTheme="minorEastAsia"/>
          <w:sz w:val="32"/>
          <w:szCs w:val="32"/>
        </w:rPr>
        <w:t>%；上缴上级支出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%；经营支出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%；对附属单位补助支出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四、财政拨款收入支出决算总体情况说明</w:t>
      </w:r>
    </w:p>
    <w:p>
      <w:pPr>
        <w:pStyle w:val="12"/>
        <w:ind w:firstLine="640"/>
        <w:rPr>
          <w:rFonts w:hint="eastAsia" w:asciiTheme="minorEastAsia" w:hAnsiTheme="minorEastAsia" w:eastAsiaTheme="minorEastAsia"/>
          <w:sz w:val="32"/>
          <w:szCs w:val="32"/>
          <w:highlight w:val="none"/>
          <w:lang w:eastAsia="zh-CN"/>
        </w:rPr>
      </w:pPr>
      <w:r>
        <w:rPr>
          <w:rFonts w:hint="eastAsia" w:asciiTheme="minorEastAsia" w:hAnsiTheme="minorEastAsia" w:eastAsiaTheme="minorEastAsia"/>
          <w:sz w:val="32"/>
          <w:szCs w:val="32"/>
        </w:rPr>
        <w:t>2021年度财政拨款收、支总计</w:t>
      </w:r>
      <w:r>
        <w:rPr>
          <w:rFonts w:hint="eastAsia" w:asciiTheme="minorEastAsia" w:hAnsiTheme="minorEastAsia" w:eastAsiaTheme="minorEastAsia"/>
          <w:sz w:val="32"/>
          <w:szCs w:val="32"/>
          <w:lang w:val="en-US" w:eastAsia="zh-CN"/>
        </w:rPr>
        <w:t>8676.56</w:t>
      </w:r>
      <w:r>
        <w:rPr>
          <w:rFonts w:hint="eastAsia" w:asciiTheme="minorEastAsia" w:hAnsiTheme="minorEastAsia" w:eastAsiaTheme="minorEastAsia"/>
          <w:sz w:val="32"/>
          <w:szCs w:val="32"/>
        </w:rPr>
        <w:t>万元，与上年相比，减少</w:t>
      </w:r>
      <w:r>
        <w:rPr>
          <w:rFonts w:hint="eastAsia" w:asciiTheme="minorEastAsia" w:hAnsiTheme="minorEastAsia" w:eastAsiaTheme="minorEastAsia"/>
          <w:sz w:val="32"/>
          <w:szCs w:val="32"/>
          <w:lang w:val="en-US" w:eastAsia="zh-CN"/>
        </w:rPr>
        <w:t>4195.27</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19.47</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highlight w:val="none"/>
          <w:lang w:eastAsia="zh-CN"/>
        </w:rPr>
        <w:t>交通建设项目减少，财政拨款资金减少。</w:t>
      </w:r>
    </w:p>
    <w:p>
      <w:pPr>
        <w:pStyle w:val="12"/>
        <w:ind w:firstLine="640" w:firstLineChars="200"/>
        <w:rPr>
          <w:rFonts w:hAnsi="黑体"/>
          <w:b/>
          <w:sz w:val="32"/>
          <w:szCs w:val="32"/>
        </w:rPr>
      </w:pPr>
      <w:r>
        <w:rPr>
          <w:rFonts w:hint="eastAsia" w:hAnsi="黑体"/>
          <w:b/>
          <w:sz w:val="32"/>
          <w:szCs w:val="32"/>
        </w:rPr>
        <w:t>五、一般公共预算财政拨款支出决算情况说明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（一）财政拨款支出决算总体情况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8327.58</w:t>
      </w:r>
      <w:r>
        <w:rPr>
          <w:rFonts w:hint="eastAsia" w:asciiTheme="minorEastAsia" w:hAnsiTheme="minorEastAsia" w:eastAsiaTheme="minorEastAsia"/>
          <w:sz w:val="32"/>
          <w:szCs w:val="32"/>
        </w:rPr>
        <w:t>万元，占本年支出合计的</w:t>
      </w:r>
      <w:r>
        <w:rPr>
          <w:rFonts w:hint="eastAsia" w:asciiTheme="minorEastAsia" w:hAnsiTheme="minorEastAsia" w:eastAsiaTheme="minorEastAsia"/>
          <w:sz w:val="32"/>
          <w:szCs w:val="32"/>
          <w:lang w:val="en-US" w:eastAsia="zh-CN"/>
        </w:rPr>
        <w:t>95.98</w:t>
      </w:r>
      <w:r>
        <w:rPr>
          <w:rFonts w:hint="eastAsia" w:asciiTheme="minorEastAsia" w:hAnsiTheme="minorEastAsia" w:eastAsiaTheme="minorEastAsia"/>
          <w:sz w:val="32"/>
          <w:szCs w:val="32"/>
        </w:rPr>
        <w:t>%，与上年相比，财政拨款支出减少</w:t>
      </w:r>
      <w:r>
        <w:rPr>
          <w:rFonts w:hint="eastAsia" w:asciiTheme="minorEastAsia" w:hAnsiTheme="minorEastAsia" w:eastAsiaTheme="minorEastAsia"/>
          <w:sz w:val="32"/>
          <w:szCs w:val="32"/>
          <w:lang w:val="en-US" w:eastAsia="zh-CN"/>
        </w:rPr>
        <w:t>1322.68</w:t>
      </w:r>
      <w:r>
        <w:rPr>
          <w:rFonts w:hint="eastAsia" w:asciiTheme="minorEastAsia" w:hAnsiTheme="minorEastAsia" w:eastAsiaTheme="minorEastAsia"/>
          <w:sz w:val="32"/>
          <w:szCs w:val="32"/>
        </w:rPr>
        <w:t>万元，减少</w:t>
      </w:r>
      <w:r>
        <w:rPr>
          <w:rFonts w:hint="eastAsia" w:asciiTheme="minorEastAsia" w:hAnsiTheme="minorEastAsia" w:eastAsiaTheme="minorEastAsia"/>
          <w:sz w:val="32"/>
          <w:szCs w:val="32"/>
          <w:lang w:val="en-US" w:eastAsia="zh-CN"/>
        </w:rPr>
        <w:t>13.71</w:t>
      </w:r>
      <w:r>
        <w:rPr>
          <w:rFonts w:hint="eastAsia" w:asciiTheme="minorEastAsia" w:hAnsiTheme="minorEastAsia" w:eastAsiaTheme="minorEastAsia"/>
          <w:sz w:val="32"/>
          <w:szCs w:val="32"/>
        </w:rPr>
        <w:t>%，主要是因为</w:t>
      </w:r>
      <w:r>
        <w:rPr>
          <w:rFonts w:hint="eastAsia" w:asciiTheme="minorEastAsia" w:hAnsiTheme="minorEastAsia" w:eastAsiaTheme="minorEastAsia"/>
          <w:sz w:val="32"/>
          <w:szCs w:val="32"/>
          <w:highlight w:val="none"/>
          <w:lang w:eastAsia="zh-CN"/>
        </w:rPr>
        <w:t>交通建设项目减少，财政拨款资金减少。</w:t>
      </w:r>
    </w:p>
    <w:p>
      <w:pPr>
        <w:pStyle w:val="12"/>
        <w:ind w:firstLine="480" w:firstLineChars="150"/>
        <w:rPr>
          <w:rFonts w:asciiTheme="minorEastAsia" w:hAnsiTheme="minorEastAsia" w:eastAsiaTheme="minorEastAsia"/>
          <w:b/>
          <w:sz w:val="32"/>
          <w:szCs w:val="32"/>
        </w:rPr>
      </w:pPr>
      <w:r>
        <w:rPr>
          <w:rFonts w:hint="eastAsia" w:asciiTheme="minorEastAsia" w:hAnsiTheme="minorEastAsia" w:eastAsiaTheme="minorEastAsia"/>
          <w:b/>
          <w:sz w:val="32"/>
          <w:szCs w:val="32"/>
        </w:rPr>
        <w:t>（二）财政拨款支出决算结构情况</w:t>
      </w:r>
    </w:p>
    <w:p>
      <w:pPr>
        <w:pStyle w:val="12"/>
        <w:ind w:firstLine="640" w:firstLineChars="2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2021年度财政拨款支出</w:t>
      </w:r>
      <w:r>
        <w:rPr>
          <w:rFonts w:hint="eastAsia" w:asciiTheme="minorEastAsia" w:hAnsiTheme="minorEastAsia" w:eastAsiaTheme="minorEastAsia"/>
          <w:sz w:val="32"/>
          <w:szCs w:val="32"/>
          <w:lang w:val="en-US" w:eastAsia="zh-CN"/>
        </w:rPr>
        <w:t>8327.58</w:t>
      </w:r>
      <w:r>
        <w:rPr>
          <w:rFonts w:hint="eastAsia" w:asciiTheme="minorEastAsia" w:hAnsiTheme="minorEastAsia" w:eastAsiaTheme="minorEastAsia"/>
          <w:sz w:val="32"/>
          <w:szCs w:val="32"/>
        </w:rPr>
        <w:t>万元，主要用于以下方面：社会保障和就业</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支出404.08万元，占</w:t>
      </w:r>
      <w:r>
        <w:rPr>
          <w:rFonts w:hint="eastAsia" w:asciiTheme="minorEastAsia" w:hAnsiTheme="minorEastAsia" w:eastAsiaTheme="minorEastAsia"/>
          <w:sz w:val="32"/>
          <w:szCs w:val="32"/>
          <w:lang w:val="en-US" w:eastAsia="zh-CN"/>
        </w:rPr>
        <w:t>4.85</w:t>
      </w:r>
      <w:r>
        <w:rPr>
          <w:rFonts w:hint="eastAsia" w:asciiTheme="minorEastAsia" w:hAnsiTheme="minorEastAsia" w:eastAsiaTheme="minorEastAsia"/>
          <w:sz w:val="32"/>
          <w:szCs w:val="32"/>
        </w:rPr>
        <w:t>%；卫生健康</w:t>
      </w:r>
      <w:r>
        <w:rPr>
          <w:rFonts w:hint="eastAsia" w:asciiTheme="minorEastAsia" w:hAnsiTheme="minorEastAsia" w:eastAsiaTheme="minorEastAsia"/>
          <w:sz w:val="32"/>
          <w:szCs w:val="32"/>
          <w:lang w:eastAsia="zh-CN"/>
        </w:rPr>
        <w:t>（类）</w:t>
      </w:r>
      <w:r>
        <w:rPr>
          <w:rFonts w:hint="eastAsia" w:asciiTheme="minorEastAsia" w:hAnsiTheme="minorEastAsia" w:eastAsiaTheme="minorEastAsia"/>
          <w:sz w:val="32"/>
          <w:szCs w:val="32"/>
        </w:rPr>
        <w:t>支出176.97</w:t>
      </w:r>
      <w:r>
        <w:rPr>
          <w:rFonts w:hint="eastAsia" w:asciiTheme="minorEastAsia" w:hAnsiTheme="minorEastAsia" w:eastAsiaTheme="minorEastAsia"/>
          <w:sz w:val="32"/>
          <w:szCs w:val="32"/>
          <w:lang w:eastAsia="zh-CN"/>
        </w:rPr>
        <w:t>万元，占</w:t>
      </w:r>
      <w:r>
        <w:rPr>
          <w:rFonts w:hint="eastAsia" w:asciiTheme="minorEastAsia" w:hAnsiTheme="minorEastAsia" w:eastAsiaTheme="minorEastAsia"/>
          <w:sz w:val="32"/>
          <w:szCs w:val="32"/>
          <w:lang w:val="en-US" w:eastAsia="zh-CN"/>
        </w:rPr>
        <w:t>2.13%；交通运输（类）支出7436.62万元，占89.3%；住房保障（类）支出309.91万元，占3.72%</w:t>
      </w:r>
      <w:r>
        <w:rPr>
          <w:rFonts w:hint="eastAsia" w:asciiTheme="minorEastAsia" w:hAnsiTheme="minorEastAsia" w:eastAsiaTheme="minorEastAsia"/>
          <w:sz w:val="32"/>
          <w:szCs w:val="32"/>
          <w:lang w:eastAsia="zh-CN"/>
        </w:rPr>
        <w:t>。</w:t>
      </w:r>
    </w:p>
    <w:p>
      <w:pPr>
        <w:pStyle w:val="12"/>
        <w:ind w:firstLine="800" w:firstLineChars="250"/>
        <w:rPr>
          <w:rFonts w:asciiTheme="minorEastAsia" w:hAnsiTheme="minorEastAsia" w:eastAsiaTheme="minorEastAsia"/>
          <w:b/>
          <w:sz w:val="32"/>
          <w:szCs w:val="32"/>
        </w:rPr>
      </w:pPr>
      <w:r>
        <w:rPr>
          <w:rFonts w:hint="eastAsia" w:asciiTheme="minorEastAsia" w:hAnsiTheme="minorEastAsia" w:eastAsiaTheme="minorEastAsia"/>
          <w:b/>
          <w:sz w:val="32"/>
          <w:szCs w:val="32"/>
        </w:rPr>
        <w:t>（三）财政拨款支出决算具体情况</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2021年度财政拨款支出年初预算数为</w:t>
      </w:r>
      <w:r>
        <w:rPr>
          <w:rFonts w:hint="eastAsia" w:ascii="仿宋_GB2312" w:hAnsi="仿宋_GB2312" w:eastAsia="仿宋_GB2312" w:cs="仿宋_GB2312"/>
          <w:sz w:val="32"/>
          <w:szCs w:val="32"/>
          <w:u w:val="none"/>
          <w:lang w:val="en-US" w:eastAsia="zh-CN"/>
        </w:rPr>
        <w:t>5321.08</w:t>
      </w:r>
      <w:r>
        <w:rPr>
          <w:rFonts w:hint="eastAsia" w:asciiTheme="minorEastAsia" w:hAnsiTheme="minorEastAsia" w:eastAsiaTheme="minorEastAsia"/>
          <w:sz w:val="32"/>
          <w:szCs w:val="32"/>
        </w:rPr>
        <w:t>万元，支出决算数为</w:t>
      </w:r>
      <w:r>
        <w:rPr>
          <w:rFonts w:hint="eastAsia" w:asciiTheme="minorEastAsia" w:hAnsiTheme="minorEastAsia" w:eastAsiaTheme="minorEastAsia"/>
          <w:sz w:val="32"/>
          <w:szCs w:val="32"/>
          <w:lang w:val="en-US" w:eastAsia="zh-CN"/>
        </w:rPr>
        <w:t>8327.58</w:t>
      </w:r>
      <w:r>
        <w:rPr>
          <w:rFonts w:hint="eastAsia" w:asciiTheme="minorEastAsia" w:hAnsiTheme="minorEastAsia" w:eastAsiaTheme="minorEastAsia"/>
          <w:sz w:val="32"/>
          <w:szCs w:val="32"/>
        </w:rPr>
        <w:t>万元，完成年初预算的</w:t>
      </w:r>
      <w:r>
        <w:rPr>
          <w:rFonts w:hint="eastAsia" w:asciiTheme="minorEastAsia" w:hAnsiTheme="minorEastAsia" w:eastAsiaTheme="minorEastAsia"/>
          <w:sz w:val="32"/>
          <w:szCs w:val="32"/>
          <w:lang w:val="en-US" w:eastAsia="zh-CN"/>
        </w:rPr>
        <w:t>156.5</w:t>
      </w:r>
      <w:r>
        <w:rPr>
          <w:rFonts w:hint="eastAsia" w:asciiTheme="minorEastAsia" w:hAnsiTheme="minorEastAsia" w:eastAsiaTheme="minorEastAsia"/>
          <w:sz w:val="32"/>
          <w:szCs w:val="32"/>
        </w:rPr>
        <w:t>，其中：</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w:t>
      </w:r>
      <w:r>
        <w:rPr>
          <w:rFonts w:hint="eastAsia" w:asciiTheme="minorEastAsia" w:hAnsiTheme="minorEastAsia" w:eastAsiaTheme="minorEastAsia"/>
          <w:color w:val="auto"/>
          <w:sz w:val="32"/>
          <w:szCs w:val="32"/>
        </w:rPr>
        <w:t>、社会保障和就业</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类）行政事业单位养老支出（款）行政单位离退休（项）。</w:t>
      </w:r>
    </w:p>
    <w:p>
      <w:pPr>
        <w:pStyle w:val="12"/>
        <w:ind w:firstLine="800" w:firstLineChars="250"/>
        <w:rPr>
          <w:rFonts w:hint="eastAsia" w:asciiTheme="minorEastAsia" w:hAnsiTheme="minorEastAsia" w:eastAsiaTheme="minorEastAsia"/>
          <w:color w:val="0000FF"/>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30.64</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29.16</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95.17</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2</w:t>
      </w:r>
      <w:r>
        <w:rPr>
          <w:rFonts w:hint="eastAsia" w:asciiTheme="minorEastAsia" w:hAnsiTheme="minorEastAsia" w:eastAsiaTheme="minorEastAsia"/>
          <w:color w:val="auto"/>
          <w:sz w:val="32"/>
          <w:szCs w:val="32"/>
        </w:rPr>
        <w:t>、社会保障和就业</w:t>
      </w:r>
      <w:r>
        <w:rPr>
          <w:rFonts w:hint="eastAsia" w:asciiTheme="minorEastAsia" w:hAnsiTheme="minorEastAsia" w:eastAsiaTheme="minorEastAsia"/>
          <w:color w:val="auto"/>
          <w:sz w:val="32"/>
          <w:szCs w:val="32"/>
          <w:lang w:eastAsia="zh-CN"/>
        </w:rPr>
        <w:t>（</w:t>
      </w:r>
      <w:r>
        <w:rPr>
          <w:rFonts w:hint="eastAsia" w:asciiTheme="minorEastAsia" w:hAnsiTheme="minorEastAsia" w:eastAsiaTheme="minorEastAsia"/>
          <w:color w:val="auto"/>
          <w:sz w:val="32"/>
          <w:szCs w:val="32"/>
        </w:rPr>
        <w:t>类）行政事业单位养老</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机关事业</w:t>
      </w:r>
      <w:r>
        <w:rPr>
          <w:rFonts w:hint="eastAsia" w:asciiTheme="minorEastAsia" w:hAnsiTheme="minorEastAsia" w:eastAsiaTheme="minorEastAsia"/>
          <w:color w:val="auto"/>
          <w:sz w:val="32"/>
          <w:szCs w:val="32"/>
        </w:rPr>
        <w:t>单位</w:t>
      </w:r>
      <w:r>
        <w:rPr>
          <w:rFonts w:hint="eastAsia" w:asciiTheme="minorEastAsia" w:hAnsiTheme="minorEastAsia" w:eastAsiaTheme="minorEastAsia"/>
          <w:color w:val="auto"/>
          <w:sz w:val="32"/>
          <w:szCs w:val="32"/>
          <w:lang w:eastAsia="zh-CN"/>
        </w:rPr>
        <w:t>基本养老保险缴费支出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333.13</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333.13</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3</w:t>
      </w:r>
      <w:r>
        <w:rPr>
          <w:rFonts w:hint="eastAsia" w:asciiTheme="minorEastAsia" w:hAnsiTheme="minorEastAsia" w:eastAsiaTheme="minorEastAsia"/>
          <w:color w:val="auto"/>
          <w:sz w:val="32"/>
          <w:szCs w:val="32"/>
        </w:rPr>
        <w:t>、社会保障和就业（类）其他</w:t>
      </w:r>
      <w:r>
        <w:rPr>
          <w:rFonts w:hint="eastAsia" w:asciiTheme="minorEastAsia" w:hAnsiTheme="minorEastAsia" w:eastAsiaTheme="minorEastAsia"/>
          <w:color w:val="auto"/>
          <w:sz w:val="32"/>
          <w:szCs w:val="32"/>
          <w:lang w:eastAsia="zh-CN"/>
        </w:rPr>
        <w:t>生活救助</w:t>
      </w:r>
      <w:r>
        <w:rPr>
          <w:rFonts w:hint="eastAsia" w:asciiTheme="minorEastAsia" w:hAnsiTheme="minorEastAsia" w:eastAsiaTheme="minorEastAsia"/>
          <w:color w:val="auto"/>
          <w:sz w:val="32"/>
          <w:szCs w:val="32"/>
        </w:rPr>
        <w:t>（款）其他城市生活救助</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2</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2</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4</w:t>
      </w:r>
      <w:r>
        <w:rPr>
          <w:rFonts w:hint="eastAsia" w:asciiTheme="minorEastAsia" w:hAnsiTheme="minorEastAsia" w:eastAsiaTheme="minorEastAsia"/>
          <w:color w:val="auto"/>
          <w:sz w:val="32"/>
          <w:szCs w:val="32"/>
        </w:rPr>
        <w:t>、社会保障和就业（类）其他社会保障和就业（款）其他社会保障和就业</w:t>
      </w:r>
      <w:r>
        <w:rPr>
          <w:rFonts w:hint="eastAsia" w:asciiTheme="minorEastAsia" w:hAnsiTheme="minorEastAsia" w:eastAsiaTheme="minorEastAsia"/>
          <w:color w:val="auto"/>
          <w:sz w:val="32"/>
          <w:szCs w:val="32"/>
          <w:lang w:eastAsia="zh-CN"/>
        </w:rPr>
        <w:t>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0000FF"/>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50.67</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39.8</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78.55</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预算调减。</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5</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卫生健康</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行政事业单位医疗</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行政单位医疗</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176.97</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176.97</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6</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行政运行</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0000FF"/>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3162.12</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3235.99</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102.34</w:t>
      </w:r>
      <w:r>
        <w:rPr>
          <w:rFonts w:hint="eastAsia" w:asciiTheme="minorEastAsia" w:hAnsiTheme="minorEastAsia" w:eastAsiaTheme="minorEastAsia"/>
          <w:color w:val="auto"/>
          <w:sz w:val="32"/>
          <w:szCs w:val="32"/>
        </w:rPr>
        <w:t>%，决算数大于年初预算数的主要原因是：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7</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一般行政管理事务</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896.5</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1557.19</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173.70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大</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8</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公路建设</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80</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9</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公路养护</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180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180</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10</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公路运输管理</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76</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74.98</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98.66</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11</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水路运输管理支出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52</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50.22</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96.58</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小</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12</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公路水路运输</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其他公路水路运输</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1829.05</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13</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成品油价格改革对交通运输的补贴</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对出租车的补贴</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70.72</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14</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成品油价格改革对交通运输的补贴</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成品油价格改革补贴其他支出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3.46</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15</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车辆购置税支出</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车辆购置税用于公路等基础设施建设支出</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171</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16</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交通运输（</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其他交通运输支出</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公共交通运营补助</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184</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17</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住房保障支出（</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住房改革支出</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住房公积金</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309.91</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309.91</w:t>
      </w:r>
      <w:r>
        <w:rPr>
          <w:rFonts w:hint="eastAsia" w:asciiTheme="minorEastAsia" w:hAnsiTheme="minorEastAsia" w:eastAsiaTheme="minorEastAsia"/>
          <w:color w:val="auto"/>
          <w:sz w:val="32"/>
          <w:szCs w:val="32"/>
        </w:rPr>
        <w:t>万元，完成年初预算的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%，决算数</w:t>
      </w:r>
      <w:r>
        <w:rPr>
          <w:rFonts w:hint="eastAsia" w:asciiTheme="minorEastAsia" w:hAnsiTheme="minorEastAsia" w:eastAsiaTheme="minorEastAsia"/>
          <w:color w:val="auto"/>
          <w:sz w:val="32"/>
          <w:szCs w:val="32"/>
          <w:lang w:eastAsia="zh-CN"/>
        </w:rPr>
        <w:t>等</w:t>
      </w:r>
      <w:r>
        <w:rPr>
          <w:rFonts w:hint="eastAsia" w:asciiTheme="minorEastAsia" w:hAnsiTheme="minorEastAsia" w:eastAsiaTheme="minorEastAsia"/>
          <w:color w:val="auto"/>
          <w:sz w:val="32"/>
          <w:szCs w:val="32"/>
        </w:rPr>
        <w:t>于年初预算数的主要原因是：</w:t>
      </w:r>
      <w:r>
        <w:rPr>
          <w:rFonts w:hint="eastAsia" w:asciiTheme="minorEastAsia" w:hAnsiTheme="minorEastAsia" w:eastAsiaTheme="minorEastAsia"/>
          <w:color w:val="auto"/>
          <w:sz w:val="32"/>
          <w:szCs w:val="32"/>
          <w:lang w:eastAsia="zh-CN"/>
        </w:rPr>
        <w:t>严格按预算执行。</w:t>
      </w:r>
    </w:p>
    <w:p>
      <w:pPr>
        <w:pStyle w:val="12"/>
        <w:ind w:firstLine="640" w:firstLineChars="200"/>
        <w:rPr>
          <w:rFonts w:hAnsi="黑体"/>
          <w:b/>
          <w:sz w:val="32"/>
          <w:szCs w:val="32"/>
        </w:rPr>
      </w:pPr>
      <w:r>
        <w:rPr>
          <w:rFonts w:hint="eastAsia" w:hAnsi="黑体"/>
          <w:b/>
          <w:sz w:val="32"/>
          <w:szCs w:val="32"/>
        </w:rPr>
        <w:t>六、一般公共预算财政拨款基本支出决算情况说明</w:t>
      </w:r>
    </w:p>
    <w:p>
      <w:pPr>
        <w:pStyle w:val="12"/>
        <w:ind w:firstLine="640" w:firstLineChars="200"/>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2021年度财政拨款基本支出4559.33万元，其中：人员经费3876.5万元，占基本支出的</w:t>
      </w:r>
      <w:r>
        <w:rPr>
          <w:rFonts w:hint="eastAsia" w:asciiTheme="minorEastAsia" w:hAnsiTheme="minorEastAsia" w:eastAsiaTheme="minorEastAsia"/>
          <w:sz w:val="32"/>
          <w:szCs w:val="32"/>
          <w:lang w:val="en-US" w:eastAsia="zh-CN"/>
        </w:rPr>
        <w:t>85.02</w:t>
      </w:r>
      <w:r>
        <w:rPr>
          <w:rFonts w:hint="eastAsia" w:asciiTheme="minorEastAsia" w:hAnsiTheme="minorEastAsia" w:eastAsiaTheme="minorEastAsia"/>
          <w:sz w:val="32"/>
          <w:szCs w:val="32"/>
        </w:rPr>
        <w:t>%,主要包括基本工资、津贴补贴、奖金、伙食补助费</w:t>
      </w:r>
      <w:r>
        <w:rPr>
          <w:rFonts w:asciiTheme="minorEastAsia" w:hAnsiTheme="minorEastAsia" w:eastAsiaTheme="minorEastAsia"/>
          <w:sz w:val="32"/>
          <w:szCs w:val="32"/>
        </w:rPr>
        <w:t>……</w:t>
      </w:r>
      <w:r>
        <w:rPr>
          <w:rFonts w:hint="eastAsia" w:asciiTheme="minorEastAsia" w:hAnsiTheme="minorEastAsia" w:eastAsiaTheme="minorEastAsia"/>
          <w:sz w:val="32"/>
          <w:szCs w:val="32"/>
        </w:rPr>
        <w:t>；公用经费682.83万元，占基本支出的</w:t>
      </w:r>
      <w:r>
        <w:rPr>
          <w:rFonts w:hint="eastAsia" w:asciiTheme="minorEastAsia" w:hAnsiTheme="minorEastAsia" w:eastAsiaTheme="minorEastAsia"/>
          <w:sz w:val="32"/>
          <w:szCs w:val="32"/>
          <w:lang w:val="en-US" w:eastAsia="zh-CN"/>
        </w:rPr>
        <w:t>14.98</w:t>
      </w:r>
      <w:r>
        <w:rPr>
          <w:rFonts w:hint="eastAsia" w:asciiTheme="minorEastAsia" w:hAnsiTheme="minorEastAsia" w:eastAsiaTheme="minorEastAsia"/>
          <w:sz w:val="32"/>
          <w:szCs w:val="32"/>
        </w:rPr>
        <w:t>%，主要包括办公费、印刷费、咨询费、手续费</w:t>
      </w:r>
      <w:r>
        <w:rPr>
          <w:rFonts w:asciiTheme="minorEastAsia" w:hAnsiTheme="minorEastAsia" w:eastAsiaTheme="minorEastAsia"/>
          <w:sz w:val="32"/>
          <w:szCs w:val="32"/>
        </w:rPr>
        <w:t>……</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七、一般公共预算财政拨款“三公”经费支出决算情况说明</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（一）“三公”经费财政拨款支出决算总体情况说明</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2021年度“三公”经费财政拨款支出预算为</w:t>
      </w:r>
      <w:r>
        <w:rPr>
          <w:rFonts w:hint="eastAsia" w:asciiTheme="minorEastAsia" w:hAnsiTheme="minorEastAsia" w:eastAsiaTheme="minorEastAsia"/>
          <w:sz w:val="32"/>
          <w:szCs w:val="32"/>
          <w:lang w:val="en-US" w:eastAsia="zh-CN"/>
        </w:rPr>
        <w:t>191.6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41.75</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21.79</w:t>
      </w:r>
      <w:r>
        <w:rPr>
          <w:rFonts w:hint="eastAsia" w:asciiTheme="minorEastAsia" w:hAnsiTheme="minorEastAsia" w:eastAsiaTheme="minorEastAsia"/>
          <w:sz w:val="32"/>
          <w:szCs w:val="32"/>
        </w:rPr>
        <w:t>%，其中：</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因公出国（境）费支出预算为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%，与上年相比减少（增加）0万元，减少（增长）0%。</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公务接待费支出预算为</w:t>
      </w:r>
      <w:r>
        <w:rPr>
          <w:rFonts w:hint="eastAsia" w:asciiTheme="minorEastAsia" w:hAnsiTheme="minorEastAsia" w:eastAsiaTheme="minorEastAsia"/>
          <w:sz w:val="32"/>
          <w:szCs w:val="32"/>
          <w:lang w:val="en-US" w:eastAsia="zh-CN"/>
        </w:rPr>
        <w:t>92</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4.72</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5.13</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eastAsia="zh-CN"/>
        </w:rPr>
        <w:t>进一步落实厉行节约有关规定，切实严格接待标准，减少公务接待支出。</w:t>
      </w:r>
      <w:r>
        <w:rPr>
          <w:rFonts w:hint="eastAsia" w:asciiTheme="minorEastAsia" w:hAnsiTheme="minorEastAsia" w:eastAsiaTheme="minorEastAsia"/>
          <w:sz w:val="32"/>
          <w:szCs w:val="32"/>
        </w:rPr>
        <w:t>与上年相比增加</w:t>
      </w:r>
      <w:r>
        <w:rPr>
          <w:rFonts w:hint="eastAsia" w:asciiTheme="minorEastAsia" w:hAnsiTheme="minorEastAsia" w:eastAsiaTheme="minorEastAsia"/>
          <w:sz w:val="32"/>
          <w:szCs w:val="32"/>
          <w:lang w:val="en-US" w:eastAsia="zh-CN"/>
        </w:rPr>
        <w:t>0.21</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4.66</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上级检查有所增加</w:t>
      </w:r>
      <w:r>
        <w:rPr>
          <w:rFonts w:hint="eastAsia" w:asciiTheme="minorEastAsia" w:hAnsiTheme="minorEastAsia" w:eastAsiaTheme="minorEastAsia"/>
          <w:sz w:val="32"/>
          <w:szCs w:val="32"/>
        </w:rPr>
        <w:t>。</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公务用车购置费支出预算为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%，与上年相比减少（增加）0万元，减少（增长）0%。</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公务用车运行维护费支出预算为</w:t>
      </w:r>
      <w:r>
        <w:rPr>
          <w:rFonts w:hint="eastAsia" w:asciiTheme="minorEastAsia" w:hAnsiTheme="minorEastAsia" w:eastAsiaTheme="minorEastAsia"/>
          <w:sz w:val="32"/>
          <w:szCs w:val="32"/>
          <w:lang w:val="en-US" w:eastAsia="zh-CN"/>
        </w:rPr>
        <w:t>99.6</w:t>
      </w:r>
      <w:r>
        <w:rPr>
          <w:rFonts w:hint="eastAsia" w:asciiTheme="minorEastAsia" w:hAnsiTheme="minorEastAsia" w:eastAsiaTheme="minorEastAsia"/>
          <w:sz w:val="32"/>
          <w:szCs w:val="32"/>
        </w:rPr>
        <w:t>万元，支出决算为</w:t>
      </w:r>
      <w:r>
        <w:rPr>
          <w:rFonts w:hint="eastAsia" w:asciiTheme="minorEastAsia" w:hAnsiTheme="minorEastAsia" w:eastAsiaTheme="minorEastAsia"/>
          <w:sz w:val="32"/>
          <w:szCs w:val="32"/>
          <w:lang w:val="en-US" w:eastAsia="zh-CN"/>
        </w:rPr>
        <w:t>37.03</w:t>
      </w:r>
      <w:r>
        <w:rPr>
          <w:rFonts w:hint="eastAsia" w:asciiTheme="minorEastAsia" w:hAnsiTheme="minorEastAsia" w:eastAsiaTheme="minorEastAsia"/>
          <w:sz w:val="32"/>
          <w:szCs w:val="32"/>
        </w:rPr>
        <w:t>万元，完成预算的</w:t>
      </w:r>
      <w:r>
        <w:rPr>
          <w:rFonts w:hint="eastAsia" w:asciiTheme="minorEastAsia" w:hAnsiTheme="minorEastAsia" w:eastAsiaTheme="minorEastAsia"/>
          <w:sz w:val="32"/>
          <w:szCs w:val="32"/>
          <w:lang w:val="en-US" w:eastAsia="zh-CN"/>
        </w:rPr>
        <w:t>37.18</w:t>
      </w:r>
      <w:r>
        <w:rPr>
          <w:rFonts w:hint="eastAsia" w:asciiTheme="minorEastAsia" w:hAnsiTheme="minorEastAsia" w:eastAsiaTheme="minorEastAsia"/>
          <w:sz w:val="32"/>
          <w:szCs w:val="32"/>
        </w:rPr>
        <w:t>%，决算数小于预算数的主要原因是</w:t>
      </w:r>
      <w:r>
        <w:rPr>
          <w:rFonts w:hint="eastAsia" w:asciiTheme="minorEastAsia" w:hAnsiTheme="minorEastAsia" w:eastAsiaTheme="minorEastAsia"/>
          <w:sz w:val="32"/>
          <w:szCs w:val="32"/>
          <w:lang w:eastAsia="zh-CN"/>
        </w:rPr>
        <w:t>公务用车运行维护费预算标准提升，但我局仍严格落实厉行节约的规定，从严从紧控制支出。</w:t>
      </w:r>
      <w:r>
        <w:rPr>
          <w:rFonts w:hint="eastAsia" w:asciiTheme="minorEastAsia" w:hAnsiTheme="minorEastAsia" w:eastAsiaTheme="minorEastAsia"/>
          <w:sz w:val="32"/>
          <w:szCs w:val="32"/>
        </w:rPr>
        <w:t>与上年相比减增加</w:t>
      </w:r>
      <w:r>
        <w:rPr>
          <w:rFonts w:hint="eastAsia" w:asciiTheme="minorEastAsia" w:hAnsiTheme="minorEastAsia" w:eastAsiaTheme="minorEastAsia"/>
          <w:sz w:val="32"/>
          <w:szCs w:val="32"/>
          <w:lang w:val="en-US" w:eastAsia="zh-CN"/>
        </w:rPr>
        <w:t>0.44</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1.2</w:t>
      </w:r>
      <w:r>
        <w:rPr>
          <w:rFonts w:hint="eastAsia" w:asciiTheme="minorEastAsia" w:hAnsiTheme="minorEastAsia" w:eastAsiaTheme="minorEastAsia"/>
          <w:sz w:val="32"/>
          <w:szCs w:val="32"/>
        </w:rPr>
        <w:t>%,增长的主要原因是</w:t>
      </w:r>
      <w:r>
        <w:rPr>
          <w:rFonts w:hint="eastAsia" w:asciiTheme="minorEastAsia" w:hAnsiTheme="minorEastAsia" w:eastAsiaTheme="minorEastAsia"/>
          <w:sz w:val="32"/>
          <w:szCs w:val="32"/>
          <w:lang w:eastAsia="zh-CN"/>
        </w:rPr>
        <w:t>随着车辆年限增长，维护费用相应有所增加</w:t>
      </w:r>
      <w:r>
        <w:rPr>
          <w:rFonts w:hint="eastAsia" w:asciiTheme="minorEastAsia" w:hAnsiTheme="minorEastAsia" w:eastAsiaTheme="minorEastAsia"/>
          <w:sz w:val="32"/>
          <w:szCs w:val="32"/>
        </w:rPr>
        <w:t>。</w:t>
      </w:r>
    </w:p>
    <w:p>
      <w:pPr>
        <w:pStyle w:val="12"/>
        <w:ind w:firstLine="640" w:firstLineChars="200"/>
        <w:rPr>
          <w:rFonts w:asciiTheme="minorEastAsia" w:hAnsiTheme="minorEastAsia" w:eastAsiaTheme="minorEastAsia"/>
          <w:b/>
          <w:sz w:val="32"/>
          <w:szCs w:val="32"/>
        </w:rPr>
      </w:pPr>
      <w:r>
        <w:rPr>
          <w:rFonts w:hint="eastAsia" w:asciiTheme="minorEastAsia" w:hAnsiTheme="minorEastAsia" w:eastAsiaTheme="minorEastAsia"/>
          <w:b/>
          <w:sz w:val="32"/>
          <w:szCs w:val="32"/>
        </w:rPr>
        <w:t>（二）“三公”经费财政拨款支出决算具体情况说明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2021年度“三公”经费财政拨款支出决算中，公务接待费支出决算</w:t>
      </w:r>
      <w:r>
        <w:rPr>
          <w:rFonts w:hint="eastAsia" w:asciiTheme="minorEastAsia" w:hAnsiTheme="minorEastAsia" w:eastAsiaTheme="minorEastAsia"/>
          <w:sz w:val="32"/>
          <w:szCs w:val="32"/>
          <w:lang w:val="en-US" w:eastAsia="zh-CN"/>
        </w:rPr>
        <w:t>4.72</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11.31</w:t>
      </w:r>
      <w:r>
        <w:rPr>
          <w:rFonts w:hint="eastAsia" w:asciiTheme="minorEastAsia" w:hAnsiTheme="minorEastAsia" w:eastAsiaTheme="minorEastAsia"/>
          <w:sz w:val="32"/>
          <w:szCs w:val="32"/>
        </w:rPr>
        <w:t>%,因公出国（境）费支出决算</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%,公务用车购置费及运行维护费支出决算</w:t>
      </w:r>
      <w:r>
        <w:rPr>
          <w:rFonts w:hint="eastAsia" w:asciiTheme="minorEastAsia" w:hAnsiTheme="minorEastAsia" w:eastAsiaTheme="minorEastAsia"/>
          <w:sz w:val="32"/>
          <w:szCs w:val="32"/>
          <w:lang w:val="en-US" w:eastAsia="zh-CN"/>
        </w:rPr>
        <w:t>37.03</w:t>
      </w:r>
      <w:r>
        <w:rPr>
          <w:rFonts w:hint="eastAsia" w:asciiTheme="minorEastAsia" w:hAnsiTheme="minorEastAsia" w:eastAsiaTheme="minorEastAsia"/>
          <w:sz w:val="32"/>
          <w:szCs w:val="32"/>
        </w:rPr>
        <w:t>万元，占</w:t>
      </w:r>
      <w:r>
        <w:rPr>
          <w:rFonts w:hint="eastAsia" w:asciiTheme="minorEastAsia" w:hAnsiTheme="minorEastAsia" w:eastAsiaTheme="minorEastAsia"/>
          <w:sz w:val="32"/>
          <w:szCs w:val="32"/>
          <w:lang w:val="en-US" w:eastAsia="zh-CN"/>
        </w:rPr>
        <w:t>88.69</w:t>
      </w:r>
      <w:r>
        <w:rPr>
          <w:rFonts w:hint="eastAsia" w:asciiTheme="minorEastAsia" w:hAnsiTheme="minorEastAsia" w:eastAsiaTheme="minorEastAsia"/>
          <w:sz w:val="32"/>
          <w:szCs w:val="32"/>
        </w:rPr>
        <w:t>%。其中：</w:t>
      </w:r>
    </w:p>
    <w:p>
      <w:pPr>
        <w:pStyle w:val="12"/>
        <w:ind w:firstLine="960" w:firstLineChars="300"/>
        <w:rPr>
          <w:rFonts w:hint="eastAsia" w:asciiTheme="minorEastAsia" w:hAnsiTheme="minorEastAsia" w:eastAsiaTheme="minorEastAsia"/>
          <w:sz w:val="32"/>
          <w:szCs w:val="32"/>
          <w:lang w:eastAsia="zh-CN"/>
        </w:rPr>
      </w:pPr>
      <w:r>
        <w:rPr>
          <w:rFonts w:hint="eastAsia" w:asciiTheme="minorEastAsia" w:hAnsiTheme="minorEastAsia" w:eastAsiaTheme="minorEastAsia"/>
          <w:sz w:val="32"/>
          <w:szCs w:val="32"/>
        </w:rPr>
        <w:t>1、因公出国（境）费支出决算为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万元，全年安排因公出国（境）团组</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个，累计</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人次</w:t>
      </w:r>
      <w:r>
        <w:rPr>
          <w:rFonts w:hint="eastAsia" w:asciiTheme="minorEastAsia" w:hAnsiTheme="minorEastAsia" w:eastAsiaTheme="minorEastAsia"/>
          <w:sz w:val="32"/>
          <w:szCs w:val="32"/>
          <w:lang w:eastAsia="zh-CN"/>
        </w:rPr>
        <w:t>。</w:t>
      </w:r>
    </w:p>
    <w:p>
      <w:pPr>
        <w:pStyle w:val="12"/>
        <w:ind w:firstLine="800" w:firstLineChars="250"/>
        <w:rPr>
          <w:rFonts w:asciiTheme="minorEastAsia" w:hAnsiTheme="minorEastAsia" w:eastAsiaTheme="minorEastAsia"/>
          <w:sz w:val="32"/>
          <w:szCs w:val="32"/>
        </w:rPr>
      </w:pPr>
      <w:r>
        <w:rPr>
          <w:rFonts w:hint="eastAsia" w:asciiTheme="minorEastAsia" w:hAnsiTheme="minorEastAsia" w:eastAsiaTheme="minorEastAsia"/>
          <w:sz w:val="32"/>
          <w:szCs w:val="32"/>
        </w:rPr>
        <w:t>2、公务接待费支出决算为</w:t>
      </w:r>
      <w:r>
        <w:rPr>
          <w:rFonts w:hint="eastAsia" w:asciiTheme="minorEastAsia" w:hAnsiTheme="minorEastAsia" w:eastAsiaTheme="minorEastAsia"/>
          <w:sz w:val="32"/>
          <w:szCs w:val="32"/>
          <w:lang w:val="en-US" w:eastAsia="zh-CN"/>
        </w:rPr>
        <w:t>4.72</w:t>
      </w:r>
      <w:r>
        <w:rPr>
          <w:rFonts w:hint="eastAsia" w:asciiTheme="minorEastAsia" w:hAnsiTheme="minorEastAsia" w:eastAsiaTheme="minorEastAsia"/>
          <w:sz w:val="32"/>
          <w:szCs w:val="32"/>
        </w:rPr>
        <w:t>万元，</w:t>
      </w:r>
      <w:r>
        <w:rPr>
          <w:rFonts w:hint="eastAsia" w:asciiTheme="minorEastAsia" w:hAnsiTheme="minorEastAsia" w:eastAsiaTheme="minorEastAsia"/>
          <w:sz w:val="32"/>
          <w:szCs w:val="32"/>
          <w:highlight w:val="none"/>
        </w:rPr>
        <w:t>全年共接待来访团组</w:t>
      </w:r>
      <w:r>
        <w:rPr>
          <w:rFonts w:hint="eastAsia" w:asciiTheme="minorEastAsia" w:hAnsiTheme="minorEastAsia" w:eastAsiaTheme="minorEastAsia"/>
          <w:sz w:val="32"/>
          <w:szCs w:val="32"/>
          <w:highlight w:val="none"/>
          <w:lang w:val="en-US" w:eastAsia="zh-CN"/>
        </w:rPr>
        <w:t>367</w:t>
      </w:r>
      <w:r>
        <w:rPr>
          <w:rFonts w:hint="eastAsia" w:asciiTheme="minorEastAsia" w:hAnsiTheme="minorEastAsia" w:eastAsiaTheme="minorEastAsia"/>
          <w:sz w:val="32"/>
          <w:szCs w:val="32"/>
          <w:highlight w:val="none"/>
        </w:rPr>
        <w:t>个、来宾</w:t>
      </w:r>
      <w:r>
        <w:rPr>
          <w:rFonts w:hint="eastAsia" w:asciiTheme="minorEastAsia" w:hAnsiTheme="minorEastAsia" w:eastAsiaTheme="minorEastAsia"/>
          <w:sz w:val="32"/>
          <w:szCs w:val="32"/>
          <w:highlight w:val="none"/>
          <w:lang w:val="en-US" w:eastAsia="zh-CN"/>
        </w:rPr>
        <w:t>1785</w:t>
      </w:r>
      <w:r>
        <w:rPr>
          <w:rFonts w:hint="eastAsia" w:asciiTheme="minorEastAsia" w:hAnsiTheme="minorEastAsia" w:eastAsiaTheme="minorEastAsia"/>
          <w:sz w:val="32"/>
          <w:szCs w:val="32"/>
          <w:highlight w:val="none"/>
        </w:rPr>
        <w:t>人次，主要是</w:t>
      </w:r>
      <w:r>
        <w:rPr>
          <w:rFonts w:hint="eastAsia" w:asciiTheme="minorEastAsia" w:hAnsiTheme="minorEastAsia" w:eastAsiaTheme="minorEastAsia"/>
          <w:sz w:val="32"/>
          <w:szCs w:val="32"/>
          <w:highlight w:val="none"/>
          <w:lang w:eastAsia="zh-CN"/>
        </w:rPr>
        <w:t>接待上级工作检查、项目验收、安全监督等</w:t>
      </w:r>
      <w:r>
        <w:rPr>
          <w:rFonts w:hint="eastAsia" w:asciiTheme="minorEastAsia" w:hAnsiTheme="minorEastAsia" w:eastAsiaTheme="minorEastAsia"/>
          <w:sz w:val="32"/>
          <w:szCs w:val="32"/>
          <w:highlight w:val="none"/>
        </w:rPr>
        <w:t>发生的接待支出</w:t>
      </w:r>
      <w:r>
        <w:rPr>
          <w:rFonts w:hint="eastAsia" w:asciiTheme="minorEastAsia" w:hAnsiTheme="minorEastAsia" w:eastAsiaTheme="minorEastAsia"/>
          <w:sz w:val="32"/>
          <w:szCs w:val="32"/>
        </w:rPr>
        <w:t>。</w:t>
      </w:r>
    </w:p>
    <w:p>
      <w:pPr>
        <w:ind w:firstLine="800" w:firstLineChars="250"/>
        <w:rPr>
          <w:rFonts w:cs="黑体" w:asciiTheme="minorEastAsia" w:hAnsiTheme="minorEastAsia"/>
          <w:color w:val="000000"/>
          <w:kern w:val="0"/>
          <w:sz w:val="32"/>
          <w:szCs w:val="32"/>
        </w:rPr>
      </w:pPr>
      <w:r>
        <w:rPr>
          <w:rFonts w:hint="eastAsia" w:asciiTheme="minorEastAsia" w:hAnsiTheme="minorEastAsia"/>
          <w:sz w:val="32"/>
          <w:szCs w:val="32"/>
        </w:rPr>
        <w:t>3、公务用车购置费及运行维护费支出决算为</w:t>
      </w:r>
      <w:r>
        <w:rPr>
          <w:rFonts w:hint="eastAsia" w:asciiTheme="minorEastAsia" w:hAnsiTheme="minorEastAsia"/>
          <w:sz w:val="32"/>
          <w:szCs w:val="32"/>
          <w:lang w:val="en-US" w:eastAsia="zh-CN"/>
        </w:rPr>
        <w:t>37.03</w:t>
      </w:r>
      <w:r>
        <w:rPr>
          <w:rFonts w:hint="eastAsia" w:asciiTheme="minorEastAsia" w:hAnsiTheme="minorEastAsia"/>
          <w:sz w:val="32"/>
          <w:szCs w:val="32"/>
        </w:rPr>
        <w:t>万元，其中：公务用车购置费</w:t>
      </w:r>
      <w:r>
        <w:rPr>
          <w:rFonts w:hint="eastAsia" w:asciiTheme="minorEastAsia" w:hAnsiTheme="minorEastAsia"/>
          <w:sz w:val="32"/>
          <w:szCs w:val="32"/>
          <w:lang w:val="en-US" w:eastAsia="zh-CN"/>
        </w:rPr>
        <w:t>0</w:t>
      </w:r>
      <w:r>
        <w:rPr>
          <w:rFonts w:hint="eastAsia" w:asciiTheme="minorEastAsia" w:hAnsiTheme="minorEastAsia"/>
          <w:sz w:val="32"/>
          <w:szCs w:val="32"/>
        </w:rPr>
        <w:t>万元，单位本级</w:t>
      </w:r>
      <w:r>
        <w:rPr>
          <w:rFonts w:hint="eastAsia" w:asciiTheme="minorEastAsia" w:hAnsiTheme="minorEastAsia"/>
          <w:sz w:val="32"/>
          <w:szCs w:val="32"/>
          <w:lang w:eastAsia="zh-CN"/>
        </w:rPr>
        <w:t>及</w:t>
      </w:r>
      <w:r>
        <w:rPr>
          <w:rFonts w:hint="eastAsia" w:asciiTheme="minorEastAsia" w:hAnsiTheme="minorEastAsia"/>
          <w:sz w:val="32"/>
          <w:szCs w:val="32"/>
        </w:rPr>
        <w:t>二级机构</w:t>
      </w:r>
      <w:r>
        <w:rPr>
          <w:rFonts w:hint="eastAsia" w:asciiTheme="minorEastAsia" w:hAnsiTheme="minorEastAsia"/>
          <w:sz w:val="32"/>
          <w:szCs w:val="32"/>
          <w:lang w:eastAsia="zh-CN"/>
        </w:rPr>
        <w:t>无</w:t>
      </w:r>
      <w:r>
        <w:rPr>
          <w:rFonts w:hint="eastAsia" w:asciiTheme="minorEastAsia" w:hAnsiTheme="minorEastAsia"/>
          <w:sz w:val="32"/>
          <w:szCs w:val="32"/>
        </w:rPr>
        <w:t>更新公务用车</w:t>
      </w:r>
      <w:r>
        <w:rPr>
          <w:rFonts w:hint="eastAsia" w:asciiTheme="minorEastAsia" w:hAnsiTheme="minorEastAsia"/>
          <w:color w:val="000000" w:themeColor="text1"/>
          <w:sz w:val="32"/>
          <w:szCs w:val="32"/>
          <w14:textFill>
            <w14:solidFill>
              <w14:schemeClr w14:val="tx1"/>
            </w14:solidFill>
          </w14:textFill>
        </w:rPr>
        <w:t>。</w:t>
      </w:r>
      <w:r>
        <w:rPr>
          <w:rFonts w:hint="eastAsia" w:asciiTheme="minorEastAsia" w:hAnsiTheme="minorEastAsia"/>
          <w:sz w:val="32"/>
          <w:szCs w:val="32"/>
        </w:rPr>
        <w:t>公务用车运行维护费</w:t>
      </w:r>
      <w:r>
        <w:rPr>
          <w:rFonts w:hint="eastAsia" w:asciiTheme="minorEastAsia" w:hAnsiTheme="minorEastAsia"/>
          <w:sz w:val="32"/>
          <w:szCs w:val="32"/>
          <w:lang w:val="en-US" w:eastAsia="zh-CN"/>
        </w:rPr>
        <w:t>37.03</w:t>
      </w:r>
      <w:r>
        <w:rPr>
          <w:rFonts w:hint="eastAsia" w:asciiTheme="minorEastAsia" w:hAnsiTheme="minorEastAsia"/>
          <w:sz w:val="32"/>
          <w:szCs w:val="32"/>
        </w:rPr>
        <w:t>万元，主要是</w:t>
      </w:r>
      <w:r>
        <w:rPr>
          <w:rFonts w:hint="eastAsia" w:asciiTheme="minorEastAsia" w:hAnsiTheme="minorEastAsia"/>
          <w:sz w:val="32"/>
          <w:szCs w:val="32"/>
          <w:lang w:eastAsia="zh-CN"/>
        </w:rPr>
        <w:t>车辆油费、保险费、维修费等</w:t>
      </w:r>
      <w:r>
        <w:rPr>
          <w:rFonts w:hint="eastAsia" w:asciiTheme="minorEastAsia" w:hAnsiTheme="minorEastAsia"/>
          <w:sz w:val="32"/>
          <w:szCs w:val="32"/>
        </w:rPr>
        <w:t>支出，截止2021年12月31日，我单位开支财政拨款的公务用车保有量为</w:t>
      </w:r>
      <w:r>
        <w:rPr>
          <w:rFonts w:hint="eastAsia" w:asciiTheme="minorEastAsia" w:hAnsiTheme="minorEastAsia"/>
          <w:sz w:val="32"/>
          <w:szCs w:val="32"/>
          <w:lang w:val="en-US" w:eastAsia="zh-CN"/>
        </w:rPr>
        <w:t>19</w:t>
      </w:r>
      <w:r>
        <w:rPr>
          <w:rFonts w:hint="eastAsia" w:asciiTheme="minorEastAsia" w:hAnsiTheme="minorEastAsia"/>
          <w:sz w:val="32"/>
          <w:szCs w:val="32"/>
        </w:rPr>
        <w:t>辆。</w:t>
      </w:r>
    </w:p>
    <w:p>
      <w:pPr>
        <w:pStyle w:val="12"/>
        <w:ind w:firstLine="640" w:firstLineChars="200"/>
        <w:rPr>
          <w:rFonts w:hAnsi="黑体"/>
          <w:b/>
          <w:sz w:val="32"/>
          <w:szCs w:val="32"/>
        </w:rPr>
      </w:pPr>
      <w:r>
        <w:rPr>
          <w:rFonts w:hint="eastAsia" w:hAnsi="黑体"/>
          <w:b/>
          <w:sz w:val="32"/>
          <w:szCs w:val="32"/>
        </w:rPr>
        <w:t>八、政府性基金预算收入支出决算情况</w:t>
      </w:r>
    </w:p>
    <w:p>
      <w:pPr>
        <w:pStyle w:val="12"/>
        <w:rPr>
          <w:rFonts w:asciiTheme="minorEastAsia" w:hAnsiTheme="minorEastAsia" w:eastAsiaTheme="minorEastAsia"/>
          <w:i/>
          <w:color w:val="FF0000"/>
          <w:sz w:val="32"/>
          <w:szCs w:val="32"/>
        </w:rPr>
      </w:pPr>
      <w:r>
        <w:rPr>
          <w:rFonts w:hint="eastAsia" w:asciiTheme="minorEastAsia" w:hAnsiTheme="minorEastAsia" w:eastAsiaTheme="minorEastAsia"/>
          <w:sz w:val="32"/>
          <w:szCs w:val="32"/>
        </w:rPr>
        <w:t xml:space="preserve">    2021年度政府性基金预算财政拨款收入</w:t>
      </w:r>
      <w:r>
        <w:rPr>
          <w:rFonts w:hint="eastAsia" w:asciiTheme="minorEastAsia" w:hAnsiTheme="minorEastAsia" w:eastAsiaTheme="minorEastAsia"/>
          <w:sz w:val="32"/>
          <w:szCs w:val="32"/>
          <w:lang w:val="en-US" w:eastAsia="zh-CN"/>
        </w:rPr>
        <w:t>348.98</w:t>
      </w:r>
      <w:r>
        <w:rPr>
          <w:rFonts w:hint="eastAsia" w:asciiTheme="minorEastAsia" w:hAnsiTheme="minorEastAsia" w:eastAsiaTheme="minorEastAsia"/>
          <w:sz w:val="32"/>
          <w:szCs w:val="32"/>
        </w:rPr>
        <w:t>万元；年初结转和结余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万元；支出</w:t>
      </w:r>
      <w:r>
        <w:rPr>
          <w:rFonts w:hint="eastAsia" w:asciiTheme="minorEastAsia" w:hAnsiTheme="minorEastAsia" w:eastAsiaTheme="minorEastAsia"/>
          <w:sz w:val="32"/>
          <w:szCs w:val="32"/>
          <w:lang w:val="en-US" w:eastAsia="zh-CN"/>
        </w:rPr>
        <w:t>348.98</w:t>
      </w:r>
      <w:r>
        <w:rPr>
          <w:rFonts w:hint="eastAsia" w:asciiTheme="minorEastAsia" w:hAnsiTheme="minorEastAsia" w:eastAsiaTheme="minorEastAsia"/>
          <w:sz w:val="32"/>
          <w:szCs w:val="32"/>
        </w:rPr>
        <w:t>万元，其中基本支出</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万元，项目支出</w:t>
      </w:r>
      <w:r>
        <w:rPr>
          <w:rFonts w:hint="eastAsia" w:asciiTheme="minorEastAsia" w:hAnsiTheme="minorEastAsia" w:eastAsiaTheme="minorEastAsia"/>
          <w:sz w:val="32"/>
          <w:szCs w:val="32"/>
          <w:lang w:val="en-US" w:eastAsia="zh-CN"/>
        </w:rPr>
        <w:t>348.98</w:t>
      </w:r>
      <w:r>
        <w:rPr>
          <w:rFonts w:hint="eastAsia" w:asciiTheme="minorEastAsia" w:hAnsiTheme="minorEastAsia" w:eastAsiaTheme="minorEastAsia"/>
          <w:sz w:val="32"/>
          <w:szCs w:val="32"/>
        </w:rPr>
        <w:t>万元；年末结转和结余</w:t>
      </w:r>
      <w:r>
        <w:rPr>
          <w:rFonts w:hint="eastAsia" w:asciiTheme="minorEastAsia" w:hAnsiTheme="minorEastAsia" w:eastAsiaTheme="minorEastAsia"/>
          <w:sz w:val="32"/>
          <w:szCs w:val="32"/>
          <w:lang w:val="en-US" w:eastAsia="zh-CN"/>
        </w:rPr>
        <w:t>0</w:t>
      </w:r>
      <w:r>
        <w:rPr>
          <w:rFonts w:hint="eastAsia" w:asciiTheme="minorEastAsia" w:hAnsiTheme="minorEastAsia" w:eastAsiaTheme="minorEastAsia"/>
          <w:sz w:val="32"/>
          <w:szCs w:val="32"/>
        </w:rPr>
        <w:t>万元。具体情况如下：</w:t>
      </w:r>
    </w:p>
    <w:p>
      <w:pPr>
        <w:pStyle w:val="12"/>
        <w:ind w:firstLine="800" w:firstLineChars="25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lang w:val="en-US" w:eastAsia="zh-CN"/>
        </w:rPr>
        <w:t>1</w:t>
      </w:r>
      <w:r>
        <w:rPr>
          <w:rFonts w:hint="eastAsia" w:asciiTheme="minorEastAsia" w:hAnsiTheme="minorEastAsia" w:eastAsiaTheme="minorEastAsia"/>
          <w:color w:val="auto"/>
          <w:sz w:val="32"/>
          <w:szCs w:val="32"/>
        </w:rPr>
        <w:t>、</w:t>
      </w:r>
      <w:r>
        <w:rPr>
          <w:rFonts w:hint="eastAsia" w:asciiTheme="minorEastAsia" w:hAnsiTheme="minorEastAsia" w:eastAsiaTheme="minorEastAsia"/>
          <w:color w:val="auto"/>
          <w:sz w:val="32"/>
          <w:szCs w:val="32"/>
          <w:lang w:eastAsia="zh-CN"/>
        </w:rPr>
        <w:t>抗疫特别国债安排的支出（</w:t>
      </w:r>
      <w:r>
        <w:rPr>
          <w:rFonts w:hint="eastAsia" w:asciiTheme="minorEastAsia" w:hAnsiTheme="minorEastAsia" w:eastAsiaTheme="minorEastAsia"/>
          <w:color w:val="auto"/>
          <w:sz w:val="32"/>
          <w:szCs w:val="32"/>
        </w:rPr>
        <w:t>类）</w:t>
      </w:r>
      <w:r>
        <w:rPr>
          <w:rFonts w:hint="eastAsia" w:asciiTheme="minorEastAsia" w:hAnsiTheme="minorEastAsia" w:eastAsiaTheme="minorEastAsia"/>
          <w:color w:val="auto"/>
          <w:sz w:val="32"/>
          <w:szCs w:val="32"/>
          <w:lang w:eastAsia="zh-CN"/>
        </w:rPr>
        <w:t>基础设施建设</w:t>
      </w:r>
      <w:r>
        <w:rPr>
          <w:rFonts w:hint="eastAsia" w:asciiTheme="minorEastAsia" w:hAnsiTheme="minorEastAsia" w:eastAsiaTheme="minorEastAsia"/>
          <w:color w:val="auto"/>
          <w:sz w:val="32"/>
          <w:szCs w:val="32"/>
        </w:rPr>
        <w:t>（款）</w:t>
      </w:r>
      <w:r>
        <w:rPr>
          <w:rFonts w:hint="eastAsia" w:asciiTheme="minorEastAsia" w:hAnsiTheme="minorEastAsia" w:eastAsiaTheme="minorEastAsia"/>
          <w:color w:val="auto"/>
          <w:sz w:val="32"/>
          <w:szCs w:val="32"/>
          <w:lang w:eastAsia="zh-CN"/>
        </w:rPr>
        <w:t>重大疫情防控救治体系建设</w:t>
      </w:r>
      <w:r>
        <w:rPr>
          <w:rFonts w:hint="eastAsia" w:asciiTheme="minorEastAsia" w:hAnsiTheme="minorEastAsia" w:eastAsiaTheme="minorEastAsia"/>
          <w:color w:val="auto"/>
          <w:sz w:val="32"/>
          <w:szCs w:val="32"/>
        </w:rPr>
        <w:t>（项）。</w:t>
      </w:r>
    </w:p>
    <w:p>
      <w:pPr>
        <w:pStyle w:val="12"/>
        <w:ind w:firstLine="800" w:firstLineChars="250"/>
        <w:rPr>
          <w:rFonts w:hint="eastAsia" w:asciiTheme="minorEastAsia" w:hAnsiTheme="minorEastAsia" w:eastAsiaTheme="minorEastAsia"/>
          <w:color w:val="auto"/>
          <w:sz w:val="32"/>
          <w:szCs w:val="32"/>
          <w:lang w:eastAsia="zh-CN"/>
        </w:rPr>
      </w:pPr>
      <w:r>
        <w:rPr>
          <w:rFonts w:hint="eastAsia" w:asciiTheme="minorEastAsia" w:hAnsiTheme="minorEastAsia" w:eastAsiaTheme="minorEastAsia"/>
          <w:color w:val="auto"/>
          <w:sz w:val="32"/>
          <w:szCs w:val="32"/>
        </w:rPr>
        <w:t>年初预算为</w:t>
      </w:r>
      <w:r>
        <w:rPr>
          <w:rFonts w:hint="eastAsia" w:asciiTheme="minorEastAsia" w:hAnsiTheme="minorEastAsia" w:eastAsiaTheme="minorEastAsia"/>
          <w:color w:val="auto"/>
          <w:sz w:val="32"/>
          <w:szCs w:val="32"/>
          <w:lang w:val="en-US" w:eastAsia="zh-CN"/>
        </w:rPr>
        <w:t>0</w:t>
      </w:r>
      <w:r>
        <w:rPr>
          <w:rFonts w:hint="eastAsia" w:asciiTheme="minorEastAsia" w:hAnsiTheme="minorEastAsia" w:eastAsiaTheme="minorEastAsia"/>
          <w:color w:val="auto"/>
          <w:sz w:val="32"/>
          <w:szCs w:val="32"/>
        </w:rPr>
        <w:t>万元，支出决算为</w:t>
      </w:r>
      <w:r>
        <w:rPr>
          <w:rFonts w:hint="eastAsia" w:asciiTheme="minorEastAsia" w:hAnsiTheme="minorEastAsia" w:eastAsiaTheme="minorEastAsia"/>
          <w:color w:val="auto"/>
          <w:sz w:val="32"/>
          <w:szCs w:val="32"/>
          <w:lang w:val="en-US" w:eastAsia="zh-CN"/>
        </w:rPr>
        <w:t>348.98</w:t>
      </w:r>
      <w:r>
        <w:rPr>
          <w:rFonts w:hint="eastAsia" w:asciiTheme="minorEastAsia" w:hAnsiTheme="minorEastAsia" w:eastAsiaTheme="minorEastAsia"/>
          <w:color w:val="auto"/>
          <w:sz w:val="32"/>
          <w:szCs w:val="32"/>
        </w:rPr>
        <w:t>万元，决算数大于年初预算数的主要原因是：</w:t>
      </w:r>
      <w:r>
        <w:rPr>
          <w:rFonts w:hint="eastAsia" w:asciiTheme="minorEastAsia" w:hAnsiTheme="minorEastAsia" w:eastAsiaTheme="minorEastAsia"/>
          <w:color w:val="auto"/>
          <w:sz w:val="32"/>
          <w:szCs w:val="32"/>
          <w:lang w:eastAsia="zh-CN"/>
        </w:rPr>
        <w:t>预算追加。</w:t>
      </w:r>
    </w:p>
    <w:p>
      <w:pPr>
        <w:pStyle w:val="12"/>
        <w:ind w:firstLine="640" w:firstLineChars="200"/>
        <w:rPr>
          <w:rFonts w:hAnsi="黑体"/>
          <w:b/>
          <w:sz w:val="32"/>
          <w:szCs w:val="32"/>
        </w:rPr>
      </w:pPr>
      <w:r>
        <w:rPr>
          <w:rFonts w:hint="eastAsia" w:hAnsi="黑体"/>
          <w:b/>
          <w:sz w:val="32"/>
          <w:szCs w:val="32"/>
        </w:rPr>
        <w:t>九、机关运行经费支出说明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本部门2021年度机关运行经费支出</w:t>
      </w:r>
      <w:r>
        <w:rPr>
          <w:rFonts w:hint="eastAsia" w:asciiTheme="minorEastAsia" w:hAnsiTheme="minorEastAsia" w:eastAsiaTheme="minorEastAsia"/>
          <w:sz w:val="32"/>
          <w:szCs w:val="32"/>
          <w:lang w:val="en-US" w:eastAsia="zh-CN"/>
        </w:rPr>
        <w:t>682.83</w:t>
      </w:r>
      <w:r>
        <w:rPr>
          <w:rFonts w:hint="eastAsia" w:asciiTheme="minorEastAsia" w:hAnsiTheme="minorEastAsia" w:eastAsiaTheme="minorEastAsia"/>
          <w:sz w:val="32"/>
          <w:szCs w:val="32"/>
        </w:rPr>
        <w:t>万元，比上年决算数增加</w:t>
      </w:r>
      <w:r>
        <w:rPr>
          <w:rFonts w:hint="eastAsia" w:asciiTheme="minorEastAsia" w:hAnsiTheme="minorEastAsia" w:eastAsiaTheme="minorEastAsia"/>
          <w:sz w:val="32"/>
          <w:szCs w:val="32"/>
          <w:lang w:val="en-US" w:eastAsia="zh-CN"/>
        </w:rPr>
        <w:t>330.98</w:t>
      </w:r>
      <w:r>
        <w:rPr>
          <w:rFonts w:hint="eastAsia" w:asciiTheme="minorEastAsia" w:hAnsiTheme="minorEastAsia" w:eastAsiaTheme="minorEastAsia"/>
          <w:sz w:val="32"/>
          <w:szCs w:val="32"/>
        </w:rPr>
        <w:t>万元，增长</w:t>
      </w:r>
      <w:r>
        <w:rPr>
          <w:rFonts w:hint="eastAsia" w:asciiTheme="minorEastAsia" w:hAnsiTheme="minorEastAsia" w:eastAsiaTheme="minorEastAsia"/>
          <w:sz w:val="32"/>
          <w:szCs w:val="32"/>
          <w:lang w:val="en-US" w:eastAsia="zh-CN"/>
        </w:rPr>
        <w:t>94.07</w:t>
      </w:r>
      <w:r>
        <w:rPr>
          <w:rFonts w:hint="eastAsia" w:asciiTheme="minorEastAsia" w:hAnsiTheme="minorEastAsia" w:eastAsiaTheme="minorEastAsia"/>
          <w:sz w:val="32"/>
          <w:szCs w:val="32"/>
        </w:rPr>
        <w:t>%。主要原因是：</w:t>
      </w:r>
      <w:r>
        <w:rPr>
          <w:rFonts w:hint="eastAsia" w:asciiTheme="minorEastAsia" w:hAnsiTheme="minorEastAsia" w:eastAsiaTheme="minorEastAsia"/>
          <w:sz w:val="32"/>
          <w:szCs w:val="32"/>
          <w:lang w:eastAsia="zh-CN"/>
        </w:rPr>
        <w:t>因疫情防控、项目建设及执法等原因，办公费、差旅费及其他交通费用等增长较大。</w:t>
      </w:r>
    </w:p>
    <w:p>
      <w:pPr>
        <w:pStyle w:val="12"/>
        <w:ind w:firstLine="640" w:firstLineChars="200"/>
        <w:rPr>
          <w:rFonts w:hAnsi="黑体"/>
          <w:b/>
          <w:sz w:val="32"/>
          <w:szCs w:val="32"/>
        </w:rPr>
      </w:pPr>
      <w:r>
        <w:rPr>
          <w:rFonts w:hint="eastAsia" w:hAnsi="黑体"/>
          <w:b/>
          <w:sz w:val="32"/>
          <w:szCs w:val="32"/>
        </w:rPr>
        <w:t>十、一般性支出情况说明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2021年本部门开支会议费</w:t>
      </w:r>
      <w:r>
        <w:rPr>
          <w:rFonts w:hint="eastAsia" w:asciiTheme="minorEastAsia" w:hAnsiTheme="minorEastAsia" w:eastAsiaTheme="minorEastAsia"/>
          <w:sz w:val="32"/>
          <w:szCs w:val="32"/>
          <w:lang w:val="en-US" w:eastAsia="zh-CN"/>
        </w:rPr>
        <w:t>2.05</w:t>
      </w:r>
      <w:r>
        <w:rPr>
          <w:rFonts w:hint="eastAsia" w:asciiTheme="minorEastAsia" w:hAnsiTheme="minorEastAsia" w:eastAsiaTheme="minorEastAsia"/>
          <w:sz w:val="32"/>
          <w:szCs w:val="32"/>
        </w:rPr>
        <w:t>万元，用于</w:t>
      </w:r>
      <w:r>
        <w:rPr>
          <w:rFonts w:hint="eastAsia" w:asciiTheme="minorEastAsia" w:hAnsiTheme="minorEastAsia" w:eastAsiaTheme="minorEastAsia"/>
          <w:sz w:val="32"/>
          <w:szCs w:val="32"/>
          <w:highlight w:val="none"/>
        </w:rPr>
        <w:t>用于召开交通工作会议，人数</w:t>
      </w:r>
      <w:r>
        <w:rPr>
          <w:rFonts w:hint="eastAsia" w:asciiTheme="minorEastAsia" w:hAnsiTheme="minorEastAsia" w:eastAsiaTheme="minorEastAsia"/>
          <w:sz w:val="32"/>
          <w:szCs w:val="32"/>
          <w:highlight w:val="none"/>
          <w:lang w:val="en-US" w:eastAsia="zh-CN"/>
        </w:rPr>
        <w:t>754</w:t>
      </w:r>
      <w:r>
        <w:rPr>
          <w:rFonts w:hint="eastAsia" w:asciiTheme="minorEastAsia" w:hAnsiTheme="minorEastAsia" w:eastAsiaTheme="minorEastAsia"/>
          <w:sz w:val="32"/>
          <w:szCs w:val="32"/>
          <w:highlight w:val="none"/>
        </w:rPr>
        <w:t>人，内容为全市交通工作会议；开支培训费</w:t>
      </w:r>
      <w:r>
        <w:rPr>
          <w:rFonts w:hint="eastAsia" w:asciiTheme="minorEastAsia" w:hAnsiTheme="minorEastAsia" w:eastAsiaTheme="minorEastAsia"/>
          <w:sz w:val="32"/>
          <w:szCs w:val="32"/>
          <w:highlight w:val="none"/>
          <w:lang w:val="en-US" w:eastAsia="zh-CN"/>
        </w:rPr>
        <w:t>9.59</w:t>
      </w:r>
      <w:r>
        <w:rPr>
          <w:rFonts w:hint="eastAsia" w:asciiTheme="minorEastAsia" w:hAnsiTheme="minorEastAsia" w:eastAsiaTheme="minorEastAsia"/>
          <w:sz w:val="32"/>
          <w:szCs w:val="32"/>
          <w:highlight w:val="none"/>
        </w:rPr>
        <w:t>万元，用于开展主题教育培训，人数</w:t>
      </w:r>
      <w:r>
        <w:rPr>
          <w:rFonts w:hint="eastAsia" w:asciiTheme="minorEastAsia" w:hAnsiTheme="minorEastAsia" w:eastAsiaTheme="minorEastAsia"/>
          <w:sz w:val="32"/>
          <w:szCs w:val="32"/>
          <w:highlight w:val="none"/>
          <w:lang w:val="en-US" w:eastAsia="zh-CN"/>
        </w:rPr>
        <w:t>1382</w:t>
      </w:r>
      <w:r>
        <w:rPr>
          <w:rFonts w:hint="eastAsia" w:asciiTheme="minorEastAsia" w:hAnsiTheme="minorEastAsia" w:eastAsiaTheme="minorEastAsia"/>
          <w:sz w:val="32"/>
          <w:szCs w:val="32"/>
          <w:highlight w:val="none"/>
        </w:rPr>
        <w:t>人，内容为开展党员主题教育培训；</w:t>
      </w:r>
      <w:r>
        <w:rPr>
          <w:rFonts w:hint="eastAsia" w:asciiTheme="minorEastAsia" w:hAnsiTheme="minorEastAsia" w:eastAsiaTheme="minorEastAsia"/>
          <w:sz w:val="32"/>
          <w:szCs w:val="32"/>
          <w:highlight w:val="none"/>
          <w:lang w:eastAsia="zh-CN"/>
        </w:rPr>
        <w:t>未</w:t>
      </w:r>
      <w:r>
        <w:rPr>
          <w:rFonts w:hint="eastAsia" w:asciiTheme="minorEastAsia" w:hAnsiTheme="minorEastAsia" w:eastAsiaTheme="minorEastAsia"/>
          <w:sz w:val="32"/>
          <w:szCs w:val="32"/>
          <w:highlight w:val="none"/>
        </w:rPr>
        <w:t>举办节庆、晚会、论坛、赛事</w:t>
      </w:r>
      <w:r>
        <w:rPr>
          <w:rFonts w:hint="eastAsia" w:asciiTheme="minorEastAsia" w:hAnsiTheme="minorEastAsia" w:eastAsiaTheme="minorEastAsia"/>
          <w:sz w:val="32"/>
          <w:szCs w:val="32"/>
          <w:highlight w:val="none"/>
          <w:lang w:eastAsia="zh-CN"/>
        </w:rPr>
        <w:t>等</w:t>
      </w:r>
      <w:r>
        <w:rPr>
          <w:rFonts w:hint="eastAsia" w:asciiTheme="minorEastAsia" w:hAnsiTheme="minorEastAsia" w:eastAsiaTheme="minorEastAsia"/>
          <w:sz w:val="32"/>
          <w:szCs w:val="32"/>
          <w:highlight w:val="none"/>
        </w:rPr>
        <w:t>活动，开支</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万元</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十一、政府采购支出说明</w:t>
      </w:r>
    </w:p>
    <w:p>
      <w:pPr>
        <w:pStyle w:val="12"/>
        <w:ind w:firstLine="640" w:firstLineChars="200"/>
        <w:rPr>
          <w:rFonts w:asciiTheme="minorEastAsia" w:hAnsiTheme="minorEastAsia" w:eastAsiaTheme="minorEastAsia"/>
          <w:color w:val="auto"/>
          <w:sz w:val="32"/>
          <w:szCs w:val="32"/>
        </w:rPr>
      </w:pPr>
      <w:r>
        <w:rPr>
          <w:rFonts w:hint="eastAsia" w:asciiTheme="minorEastAsia" w:hAnsiTheme="minorEastAsia" w:eastAsiaTheme="minorEastAsia"/>
          <w:color w:val="auto"/>
          <w:sz w:val="32"/>
          <w:szCs w:val="32"/>
        </w:rPr>
        <w:t>本部门2021年度政府采购支出总额</w:t>
      </w:r>
      <w:r>
        <w:rPr>
          <w:rFonts w:hint="eastAsia" w:asciiTheme="minorEastAsia" w:hAnsiTheme="minorEastAsia" w:eastAsiaTheme="minorEastAsia"/>
          <w:color w:val="auto"/>
          <w:sz w:val="32"/>
          <w:szCs w:val="32"/>
          <w:lang w:val="en-US" w:eastAsia="zh-CN"/>
        </w:rPr>
        <w:t>4517.78</w:t>
      </w:r>
      <w:r>
        <w:rPr>
          <w:rFonts w:hint="eastAsia" w:asciiTheme="minorEastAsia" w:hAnsiTheme="minorEastAsia" w:eastAsiaTheme="minorEastAsia"/>
          <w:color w:val="auto"/>
          <w:sz w:val="32"/>
          <w:szCs w:val="32"/>
        </w:rPr>
        <w:t>万元，其中：政府采购货物支出</w:t>
      </w:r>
      <w:r>
        <w:rPr>
          <w:rFonts w:hint="eastAsia" w:asciiTheme="minorEastAsia" w:hAnsiTheme="minorEastAsia" w:eastAsiaTheme="minorEastAsia"/>
          <w:color w:val="auto"/>
          <w:sz w:val="32"/>
          <w:szCs w:val="32"/>
          <w:lang w:val="en-US" w:eastAsia="zh-CN"/>
        </w:rPr>
        <w:t>78.45</w:t>
      </w:r>
      <w:r>
        <w:rPr>
          <w:rFonts w:hint="eastAsia" w:asciiTheme="minorEastAsia" w:hAnsiTheme="minorEastAsia" w:eastAsiaTheme="minorEastAsia"/>
          <w:color w:val="auto"/>
          <w:sz w:val="32"/>
          <w:szCs w:val="32"/>
        </w:rPr>
        <w:t>万元、政府采购工程支出</w:t>
      </w:r>
      <w:r>
        <w:rPr>
          <w:rFonts w:hint="eastAsia" w:asciiTheme="minorEastAsia" w:hAnsiTheme="minorEastAsia" w:eastAsiaTheme="minorEastAsia"/>
          <w:color w:val="auto"/>
          <w:sz w:val="32"/>
          <w:szCs w:val="32"/>
          <w:lang w:val="en-US" w:eastAsia="zh-CN"/>
        </w:rPr>
        <w:t>4144.16</w:t>
      </w:r>
      <w:r>
        <w:rPr>
          <w:rFonts w:hint="eastAsia" w:asciiTheme="minorEastAsia" w:hAnsiTheme="minorEastAsia" w:eastAsiaTheme="minorEastAsia"/>
          <w:color w:val="auto"/>
          <w:sz w:val="32"/>
          <w:szCs w:val="32"/>
        </w:rPr>
        <w:t>万元、政府采购服务支出</w:t>
      </w:r>
      <w:r>
        <w:rPr>
          <w:rFonts w:hint="eastAsia" w:asciiTheme="minorEastAsia" w:hAnsiTheme="minorEastAsia" w:eastAsiaTheme="minorEastAsia"/>
          <w:color w:val="auto"/>
          <w:sz w:val="32"/>
          <w:szCs w:val="32"/>
          <w:lang w:val="en-US" w:eastAsia="zh-CN"/>
        </w:rPr>
        <w:t>295.17</w:t>
      </w:r>
      <w:r>
        <w:rPr>
          <w:rFonts w:hint="eastAsia" w:asciiTheme="minorEastAsia" w:hAnsiTheme="minorEastAsia" w:eastAsiaTheme="minorEastAsia"/>
          <w:color w:val="auto"/>
          <w:sz w:val="32"/>
          <w:szCs w:val="32"/>
        </w:rPr>
        <w:t>万元。授予中小企业合同金额</w:t>
      </w:r>
      <w:r>
        <w:rPr>
          <w:rFonts w:hint="eastAsia" w:asciiTheme="minorEastAsia" w:hAnsiTheme="minorEastAsia" w:eastAsiaTheme="minorEastAsia"/>
          <w:color w:val="auto"/>
          <w:sz w:val="32"/>
          <w:szCs w:val="32"/>
          <w:lang w:val="en-US" w:eastAsia="zh-CN"/>
        </w:rPr>
        <w:t>4517.78</w:t>
      </w:r>
      <w:r>
        <w:rPr>
          <w:rFonts w:hint="eastAsia" w:asciiTheme="minorEastAsia" w:hAnsiTheme="minorEastAsia" w:eastAsiaTheme="minorEastAsia"/>
          <w:color w:val="auto"/>
          <w:sz w:val="32"/>
          <w:szCs w:val="32"/>
        </w:rPr>
        <w:t>万元，占政府采购支出总额的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%，其中：授予小微企业合同金额</w:t>
      </w:r>
      <w:r>
        <w:rPr>
          <w:rFonts w:hint="eastAsia" w:asciiTheme="minorEastAsia" w:hAnsiTheme="minorEastAsia" w:eastAsiaTheme="minorEastAsia"/>
          <w:color w:val="auto"/>
          <w:sz w:val="32"/>
          <w:szCs w:val="32"/>
          <w:lang w:val="en-US" w:eastAsia="zh-CN"/>
        </w:rPr>
        <w:t>727.59</w:t>
      </w:r>
      <w:r>
        <w:rPr>
          <w:rFonts w:hint="eastAsia" w:asciiTheme="minorEastAsia" w:hAnsiTheme="minorEastAsia" w:eastAsiaTheme="minorEastAsia"/>
          <w:color w:val="auto"/>
          <w:sz w:val="32"/>
          <w:szCs w:val="32"/>
        </w:rPr>
        <w:t>万元，占授予中小企业合同金额的</w:t>
      </w:r>
      <w:r>
        <w:rPr>
          <w:rFonts w:hint="eastAsia" w:asciiTheme="minorEastAsia" w:hAnsiTheme="minorEastAsia" w:eastAsiaTheme="minorEastAsia"/>
          <w:color w:val="auto"/>
          <w:sz w:val="32"/>
          <w:szCs w:val="32"/>
          <w:lang w:val="en-US" w:eastAsia="zh-CN"/>
        </w:rPr>
        <w:t>16.11</w:t>
      </w:r>
      <w:r>
        <w:rPr>
          <w:rFonts w:hint="eastAsia" w:asciiTheme="minorEastAsia" w:hAnsiTheme="minorEastAsia" w:eastAsiaTheme="minorEastAsia"/>
          <w:color w:val="auto"/>
          <w:sz w:val="32"/>
          <w:szCs w:val="32"/>
        </w:rPr>
        <w:t>%；货物采购授予中小企业合同金额占货物支出金额的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%，工程采购授予中小企业合同金额占工程支出金额的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%，服务采购授予中小企业合同金额占服务支出金额的</w:t>
      </w:r>
      <w:r>
        <w:rPr>
          <w:rFonts w:hint="eastAsia" w:asciiTheme="minorEastAsia" w:hAnsiTheme="minorEastAsia" w:eastAsiaTheme="minorEastAsia"/>
          <w:color w:val="auto"/>
          <w:sz w:val="32"/>
          <w:szCs w:val="32"/>
          <w:lang w:val="en-US" w:eastAsia="zh-CN"/>
        </w:rPr>
        <w:t>100</w:t>
      </w:r>
      <w:r>
        <w:rPr>
          <w:rFonts w:hint="eastAsia" w:asciiTheme="minorEastAsia" w:hAnsiTheme="minorEastAsia" w:eastAsiaTheme="minorEastAsia"/>
          <w:color w:val="auto"/>
          <w:sz w:val="32"/>
          <w:szCs w:val="32"/>
        </w:rPr>
        <w:t>%。</w:t>
      </w:r>
    </w:p>
    <w:p>
      <w:pPr>
        <w:pStyle w:val="12"/>
        <w:ind w:firstLine="640" w:firstLineChars="200"/>
        <w:rPr>
          <w:rFonts w:hAnsi="黑体"/>
          <w:b/>
          <w:sz w:val="32"/>
          <w:szCs w:val="32"/>
        </w:rPr>
      </w:pPr>
      <w:r>
        <w:rPr>
          <w:rFonts w:hint="eastAsia" w:hAnsi="黑体"/>
          <w:b/>
          <w:sz w:val="32"/>
          <w:szCs w:val="32"/>
        </w:rPr>
        <w:t>十二、国有资产占用情况说明</w:t>
      </w:r>
    </w:p>
    <w:p>
      <w:pPr>
        <w:pStyle w:val="12"/>
        <w:ind w:firstLine="640" w:firstLineChars="200"/>
        <w:rPr>
          <w:rFonts w:asciiTheme="minorEastAsia" w:hAnsiTheme="minorEastAsia" w:eastAsiaTheme="minorEastAsia"/>
          <w:sz w:val="32"/>
          <w:szCs w:val="32"/>
        </w:rPr>
      </w:pPr>
      <w:r>
        <w:rPr>
          <w:rFonts w:hint="eastAsia" w:asciiTheme="minorEastAsia" w:hAnsiTheme="minorEastAsia" w:eastAsiaTheme="minorEastAsia"/>
          <w:sz w:val="32"/>
          <w:szCs w:val="32"/>
        </w:rPr>
        <w:t>截至2021年12月31日，</w:t>
      </w:r>
      <w:r>
        <w:rPr>
          <w:rFonts w:hint="eastAsia" w:asciiTheme="minorEastAsia" w:hAnsiTheme="minorEastAsia" w:eastAsiaTheme="minorEastAsia"/>
          <w:sz w:val="32"/>
          <w:szCs w:val="32"/>
          <w:highlight w:val="none"/>
        </w:rPr>
        <w:t>本单位共有车辆</w:t>
      </w:r>
      <w:r>
        <w:rPr>
          <w:rFonts w:hint="eastAsia" w:asciiTheme="minorEastAsia" w:hAnsiTheme="minorEastAsia" w:eastAsiaTheme="minorEastAsia"/>
          <w:sz w:val="32"/>
          <w:szCs w:val="32"/>
          <w:highlight w:val="none"/>
          <w:lang w:val="en-US" w:eastAsia="zh-CN"/>
        </w:rPr>
        <w:t>19</w:t>
      </w:r>
      <w:r>
        <w:rPr>
          <w:rFonts w:hint="eastAsia" w:asciiTheme="minorEastAsia" w:hAnsiTheme="minorEastAsia" w:eastAsiaTheme="minorEastAsia"/>
          <w:sz w:val="32"/>
          <w:szCs w:val="32"/>
          <w:highlight w:val="none"/>
        </w:rPr>
        <w:t>辆，其中，主要领导干部用车</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辆，机要通信用车</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辆、应急保障用车</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辆、执法执勤用车</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辆、特种专业技术用车</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辆、其他用车</w:t>
      </w:r>
      <w:r>
        <w:rPr>
          <w:rFonts w:hint="eastAsia" w:asciiTheme="minorEastAsia" w:hAnsiTheme="minorEastAsia" w:eastAsiaTheme="minorEastAsia"/>
          <w:sz w:val="32"/>
          <w:szCs w:val="32"/>
          <w:highlight w:val="none"/>
          <w:lang w:val="en-US" w:eastAsia="zh-CN"/>
        </w:rPr>
        <w:t>19</w:t>
      </w:r>
      <w:r>
        <w:rPr>
          <w:rFonts w:hint="eastAsia" w:asciiTheme="minorEastAsia" w:hAnsiTheme="minorEastAsia" w:eastAsiaTheme="minorEastAsia"/>
          <w:sz w:val="32"/>
          <w:szCs w:val="32"/>
          <w:highlight w:val="none"/>
        </w:rPr>
        <w:t>辆，其他用车主要是</w:t>
      </w:r>
      <w:r>
        <w:rPr>
          <w:rFonts w:hint="eastAsia" w:asciiTheme="minorEastAsia" w:hAnsiTheme="minorEastAsia" w:eastAsiaTheme="minorEastAsia"/>
          <w:sz w:val="32"/>
          <w:szCs w:val="32"/>
          <w:highlight w:val="none"/>
          <w:lang w:eastAsia="zh-CN"/>
        </w:rPr>
        <w:t>公务用车及工程用车</w:t>
      </w:r>
      <w:r>
        <w:rPr>
          <w:rFonts w:hint="eastAsia" w:asciiTheme="minorEastAsia" w:hAnsiTheme="minorEastAsia" w:eastAsiaTheme="minorEastAsia"/>
          <w:sz w:val="32"/>
          <w:szCs w:val="32"/>
          <w:highlight w:val="none"/>
        </w:rPr>
        <w:t>；单位价值50万元以上通用设备</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台（套）；单位价值100万元以上专用设备</w:t>
      </w:r>
      <w:r>
        <w:rPr>
          <w:rFonts w:hint="eastAsia" w:asciiTheme="minorEastAsia" w:hAnsiTheme="minorEastAsia" w:eastAsiaTheme="minorEastAsia"/>
          <w:sz w:val="32"/>
          <w:szCs w:val="32"/>
          <w:highlight w:val="none"/>
          <w:lang w:val="en-US" w:eastAsia="zh-CN"/>
        </w:rPr>
        <w:t>0</w:t>
      </w:r>
      <w:r>
        <w:rPr>
          <w:rFonts w:hint="eastAsia" w:asciiTheme="minorEastAsia" w:hAnsiTheme="minorEastAsia" w:eastAsiaTheme="minorEastAsia"/>
          <w:sz w:val="32"/>
          <w:szCs w:val="32"/>
          <w:highlight w:val="none"/>
        </w:rPr>
        <w:t>台（套）</w:t>
      </w:r>
      <w:r>
        <w:rPr>
          <w:rFonts w:hint="eastAsia" w:asciiTheme="minorEastAsia" w:hAnsiTheme="minorEastAsia" w:eastAsiaTheme="minorEastAsia"/>
          <w:sz w:val="32"/>
          <w:szCs w:val="32"/>
        </w:rPr>
        <w:t>。</w:t>
      </w:r>
    </w:p>
    <w:p>
      <w:pPr>
        <w:pStyle w:val="12"/>
        <w:ind w:firstLine="640" w:firstLineChars="200"/>
        <w:rPr>
          <w:rFonts w:hAnsi="黑体"/>
          <w:b/>
          <w:sz w:val="32"/>
          <w:szCs w:val="32"/>
        </w:rPr>
      </w:pPr>
      <w:r>
        <w:rPr>
          <w:rFonts w:hint="eastAsia" w:hAnsi="黑体"/>
          <w:b/>
          <w:sz w:val="32"/>
          <w:szCs w:val="32"/>
        </w:rPr>
        <w:t>十三、2021年度预算绩效情况说明</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b/>
          <w:color w:val="auto"/>
          <w:kern w:val="0"/>
          <w:sz w:val="32"/>
          <w:szCs w:val="32"/>
        </w:rPr>
        <w:t>（1）绩效管理评价工作开展情况</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hint="eastAsia" w:cs="黑体" w:asciiTheme="minorEastAsia" w:hAnsiTheme="minorEastAsia"/>
          <w:color w:val="auto"/>
          <w:kern w:val="0"/>
          <w:sz w:val="32"/>
          <w:szCs w:val="32"/>
        </w:rPr>
      </w:pPr>
      <w:r>
        <w:rPr>
          <w:rFonts w:hint="eastAsia" w:cs="黑体" w:asciiTheme="minorEastAsia" w:hAnsiTheme="minorEastAsia"/>
          <w:color w:val="auto"/>
          <w:kern w:val="0"/>
          <w:sz w:val="32"/>
          <w:szCs w:val="32"/>
        </w:rPr>
        <w:t>根据预算绩效管理要求，我部门组织对</w:t>
      </w:r>
      <w:r>
        <w:rPr>
          <w:rFonts w:cs="黑体" w:asciiTheme="minorEastAsia" w:hAnsiTheme="minorEastAsia"/>
          <w:color w:val="auto"/>
          <w:kern w:val="0"/>
          <w:sz w:val="32"/>
          <w:szCs w:val="32"/>
        </w:rPr>
        <w:t>2021</w:t>
      </w:r>
      <w:r>
        <w:rPr>
          <w:rFonts w:hint="eastAsia" w:cs="黑体" w:asciiTheme="minorEastAsia" w:hAnsiTheme="minorEastAsia"/>
          <w:color w:val="auto"/>
          <w:kern w:val="0"/>
          <w:sz w:val="32"/>
          <w:szCs w:val="32"/>
        </w:rPr>
        <w:t>年度一般公共预算项目支出全面开展绩效自评，其中，一级项目</w:t>
      </w:r>
      <w:r>
        <w:rPr>
          <w:rFonts w:hint="eastAsia" w:cs="黑体" w:asciiTheme="minorEastAsia" w:hAnsiTheme="minorEastAsia"/>
          <w:color w:val="auto"/>
          <w:kern w:val="0"/>
          <w:sz w:val="32"/>
          <w:szCs w:val="32"/>
          <w:lang w:val="en-US" w:eastAsia="zh-CN"/>
        </w:rPr>
        <w:t>0</w:t>
      </w:r>
      <w:r>
        <w:rPr>
          <w:rFonts w:hint="eastAsia" w:cs="黑体" w:asciiTheme="minorEastAsia" w:hAnsiTheme="minorEastAsia"/>
          <w:color w:val="auto"/>
          <w:kern w:val="0"/>
          <w:sz w:val="32"/>
          <w:szCs w:val="32"/>
        </w:rPr>
        <w:t>个，二级项目</w:t>
      </w:r>
      <w:r>
        <w:rPr>
          <w:rFonts w:hint="eastAsia" w:cs="黑体" w:asciiTheme="minorEastAsia" w:hAnsiTheme="minorEastAsia"/>
          <w:color w:val="auto"/>
          <w:kern w:val="0"/>
          <w:sz w:val="32"/>
          <w:szCs w:val="32"/>
          <w:lang w:val="en-US" w:eastAsia="zh-CN"/>
        </w:rPr>
        <w:t>6</w:t>
      </w:r>
      <w:r>
        <w:rPr>
          <w:rFonts w:hint="eastAsia" w:cs="黑体" w:asciiTheme="minorEastAsia" w:hAnsiTheme="minorEastAsia"/>
          <w:color w:val="auto"/>
          <w:kern w:val="0"/>
          <w:sz w:val="32"/>
          <w:szCs w:val="32"/>
        </w:rPr>
        <w:t>个，共涉及资金</w:t>
      </w:r>
      <w:r>
        <w:rPr>
          <w:rFonts w:hint="eastAsia" w:cs="黑体" w:asciiTheme="minorEastAsia" w:hAnsiTheme="minorEastAsia"/>
          <w:color w:val="auto"/>
          <w:kern w:val="0"/>
          <w:sz w:val="32"/>
          <w:szCs w:val="32"/>
          <w:lang w:val="en-US" w:eastAsia="zh-CN"/>
        </w:rPr>
        <w:t>1022.78</w:t>
      </w:r>
      <w:r>
        <w:rPr>
          <w:rFonts w:hint="eastAsia" w:cs="黑体" w:asciiTheme="minorEastAsia" w:hAnsiTheme="minorEastAsia"/>
          <w:color w:val="auto"/>
          <w:kern w:val="0"/>
          <w:sz w:val="32"/>
          <w:szCs w:val="32"/>
        </w:rPr>
        <w:t>万元，占一般公共预算项目支出总额的</w:t>
      </w:r>
      <w:r>
        <w:rPr>
          <w:rFonts w:hint="eastAsia" w:cs="黑体" w:asciiTheme="minorEastAsia" w:hAnsiTheme="minorEastAsia"/>
          <w:color w:val="auto"/>
          <w:kern w:val="0"/>
          <w:sz w:val="32"/>
          <w:szCs w:val="32"/>
          <w:lang w:val="en-US" w:eastAsia="zh-CN"/>
        </w:rPr>
        <w:t>27.14</w:t>
      </w:r>
      <w:r>
        <w:rPr>
          <w:rFonts w:cs="黑体" w:asciiTheme="minorEastAsia" w:hAnsiTheme="minorEastAsia"/>
          <w:color w:val="auto"/>
          <w:kern w:val="0"/>
          <w:sz w:val="32"/>
          <w:szCs w:val="32"/>
        </w:rPr>
        <w:t>%</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rPr>
        <w:t>组织对“交通项目前期经费”“交通安全生产工作经费”</w:t>
      </w:r>
      <w:r>
        <w:rPr>
          <w:rFonts w:hint="eastAsia" w:cs="黑体" w:asciiTheme="minorEastAsia" w:hAnsiTheme="minorEastAsia"/>
          <w:color w:val="auto"/>
          <w:kern w:val="0"/>
          <w:sz w:val="32"/>
          <w:szCs w:val="32"/>
          <w:lang w:eastAsia="zh-CN"/>
        </w:rPr>
        <w:t>“打击非法营运”“农村公路养护”“客货运输市场管理项目”“干线公路日常养护支出</w:t>
      </w:r>
      <w:r>
        <w:rPr>
          <w:rFonts w:hint="default" w:cs="黑体" w:asciiTheme="minorEastAsia" w:hAnsiTheme="minorEastAsia"/>
          <w:color w:val="auto"/>
          <w:kern w:val="0"/>
          <w:sz w:val="32"/>
          <w:szCs w:val="32"/>
          <w:lang w:val="en-US" w:eastAsia="zh-CN"/>
        </w:rPr>
        <w:t>”</w:t>
      </w:r>
      <w:r>
        <w:rPr>
          <w:rFonts w:hint="eastAsia" w:cs="黑体" w:asciiTheme="minorEastAsia" w:hAnsiTheme="minorEastAsia"/>
          <w:color w:val="auto"/>
          <w:kern w:val="0"/>
          <w:sz w:val="32"/>
          <w:szCs w:val="32"/>
        </w:rPr>
        <w:t>等</w:t>
      </w:r>
      <w:r>
        <w:rPr>
          <w:rFonts w:hint="eastAsia" w:cs="黑体" w:asciiTheme="minorEastAsia" w:hAnsiTheme="minorEastAsia"/>
          <w:color w:val="auto"/>
          <w:kern w:val="0"/>
          <w:sz w:val="32"/>
          <w:szCs w:val="32"/>
          <w:lang w:val="en-US" w:eastAsia="zh-CN"/>
        </w:rPr>
        <w:t>6</w:t>
      </w:r>
      <w:r>
        <w:rPr>
          <w:rFonts w:hint="eastAsia" w:cs="黑体" w:asciiTheme="minorEastAsia" w:hAnsiTheme="minorEastAsia"/>
          <w:color w:val="auto"/>
          <w:kern w:val="0"/>
          <w:sz w:val="32"/>
          <w:szCs w:val="32"/>
        </w:rPr>
        <w:t>个项目开展了部门评价，涉及一般公共预算支出</w:t>
      </w:r>
      <w:r>
        <w:rPr>
          <w:rFonts w:hint="eastAsia" w:cs="黑体" w:asciiTheme="minorEastAsia" w:hAnsiTheme="minorEastAsia"/>
          <w:color w:val="auto"/>
          <w:kern w:val="0"/>
          <w:sz w:val="32"/>
          <w:szCs w:val="32"/>
          <w:lang w:val="en-US" w:eastAsia="zh-CN"/>
        </w:rPr>
        <w:t>1022.78</w:t>
      </w:r>
      <w:r>
        <w:rPr>
          <w:rFonts w:hint="eastAsia" w:cs="黑体" w:asciiTheme="minorEastAsia" w:hAnsiTheme="minorEastAsia"/>
          <w:color w:val="auto"/>
          <w:kern w:val="0"/>
          <w:sz w:val="32"/>
          <w:szCs w:val="32"/>
        </w:rPr>
        <w:t>万元。从评价情况来看，</w:t>
      </w:r>
      <w:r>
        <w:rPr>
          <w:rFonts w:hint="eastAsia" w:cs="黑体" w:asciiTheme="minorEastAsia" w:hAnsiTheme="minorEastAsia"/>
          <w:color w:val="auto"/>
          <w:kern w:val="0"/>
          <w:sz w:val="32"/>
          <w:szCs w:val="32"/>
          <w:lang w:val="en-US" w:eastAsia="zh-CN"/>
        </w:rPr>
        <w:t>绩效评价结果良好</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rPr>
        <w:t>组织对“</w:t>
      </w:r>
      <w:r>
        <w:rPr>
          <w:rFonts w:hint="eastAsia" w:cs="黑体" w:asciiTheme="minorEastAsia" w:hAnsiTheme="minorEastAsia"/>
          <w:color w:val="auto"/>
          <w:kern w:val="0"/>
          <w:sz w:val="32"/>
          <w:szCs w:val="32"/>
          <w:lang w:val="en-US" w:eastAsia="zh-CN"/>
        </w:rPr>
        <w:t>湘乡市交通运输局</w:t>
      </w:r>
      <w:r>
        <w:rPr>
          <w:rFonts w:hint="eastAsia" w:cs="黑体" w:asciiTheme="minorEastAsia" w:hAnsiTheme="minorEastAsia"/>
          <w:color w:val="auto"/>
          <w:kern w:val="0"/>
          <w:sz w:val="32"/>
          <w:szCs w:val="32"/>
        </w:rPr>
        <w:t>”等</w:t>
      </w:r>
      <w:r>
        <w:rPr>
          <w:rFonts w:hint="eastAsia" w:cs="黑体" w:asciiTheme="minorEastAsia" w:hAnsiTheme="minorEastAsia"/>
          <w:color w:val="auto"/>
          <w:kern w:val="0"/>
          <w:sz w:val="32"/>
          <w:szCs w:val="32"/>
          <w:lang w:val="en-US" w:eastAsia="zh-CN"/>
        </w:rPr>
        <w:t>1</w:t>
      </w:r>
      <w:r>
        <w:rPr>
          <w:rFonts w:hint="eastAsia" w:cs="黑体" w:asciiTheme="minorEastAsia" w:hAnsiTheme="minorEastAsia"/>
          <w:color w:val="auto"/>
          <w:kern w:val="0"/>
          <w:sz w:val="32"/>
          <w:szCs w:val="32"/>
        </w:rPr>
        <w:t>个单位开展整体支出绩效评价，涉及一般公共预算支出</w:t>
      </w:r>
      <w:r>
        <w:rPr>
          <w:rFonts w:hint="eastAsia" w:cs="黑体" w:asciiTheme="minorEastAsia" w:hAnsiTheme="minorEastAsia"/>
          <w:color w:val="auto"/>
          <w:kern w:val="0"/>
          <w:sz w:val="32"/>
          <w:szCs w:val="32"/>
          <w:lang w:val="en-US" w:eastAsia="zh-CN"/>
        </w:rPr>
        <w:t>8,327.58</w:t>
      </w:r>
      <w:r>
        <w:rPr>
          <w:rFonts w:hint="eastAsia" w:cs="黑体" w:asciiTheme="minorEastAsia" w:hAnsiTheme="minorEastAsia"/>
          <w:color w:val="auto"/>
          <w:kern w:val="0"/>
          <w:sz w:val="32"/>
          <w:szCs w:val="32"/>
        </w:rPr>
        <w:t>万元，政府性基金预算支出</w:t>
      </w:r>
      <w:r>
        <w:rPr>
          <w:rFonts w:hint="eastAsia" w:cs="黑体" w:asciiTheme="minorEastAsia" w:hAnsiTheme="minorEastAsia"/>
          <w:color w:val="auto"/>
          <w:kern w:val="0"/>
          <w:sz w:val="32"/>
          <w:szCs w:val="32"/>
          <w:lang w:val="en-US" w:eastAsia="zh-CN"/>
        </w:rPr>
        <w:t>348.98</w:t>
      </w:r>
      <w:r>
        <w:rPr>
          <w:rFonts w:hint="eastAsia" w:cs="黑体" w:asciiTheme="minorEastAsia" w:hAnsiTheme="minorEastAsia"/>
          <w:color w:val="auto"/>
          <w:kern w:val="0"/>
          <w:sz w:val="32"/>
          <w:szCs w:val="32"/>
        </w:rPr>
        <w:t>万元。从评价情况来看，</w:t>
      </w:r>
      <w:r>
        <w:rPr>
          <w:rFonts w:hint="eastAsia" w:cs="黑体" w:asciiTheme="minorEastAsia" w:hAnsiTheme="minorEastAsia"/>
          <w:color w:val="auto"/>
          <w:kern w:val="0"/>
          <w:sz w:val="32"/>
          <w:szCs w:val="32"/>
          <w:lang w:val="en-US" w:eastAsia="zh-CN"/>
        </w:rPr>
        <w:t>绩效评价结果良好</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cs="黑体" w:asciiTheme="minorEastAsia" w:hAnsiTheme="minorEastAsia"/>
          <w:b/>
          <w:color w:val="auto"/>
          <w:kern w:val="0"/>
          <w:sz w:val="32"/>
          <w:szCs w:val="32"/>
        </w:rPr>
      </w:pPr>
      <w:r>
        <w:rPr>
          <w:rFonts w:hint="eastAsia" w:cs="黑体" w:asciiTheme="minorEastAsia" w:hAnsiTheme="minorEastAsia"/>
          <w:b/>
          <w:color w:val="auto"/>
          <w:kern w:val="0"/>
          <w:sz w:val="32"/>
          <w:szCs w:val="32"/>
        </w:rPr>
        <w:t>（2）部门决算中项目绩效自评结果（如有）。</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rPr>
        <w:t>“交通项目前期经费”项目绩效自评综述：根据年初设定的绩效目标，项目绩效自评得分为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70</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63.99</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91.41</w:t>
      </w:r>
      <w:r>
        <w:rPr>
          <w:rFonts w:cs="黑体" w:asciiTheme="minorEastAsia" w:hAnsiTheme="minorEastAsia"/>
          <w:color w:val="auto"/>
          <w:kern w:val="0"/>
          <w:sz w:val="32"/>
          <w:szCs w:val="32"/>
        </w:rPr>
        <w:t>%</w:t>
      </w:r>
      <w:r>
        <w:rPr>
          <w:rFonts w:hint="eastAsia" w:cs="黑体" w:asciiTheme="minorEastAsia" w:hAnsiTheme="minorEastAsia"/>
          <w:color w:val="auto"/>
          <w:kern w:val="0"/>
          <w:sz w:val="32"/>
          <w:szCs w:val="32"/>
        </w:rPr>
        <w:t>。项目绩效目标完成情况：一是完成韶峰南方物流大道立项及初步设计；二是益娄高速壶天镇涧山互通开展设计</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三是G240湘乡至湘潭县青山桥公路（湘乡段工程可行性研究报告）</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rPr>
        <w:t>“交通项目前期经费”项目绩效自评综述：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rPr>
        <w:t>“交通安全生产工作经费”项目绩效自评综述：根据年初设定的绩效目标，项目绩效自评得分为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60</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55.06</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91.76</w:t>
      </w:r>
      <w:r>
        <w:rPr>
          <w:rFonts w:cs="黑体" w:asciiTheme="minorEastAsia" w:hAnsiTheme="minorEastAsia"/>
          <w:color w:val="auto"/>
          <w:kern w:val="0"/>
          <w:sz w:val="32"/>
          <w:szCs w:val="32"/>
        </w:rPr>
        <w:t>%</w:t>
      </w:r>
      <w:r>
        <w:rPr>
          <w:rFonts w:hint="eastAsia" w:cs="黑体" w:asciiTheme="minorEastAsia" w:hAnsiTheme="minorEastAsia"/>
          <w:color w:val="auto"/>
          <w:kern w:val="0"/>
          <w:sz w:val="32"/>
          <w:szCs w:val="32"/>
        </w:rPr>
        <w:t>。项目绩效目标完成情况：一是召开安全例会4次；二是组织安全监督人员培训2次</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三是开展宣传活动2次；四是进行安全检查督查24次；五是制定应安全事故急预案；六是组织专项行动5次；七是开展“强执法防事故”专项行动</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rPr>
        <w:t>“交通安全生产工作经费”项目绩效自评综述：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lang w:eastAsia="zh-CN"/>
        </w:rPr>
        <w:t>“打击非法营运”</w:t>
      </w:r>
      <w:r>
        <w:rPr>
          <w:rFonts w:hint="eastAsia" w:cs="黑体" w:asciiTheme="minorEastAsia" w:hAnsiTheme="minorEastAsia"/>
          <w:color w:val="auto"/>
          <w:kern w:val="0"/>
          <w:sz w:val="32"/>
          <w:szCs w:val="32"/>
        </w:rPr>
        <w:t>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43</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40.63</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94.48</w:t>
      </w:r>
      <w:r>
        <w:rPr>
          <w:rFonts w:cs="黑体" w:asciiTheme="minorEastAsia" w:hAnsiTheme="minorEastAsia"/>
          <w:color w:val="auto"/>
          <w:kern w:val="0"/>
          <w:sz w:val="32"/>
          <w:szCs w:val="32"/>
        </w:rPr>
        <w:t>%</w:t>
      </w:r>
      <w:r>
        <w:rPr>
          <w:rFonts w:hint="eastAsia" w:cs="黑体" w:asciiTheme="minorEastAsia" w:hAnsiTheme="minorEastAsia"/>
          <w:color w:val="auto"/>
          <w:kern w:val="0"/>
          <w:sz w:val="32"/>
          <w:szCs w:val="32"/>
        </w:rPr>
        <w:t>。项目绩效目标完成情况：一是超限超载执法检测处查处</w:t>
      </w:r>
      <w:r>
        <w:rPr>
          <w:rFonts w:hint="eastAsia" w:cs="黑体" w:asciiTheme="minorEastAsia" w:hAnsiTheme="minorEastAsia"/>
          <w:color w:val="auto"/>
          <w:kern w:val="0"/>
          <w:sz w:val="32"/>
          <w:szCs w:val="32"/>
          <w:lang w:val="en-US" w:eastAsia="zh-CN"/>
        </w:rPr>
        <w:t>685</w:t>
      </w:r>
      <w:r>
        <w:rPr>
          <w:rFonts w:hint="eastAsia" w:cs="黑体" w:asciiTheme="minorEastAsia" w:hAnsiTheme="minorEastAsia"/>
          <w:color w:val="auto"/>
          <w:kern w:val="0"/>
          <w:sz w:val="32"/>
          <w:szCs w:val="32"/>
        </w:rPr>
        <w:t>台次；二是非现场执法查处8</w:t>
      </w:r>
      <w:r>
        <w:rPr>
          <w:rFonts w:hint="eastAsia" w:cs="黑体" w:asciiTheme="minorEastAsia" w:hAnsiTheme="minorEastAsia"/>
          <w:color w:val="auto"/>
          <w:kern w:val="0"/>
          <w:sz w:val="32"/>
          <w:szCs w:val="32"/>
          <w:lang w:val="en-US" w:eastAsia="zh-CN"/>
        </w:rPr>
        <w:t>71</w:t>
      </w:r>
      <w:r>
        <w:rPr>
          <w:rFonts w:hint="eastAsia" w:cs="黑体" w:asciiTheme="minorEastAsia" w:hAnsiTheme="minorEastAsia"/>
          <w:color w:val="auto"/>
          <w:kern w:val="0"/>
          <w:sz w:val="32"/>
          <w:szCs w:val="32"/>
        </w:rPr>
        <w:t>台次</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三是重点监管车辆处罚226台次；四是《打击非法营运台账》处罚154台次；五是2021年安全生产“打非治违”1936起，经济处罚377.393万元；六是开展培训班2期</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“打击非法营运”</w:t>
      </w:r>
      <w:r>
        <w:rPr>
          <w:rFonts w:hint="eastAsia" w:cs="黑体" w:asciiTheme="minorEastAsia" w:hAnsiTheme="minorEastAsia"/>
          <w:color w:val="auto"/>
          <w:kern w:val="0"/>
          <w:sz w:val="32"/>
          <w:szCs w:val="32"/>
        </w:rPr>
        <w:t>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color w:val="auto"/>
          <w:kern w:val="0"/>
          <w:sz w:val="32"/>
          <w:szCs w:val="32"/>
          <w:lang w:eastAsia="zh-CN"/>
        </w:rPr>
        <w:t>“农村公路养护”</w:t>
      </w:r>
      <w:r>
        <w:rPr>
          <w:rFonts w:hint="eastAsia" w:cs="黑体" w:asciiTheme="minorEastAsia" w:hAnsiTheme="minorEastAsia"/>
          <w:color w:val="auto"/>
          <w:kern w:val="0"/>
          <w:sz w:val="32"/>
          <w:szCs w:val="32"/>
        </w:rPr>
        <w:t>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680</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635.4</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93.44%</w:t>
      </w:r>
      <w:r>
        <w:rPr>
          <w:rFonts w:hint="eastAsia" w:cs="黑体" w:asciiTheme="minorEastAsia" w:hAnsiTheme="minorEastAsia"/>
          <w:color w:val="auto"/>
          <w:kern w:val="0"/>
          <w:sz w:val="32"/>
          <w:szCs w:val="32"/>
        </w:rPr>
        <w:t>。项目绩效目标完成情况：一是管养县道503.707公里</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rPr>
        <w:t>养护乡道700.925公里，村道1966.355公里；二是2021年完成改造危桥7座，安保工程173.2公里，资源路、产业路和旅游路35.37公里，农村公路建设150公里</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三是新升普通公路生命防护工作建设安全隐患整治项目（湘乡市220处）；四是县道绿化率98.3%，乡道绿化率90%；五是填平保通25处</w:t>
      </w:r>
      <w:r>
        <w:rPr>
          <w:rFonts w:hint="eastAsia" w:cs="黑体" w:asciiTheme="minorEastAsia" w:hAnsiTheme="minorEastAsia"/>
          <w:color w:val="auto"/>
          <w:kern w:val="0"/>
          <w:sz w:val="32"/>
          <w:szCs w:val="32"/>
        </w:rPr>
        <w:t>。</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“农村公路养护”</w:t>
      </w:r>
      <w:r>
        <w:rPr>
          <w:rFonts w:hint="eastAsia" w:cs="黑体" w:asciiTheme="minorEastAsia" w:hAnsiTheme="minorEastAsia"/>
          <w:color w:val="auto"/>
          <w:kern w:val="0"/>
          <w:sz w:val="32"/>
          <w:szCs w:val="32"/>
        </w:rPr>
        <w:t>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“客货运输市场管理项目”</w:t>
      </w:r>
      <w:r>
        <w:rPr>
          <w:rFonts w:hint="eastAsia" w:cs="黑体" w:asciiTheme="minorEastAsia" w:hAnsiTheme="minorEastAsia"/>
          <w:color w:val="auto"/>
          <w:kern w:val="0"/>
          <w:sz w:val="32"/>
          <w:szCs w:val="32"/>
        </w:rPr>
        <w:t>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68</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62.8</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92.35%</w:t>
      </w:r>
      <w:r>
        <w:rPr>
          <w:rFonts w:hint="eastAsia" w:cs="黑体" w:asciiTheme="minorEastAsia" w:hAnsiTheme="minorEastAsia"/>
          <w:color w:val="auto"/>
          <w:kern w:val="0"/>
          <w:sz w:val="32"/>
          <w:szCs w:val="32"/>
        </w:rPr>
        <w:t>。项目绩效目标完成情况：一是查处871台次，重点监管车辆处罚226台次，处罚154台次；二是继续教育培训人员793人</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三是新考道路运输驾驶员282人；四是开展安全“隐患清零”行动；五是对22家货物运输企业、3家机动车培训学校、5家出租汽车企业、1家公共交通运输企业开展质量信誉考核。</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“客货运输市场管理项目”</w:t>
      </w:r>
      <w:r>
        <w:rPr>
          <w:rFonts w:hint="eastAsia" w:cs="黑体" w:asciiTheme="minorEastAsia" w:hAnsiTheme="minorEastAsia"/>
          <w:color w:val="auto"/>
          <w:kern w:val="0"/>
          <w:sz w:val="32"/>
          <w:szCs w:val="32"/>
        </w:rPr>
        <w:t>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“干线公路日常养护支出</w:t>
      </w:r>
      <w:r>
        <w:rPr>
          <w:rFonts w:hint="default" w:cs="黑体" w:asciiTheme="minorEastAsia" w:hAnsiTheme="minorEastAsia"/>
          <w:color w:val="auto"/>
          <w:kern w:val="0"/>
          <w:sz w:val="32"/>
          <w:szCs w:val="32"/>
          <w:lang w:val="en-US" w:eastAsia="zh-CN"/>
        </w:rPr>
        <w:t>”</w:t>
      </w:r>
      <w:r>
        <w:rPr>
          <w:rFonts w:hint="eastAsia" w:cs="黑体" w:asciiTheme="minorEastAsia" w:hAnsiTheme="minorEastAsia"/>
          <w:color w:val="auto"/>
          <w:kern w:val="0"/>
          <w:sz w:val="32"/>
          <w:szCs w:val="32"/>
        </w:rPr>
        <w:t>项目绩效自评综述：根据年初设定的绩效目标，项目绩效自评得分为</w:t>
      </w:r>
      <w:r>
        <w:rPr>
          <w:rFonts w:hint="eastAsia" w:cs="黑体" w:asciiTheme="minorEastAsia" w:hAnsiTheme="minorEastAsia"/>
          <w:color w:val="auto"/>
          <w:kern w:val="0"/>
          <w:sz w:val="32"/>
          <w:szCs w:val="32"/>
          <w:lang w:val="en-US" w:eastAsia="zh-CN"/>
        </w:rPr>
        <w:t>97</w:t>
      </w:r>
      <w:r>
        <w:rPr>
          <w:rFonts w:hint="eastAsia" w:cs="黑体" w:asciiTheme="minorEastAsia" w:hAnsiTheme="minorEastAsia"/>
          <w:color w:val="auto"/>
          <w:kern w:val="0"/>
          <w:sz w:val="32"/>
          <w:szCs w:val="32"/>
        </w:rPr>
        <w:t>分。项目全年预算数为</w:t>
      </w:r>
      <w:r>
        <w:rPr>
          <w:rFonts w:hint="eastAsia" w:cs="黑体" w:asciiTheme="minorEastAsia" w:hAnsiTheme="minorEastAsia"/>
          <w:color w:val="auto"/>
          <w:kern w:val="0"/>
          <w:sz w:val="32"/>
          <w:szCs w:val="32"/>
          <w:lang w:val="en-US" w:eastAsia="zh-CN"/>
        </w:rPr>
        <w:t>180</w:t>
      </w:r>
      <w:r>
        <w:rPr>
          <w:rFonts w:hint="eastAsia" w:cs="黑体" w:asciiTheme="minorEastAsia" w:hAnsiTheme="minorEastAsia"/>
          <w:color w:val="auto"/>
          <w:kern w:val="0"/>
          <w:sz w:val="32"/>
          <w:szCs w:val="32"/>
        </w:rPr>
        <w:t>万元，执行数为</w:t>
      </w:r>
      <w:r>
        <w:rPr>
          <w:rFonts w:hint="eastAsia" w:cs="黑体" w:asciiTheme="minorEastAsia" w:hAnsiTheme="minorEastAsia"/>
          <w:color w:val="auto"/>
          <w:kern w:val="0"/>
          <w:sz w:val="32"/>
          <w:szCs w:val="32"/>
          <w:lang w:val="en-US" w:eastAsia="zh-CN"/>
        </w:rPr>
        <w:t>164.9</w:t>
      </w:r>
      <w:r>
        <w:rPr>
          <w:rFonts w:hint="eastAsia" w:cs="黑体" w:asciiTheme="minorEastAsia" w:hAnsiTheme="minorEastAsia"/>
          <w:color w:val="auto"/>
          <w:kern w:val="0"/>
          <w:sz w:val="32"/>
          <w:szCs w:val="32"/>
        </w:rPr>
        <w:t>万元，完成预算的</w:t>
      </w:r>
      <w:r>
        <w:rPr>
          <w:rFonts w:hint="eastAsia" w:cs="黑体" w:asciiTheme="minorEastAsia" w:hAnsiTheme="minorEastAsia"/>
          <w:color w:val="auto"/>
          <w:kern w:val="0"/>
          <w:sz w:val="32"/>
          <w:szCs w:val="32"/>
          <w:lang w:val="en-US" w:eastAsia="zh-CN"/>
        </w:rPr>
        <w:t>91.61%</w:t>
      </w:r>
      <w:r>
        <w:rPr>
          <w:rFonts w:hint="eastAsia" w:cs="黑体" w:asciiTheme="minorEastAsia" w:hAnsiTheme="minorEastAsia"/>
          <w:color w:val="auto"/>
          <w:kern w:val="0"/>
          <w:sz w:val="32"/>
          <w:szCs w:val="32"/>
        </w:rPr>
        <w:t>。项目绩效目标完成情况：一是管养国道4条，140.662公里；二是管养省道7条250.989公里</w:t>
      </w:r>
      <w:r>
        <w:rPr>
          <w:rFonts w:hint="eastAsia" w:cs="黑体" w:asciiTheme="minorEastAsia" w:hAnsiTheme="minorEastAsia"/>
          <w:color w:val="auto"/>
          <w:kern w:val="0"/>
          <w:sz w:val="32"/>
          <w:szCs w:val="32"/>
          <w:lang w:eastAsia="zh-CN"/>
        </w:rPr>
        <w:t>；</w:t>
      </w:r>
      <w:r>
        <w:rPr>
          <w:rFonts w:hint="eastAsia" w:cs="黑体" w:asciiTheme="minorEastAsia" w:hAnsiTheme="minorEastAsia"/>
          <w:color w:val="auto"/>
          <w:kern w:val="0"/>
          <w:sz w:val="32"/>
          <w:szCs w:val="32"/>
          <w:lang w:val="en-US" w:eastAsia="zh-CN"/>
        </w:rPr>
        <w:t>三是完成国省道自然灾害综合风险公路承灾体普查；四是湘乡市桥梁系统技术状况评定50座；五是完成48个小修项目。</w:t>
      </w:r>
    </w:p>
    <w:p>
      <w:pPr>
        <w:autoSpaceDE w:val="0"/>
        <w:autoSpaceDN w:val="0"/>
        <w:adjustRightInd w:val="0"/>
        <w:ind w:firstLine="640" w:firstLineChars="200"/>
        <w:jc w:val="left"/>
        <w:rPr>
          <w:rFonts w:hint="eastAsia"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“干线公路日常养护支出</w:t>
      </w:r>
      <w:r>
        <w:rPr>
          <w:rFonts w:hint="default" w:cs="黑体" w:asciiTheme="minorEastAsia" w:hAnsiTheme="minorEastAsia"/>
          <w:color w:val="auto"/>
          <w:kern w:val="0"/>
          <w:sz w:val="32"/>
          <w:szCs w:val="32"/>
          <w:lang w:val="en-US" w:eastAsia="zh-CN"/>
        </w:rPr>
        <w:t>”</w:t>
      </w:r>
      <w:r>
        <w:rPr>
          <w:rFonts w:hint="eastAsia" w:cs="黑体" w:asciiTheme="minorEastAsia" w:hAnsiTheme="minorEastAsia"/>
          <w:color w:val="auto"/>
          <w:kern w:val="0"/>
          <w:sz w:val="32"/>
          <w:szCs w:val="32"/>
        </w:rPr>
        <w:t>项目绩效自评综述：</w:t>
      </w:r>
      <w:r>
        <w:rPr>
          <w:rFonts w:hint="eastAsia" w:cs="黑体" w:asciiTheme="minorEastAsia" w:hAnsiTheme="minorEastAsia"/>
          <w:color w:val="auto"/>
          <w:kern w:val="0"/>
          <w:sz w:val="32"/>
          <w:szCs w:val="32"/>
          <w:lang w:val="en-US" w:eastAsia="zh-CN"/>
        </w:rPr>
        <w:t>绩效评价结果良好，完成年初设定目标。</w:t>
      </w:r>
    </w:p>
    <w:p>
      <w:pPr>
        <w:autoSpaceDE w:val="0"/>
        <w:autoSpaceDN w:val="0"/>
        <w:adjustRightInd w:val="0"/>
        <w:ind w:firstLine="640" w:firstLineChars="200"/>
        <w:jc w:val="left"/>
        <w:rPr>
          <w:rFonts w:cs="黑体" w:asciiTheme="minorEastAsia" w:hAnsiTheme="minorEastAsia"/>
          <w:color w:val="auto"/>
          <w:kern w:val="0"/>
          <w:sz w:val="32"/>
          <w:szCs w:val="32"/>
        </w:rPr>
      </w:pPr>
      <w:r>
        <w:rPr>
          <w:rFonts w:hint="eastAsia" w:cs="黑体" w:asciiTheme="minorEastAsia" w:hAnsiTheme="minorEastAsia"/>
          <w:b/>
          <w:color w:val="auto"/>
          <w:kern w:val="0"/>
          <w:sz w:val="32"/>
          <w:szCs w:val="32"/>
        </w:rPr>
        <w:t>（</w:t>
      </w:r>
      <w:r>
        <w:rPr>
          <w:rFonts w:cs="黑体" w:asciiTheme="minorEastAsia" w:hAnsiTheme="minorEastAsia"/>
          <w:b/>
          <w:color w:val="auto"/>
          <w:kern w:val="0"/>
          <w:sz w:val="32"/>
          <w:szCs w:val="32"/>
        </w:rPr>
        <w:t>3</w:t>
      </w:r>
      <w:r>
        <w:rPr>
          <w:rFonts w:hint="eastAsia" w:cs="黑体" w:asciiTheme="minorEastAsia" w:hAnsiTheme="minorEastAsia"/>
          <w:b/>
          <w:color w:val="auto"/>
          <w:kern w:val="0"/>
          <w:sz w:val="32"/>
          <w:szCs w:val="32"/>
        </w:rPr>
        <w:t>）部门评价项目绩效评价结果。</w:t>
      </w:r>
    </w:p>
    <w:p>
      <w:pPr>
        <w:autoSpaceDE w:val="0"/>
        <w:autoSpaceDN w:val="0"/>
        <w:adjustRightInd w:val="0"/>
        <w:ind w:firstLine="640" w:firstLineChars="200"/>
        <w:jc w:val="left"/>
        <w:rPr>
          <w:rFonts w:hint="default" w:cs="黑体" w:asciiTheme="minorEastAsia" w:hAnsiTheme="minorEastAsia"/>
          <w:color w:val="auto"/>
          <w:kern w:val="0"/>
          <w:sz w:val="32"/>
          <w:szCs w:val="32"/>
          <w:lang w:val="en-US" w:eastAsia="zh-CN"/>
        </w:rPr>
      </w:pPr>
      <w:r>
        <w:rPr>
          <w:rFonts w:hint="eastAsia" w:cs="黑体" w:asciiTheme="minorEastAsia" w:hAnsiTheme="minorEastAsia"/>
          <w:color w:val="auto"/>
          <w:kern w:val="0"/>
          <w:sz w:val="32"/>
          <w:szCs w:val="32"/>
          <w:lang w:eastAsia="zh-CN"/>
        </w:rPr>
        <w:t>部门评价项目数量</w:t>
      </w:r>
      <w:r>
        <w:rPr>
          <w:rFonts w:hint="eastAsia" w:cs="黑体" w:asciiTheme="minorEastAsia" w:hAnsiTheme="minorEastAsia"/>
          <w:color w:val="auto"/>
          <w:kern w:val="0"/>
          <w:sz w:val="32"/>
          <w:szCs w:val="32"/>
          <w:lang w:val="en-US" w:eastAsia="zh-CN"/>
        </w:rPr>
        <w:t>6</w:t>
      </w:r>
      <w:r>
        <w:rPr>
          <w:rFonts w:hint="eastAsia" w:cs="黑体" w:asciiTheme="minorEastAsia" w:hAnsiTheme="minorEastAsia"/>
          <w:color w:val="auto"/>
          <w:kern w:val="0"/>
          <w:sz w:val="32"/>
          <w:szCs w:val="32"/>
          <w:lang w:eastAsia="zh-CN"/>
        </w:rPr>
        <w:t>个以内的，</w:t>
      </w:r>
      <w:r>
        <w:rPr>
          <w:rFonts w:hint="eastAsia" w:cs="黑体" w:asciiTheme="minorEastAsia" w:hAnsiTheme="minorEastAsia"/>
          <w:color w:val="auto"/>
          <w:kern w:val="0"/>
          <w:sz w:val="32"/>
          <w:szCs w:val="32"/>
          <w:lang w:val="en-US" w:eastAsia="zh-CN"/>
        </w:rPr>
        <w:t>评价结果优良，评价报告附后。</w:t>
      </w: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第四部分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名词解释</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一、</w:t>
      </w:r>
      <w:r>
        <w:rPr>
          <w:rFonts w:hint="eastAsia" w:cs="黑体" w:asciiTheme="minorEastAsia" w:hAnsiTheme="minorEastAsia"/>
          <w:color w:val="000000"/>
          <w:kern w:val="0"/>
          <w:sz w:val="32"/>
          <w:szCs w:val="32"/>
        </w:rPr>
        <w:t>财政拨款收入：指财政当年拨付的资金。包括一般公共预算财政拨款和政府性基金财政拨款。</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val="en-US" w:eastAsia="zh-CN"/>
        </w:rPr>
        <w:t>二、</w:t>
      </w:r>
      <w:r>
        <w:rPr>
          <w:rFonts w:hint="eastAsia" w:cs="黑体" w:asciiTheme="minorEastAsia" w:hAnsiTheme="minorEastAsia"/>
          <w:color w:val="000000"/>
          <w:kern w:val="0"/>
          <w:sz w:val="32"/>
          <w:szCs w:val="32"/>
        </w:rPr>
        <w:t>上级补助收入：指事业单位从主管部门和上级单位取得的非财政补助收入。</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三、</w:t>
      </w:r>
      <w:r>
        <w:rPr>
          <w:rFonts w:hint="eastAsia" w:cs="黑体" w:asciiTheme="minorEastAsia" w:hAnsiTheme="minorEastAsia"/>
          <w:color w:val="000000"/>
          <w:kern w:val="0"/>
          <w:sz w:val="32"/>
          <w:szCs w:val="32"/>
        </w:rPr>
        <w:t>事业收入：指事业单位开展专业业务活动及辅助活动所取得的收入。</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四、</w:t>
      </w:r>
      <w:r>
        <w:rPr>
          <w:rFonts w:hint="eastAsia" w:cs="黑体" w:asciiTheme="minorEastAsia" w:hAnsiTheme="minorEastAsia"/>
          <w:color w:val="000000"/>
          <w:kern w:val="0"/>
          <w:sz w:val="32"/>
          <w:szCs w:val="32"/>
        </w:rPr>
        <w:t>经营收入：指事业单位在专业业务活动及其辅助活动之外开展非独立核算经营活动取得的收入。</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五、</w:t>
      </w:r>
      <w:r>
        <w:rPr>
          <w:rFonts w:hint="eastAsia" w:cs="黑体" w:asciiTheme="minorEastAsia" w:hAnsiTheme="minorEastAsia"/>
          <w:color w:val="000000"/>
          <w:kern w:val="0"/>
          <w:sz w:val="32"/>
          <w:szCs w:val="32"/>
        </w:rPr>
        <w:t>附属单位上缴收入：指事业单位附属独立核算单位按照有关规定上缴的收入。</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六、</w:t>
      </w:r>
      <w:r>
        <w:rPr>
          <w:rFonts w:hint="eastAsia" w:cs="黑体" w:asciiTheme="minorEastAsia" w:hAnsiTheme="minorEastAsia"/>
          <w:color w:val="000000"/>
          <w:kern w:val="0"/>
          <w:sz w:val="32"/>
          <w:szCs w:val="32"/>
        </w:rPr>
        <w:t>其他收入：指除上述“财政拨款收入”、“事业收入”、“经营收入”等以外的收入。</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七、</w:t>
      </w:r>
      <w:r>
        <w:rPr>
          <w:rFonts w:hint="eastAsia" w:cs="黑体" w:asciiTheme="minorEastAsia" w:hAnsiTheme="minorEastAsia"/>
          <w:color w:val="000000"/>
          <w:kern w:val="0"/>
          <w:sz w:val="32"/>
          <w:szCs w:val="32"/>
        </w:rPr>
        <w:t>用事业基金弥补收支差额：指事业单位在用当年的“财政拨款收入”、“事业收入”、“经营收入”、“其他收入”不足以安排当年支出的情况下，使用以前年度积累的事业基金（事业单位当年收支相抵后按国家规定提取、用于弥补以后年度收支差额的基金）弥补本年度收支缺口的资金。</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八、</w:t>
      </w:r>
      <w:r>
        <w:rPr>
          <w:rFonts w:hint="eastAsia" w:cs="黑体" w:asciiTheme="minorEastAsia" w:hAnsiTheme="minorEastAsia"/>
          <w:color w:val="000000"/>
          <w:kern w:val="0"/>
          <w:sz w:val="32"/>
          <w:szCs w:val="32"/>
        </w:rPr>
        <w:t>年初结转和结余：指以前年度尚未完成、结转到本年按有关规定继续使用的资金。</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九、</w:t>
      </w:r>
      <w:r>
        <w:rPr>
          <w:rFonts w:hint="eastAsia" w:cs="黑体" w:asciiTheme="minorEastAsia" w:hAnsiTheme="minorEastAsia"/>
          <w:color w:val="000000"/>
          <w:kern w:val="0"/>
          <w:sz w:val="32"/>
          <w:szCs w:val="32"/>
        </w:rPr>
        <w:t>结余分配：指事业事位按规定从非财政补助结余中分配的事业基金和职工福利基金等。</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eastAsia="zh-CN"/>
        </w:rPr>
        <w:t>十、</w:t>
      </w:r>
      <w:r>
        <w:rPr>
          <w:rFonts w:hint="eastAsia" w:cs="黑体" w:asciiTheme="minorEastAsia" w:hAnsiTheme="minorEastAsia"/>
          <w:color w:val="000000"/>
          <w:kern w:val="0"/>
          <w:sz w:val="32"/>
          <w:szCs w:val="32"/>
        </w:rPr>
        <w:t>年末结转和结余：指本年度或以前年度预算安排、因客观条件发生变化无法按原计划实施，需要延迟到以后年度按有关规定继续使用的资金。</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十一、</w:t>
      </w:r>
      <w:r>
        <w:rPr>
          <w:rFonts w:hint="eastAsia" w:cs="黑体" w:asciiTheme="minorEastAsia" w:hAnsiTheme="minorEastAsia"/>
          <w:color w:val="000000"/>
          <w:kern w:val="0"/>
          <w:sz w:val="32"/>
          <w:szCs w:val="32"/>
        </w:rPr>
        <w:t>基本支出：指为保障机构正常运转、完成日常工作任务而发生的人员支出和公用支出。</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eastAsia="zh-CN"/>
        </w:rPr>
        <w:t>十二、</w:t>
      </w:r>
      <w:r>
        <w:rPr>
          <w:rFonts w:hint="eastAsia" w:cs="黑体" w:asciiTheme="minorEastAsia" w:hAnsiTheme="minorEastAsia"/>
          <w:color w:val="000000"/>
          <w:kern w:val="0"/>
          <w:sz w:val="32"/>
          <w:szCs w:val="32"/>
        </w:rPr>
        <w:t>项目支出：指在基本支出之外为完成特定行政任务和事业发展目标所发生的支出。</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val="en-US" w:eastAsia="zh-CN"/>
        </w:rPr>
        <w:t>十三、</w:t>
      </w:r>
      <w:r>
        <w:rPr>
          <w:rFonts w:hint="eastAsia" w:cs="黑体" w:asciiTheme="minorEastAsia" w:hAnsiTheme="minorEastAsia"/>
          <w:color w:val="000000"/>
          <w:kern w:val="0"/>
          <w:sz w:val="32"/>
          <w:szCs w:val="32"/>
        </w:rPr>
        <w:t>经营支出：指事业单位在专业业务活动及其辅助活动之外开展非独立核算经营活动所发生的支出。</w:t>
      </w:r>
    </w:p>
    <w:p>
      <w:pPr>
        <w:ind w:firstLine="640" w:firstLineChars="200"/>
        <w:jc w:val="left"/>
        <w:rPr>
          <w:rFonts w:hint="eastAsia" w:cs="黑体" w:asciiTheme="minorEastAsia" w:hAnsiTheme="minorEastAsia" w:eastAsiaTheme="minorEastAsia"/>
          <w:color w:val="000000"/>
          <w:kern w:val="0"/>
          <w:sz w:val="32"/>
          <w:szCs w:val="32"/>
          <w:lang w:eastAsia="zh-CN"/>
        </w:rPr>
      </w:pPr>
      <w:r>
        <w:rPr>
          <w:rFonts w:hint="eastAsia" w:cs="黑体" w:asciiTheme="minorEastAsia" w:hAnsiTheme="minorEastAsia"/>
          <w:color w:val="000000"/>
          <w:kern w:val="0"/>
          <w:sz w:val="32"/>
          <w:szCs w:val="32"/>
          <w:lang w:val="en-US" w:eastAsia="zh-CN"/>
        </w:rPr>
        <w:t>十四、</w:t>
      </w:r>
      <w:r>
        <w:rPr>
          <w:rFonts w:hint="eastAsia" w:cs="黑体" w:asciiTheme="minorEastAsia" w:hAnsiTheme="minorEastAsia"/>
          <w:color w:val="000000"/>
          <w:kern w:val="0"/>
          <w:sz w:val="32"/>
          <w:szCs w:val="32"/>
        </w:rPr>
        <w:t>“三公”经费：按照党中央、国务院有关文件及部门预算管理有关规定，“三公”经费包括因公出国（境）费、公务用车购置及运行费和公务接待费。（1）因公出国（境）费，指单位工作人员公务出国（境）的住宿费、旅费、伙食补助费、杂费、培训费等支出。（2）公务用车购置及运行费，指单位公务用车购置费（含车辆购置税）及租用费、燃料费、维修费、过路过桥费、保险费等支出。（3）公务接待费，指单位按规定开支的各类公务接待（含外宾接待）支出。</w:t>
      </w:r>
    </w:p>
    <w:p>
      <w:pPr>
        <w:ind w:firstLine="640" w:firstLineChars="200"/>
        <w:jc w:val="left"/>
        <w:rPr>
          <w:rFonts w:hint="eastAsia" w:cs="黑体" w:asciiTheme="minorEastAsia" w:hAnsiTheme="minorEastAsia"/>
          <w:color w:val="000000"/>
          <w:kern w:val="0"/>
          <w:sz w:val="32"/>
          <w:szCs w:val="32"/>
        </w:rPr>
      </w:pPr>
      <w:r>
        <w:rPr>
          <w:rFonts w:hint="eastAsia" w:cs="黑体" w:asciiTheme="minorEastAsia" w:hAnsiTheme="minorEastAsia"/>
          <w:color w:val="000000"/>
          <w:kern w:val="0"/>
          <w:sz w:val="32"/>
          <w:szCs w:val="32"/>
          <w:lang w:val="en-US" w:eastAsia="zh-CN"/>
        </w:rPr>
        <w:t>十五、</w:t>
      </w:r>
      <w:r>
        <w:rPr>
          <w:rFonts w:hint="eastAsia" w:cs="黑体" w:asciiTheme="minorEastAsia" w:hAnsiTheme="minorEastAsia"/>
          <w:color w:val="000000"/>
          <w:kern w:val="0"/>
          <w:sz w:val="32"/>
          <w:szCs w:val="32"/>
        </w:rPr>
        <w:t>机关运行经费：指为保障行政单位（含参照公务员法管理的事业单位）运行用于购买货物和服务的各项资金，包括办公及印刷费、邮电费、差旅费、会议费、福利费、日常维修费、专项材料及一般设备购置费、办公用房水电费、取暖费、物业管理费、公务用车运行维护费以及其他费用。</w:t>
      </w:r>
    </w:p>
    <w:p>
      <w:pPr>
        <w:ind w:firstLine="640" w:firstLineChars="200"/>
        <w:jc w:val="left"/>
        <w:rPr>
          <w:rFonts w:hint="eastAsia" w:cs="黑体" w:asciiTheme="minorEastAsia" w:hAnsiTheme="minorEastAsia"/>
          <w:color w:val="000000"/>
          <w:kern w:val="0"/>
          <w:sz w:val="32"/>
          <w:szCs w:val="3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p>
    <w:p>
      <w:pPr>
        <w:pStyle w:val="12"/>
        <w:jc w:val="center"/>
        <w:rPr>
          <w:sz w:val="72"/>
          <w:szCs w:val="72"/>
        </w:rPr>
      </w:pPr>
      <w:r>
        <w:rPr>
          <w:rFonts w:hint="eastAsia"/>
          <w:sz w:val="72"/>
          <w:szCs w:val="72"/>
        </w:rPr>
        <w:t>第五部分</w:t>
      </w:r>
    </w:p>
    <w:p>
      <w:pPr>
        <w:jc w:val="center"/>
        <w:rPr>
          <w:rFonts w:ascii="黑体" w:eastAsia="黑体" w:cs="黑体"/>
          <w:color w:val="000000"/>
          <w:kern w:val="0"/>
          <w:sz w:val="70"/>
          <w:szCs w:val="70"/>
        </w:rPr>
      </w:pPr>
    </w:p>
    <w:p>
      <w:pPr>
        <w:jc w:val="center"/>
        <w:rPr>
          <w:rFonts w:ascii="黑体" w:eastAsia="黑体" w:cs="黑体"/>
          <w:color w:val="000000"/>
          <w:kern w:val="0"/>
          <w:sz w:val="70"/>
          <w:szCs w:val="70"/>
        </w:rPr>
      </w:pPr>
      <w:r>
        <w:rPr>
          <w:rFonts w:hint="eastAsia" w:ascii="黑体" w:eastAsia="黑体" w:cs="黑体"/>
          <w:color w:val="000000"/>
          <w:kern w:val="0"/>
          <w:sz w:val="70"/>
          <w:szCs w:val="70"/>
        </w:rPr>
        <w:t>附件</w:t>
      </w:r>
    </w:p>
    <w:p>
      <w:pPr>
        <w:widowControl/>
        <w:jc w:val="left"/>
        <w:rPr>
          <w:rFonts w:ascii="黑体" w:eastAsia="黑体" w:cs="黑体"/>
          <w:color w:val="000000"/>
          <w:kern w:val="0"/>
          <w:sz w:val="70"/>
          <w:szCs w:val="70"/>
        </w:rPr>
      </w:pPr>
      <w:r>
        <w:rPr>
          <w:rFonts w:ascii="黑体" w:eastAsia="黑体" w:cs="黑体"/>
          <w:color w:val="000000"/>
          <w:kern w:val="0"/>
          <w:sz w:val="70"/>
          <w:szCs w:val="70"/>
        </w:rPr>
        <w:br w:type="page"/>
      </w:r>
    </w:p>
    <w:p>
      <w:pPr>
        <w:jc w:val="center"/>
        <w:rPr>
          <w:rFonts w:ascii="黑体" w:eastAsia="黑体" w:cs="黑体"/>
          <w:color w:val="000000"/>
          <w:kern w:val="0"/>
          <w:sz w:val="70"/>
          <w:szCs w:val="70"/>
        </w:rPr>
      </w:pPr>
    </w:p>
    <w:p>
      <w:pPr>
        <w:jc w:val="center"/>
        <w:rPr>
          <w:rFonts w:hint="eastAsia" w:ascii="宋体" w:hAnsi="宋体" w:cs="宋体"/>
          <w:b/>
          <w:sz w:val="44"/>
          <w:szCs w:val="44"/>
        </w:rPr>
      </w:pPr>
      <w:r>
        <w:rPr>
          <w:rFonts w:hint="eastAsia" w:ascii="宋体" w:hAnsi="宋体" w:cs="宋体"/>
          <w:b/>
          <w:sz w:val="44"/>
          <w:szCs w:val="44"/>
        </w:rPr>
        <w:t>湘乡市交通运输局</w:t>
      </w:r>
    </w:p>
    <w:p>
      <w:pPr>
        <w:jc w:val="center"/>
        <w:rPr>
          <w:rFonts w:ascii="宋体" w:hAnsi="宋体" w:cs="宋体"/>
          <w:b/>
          <w:sz w:val="44"/>
          <w:szCs w:val="44"/>
        </w:rPr>
      </w:pPr>
      <w:r>
        <w:rPr>
          <w:rFonts w:hint="eastAsia" w:ascii="宋体" w:hAnsi="宋体" w:cs="宋体"/>
          <w:b/>
          <w:sz w:val="44"/>
          <w:szCs w:val="44"/>
        </w:rPr>
        <w:t>2021年部门整体支出绩效自评报告</w:t>
      </w:r>
    </w:p>
    <w:p>
      <w:pPr>
        <w:ind w:firstLine="560" w:firstLineChars="200"/>
        <w:rPr>
          <w:rFonts w:ascii="宋体" w:hAnsi="宋体" w:cs="宋体"/>
          <w:sz w:val="28"/>
          <w:szCs w:val="28"/>
        </w:rPr>
      </w:pPr>
      <w:r>
        <w:rPr>
          <w:rFonts w:hint="eastAsia" w:ascii="宋体" w:hAnsi="宋体" w:cs="宋体"/>
          <w:sz w:val="28"/>
          <w:szCs w:val="28"/>
        </w:rPr>
        <w:t>根据《湘乡市人民政府关于全面推进预算绩效管理的实施意见》（湘乡政发【2014】12号）及《湘乡市财政局关于印发2022年预算部门绩效自评工作考核评审方案的通知》（湘财绩【2022】1号）文件要求，强化绩效理念，提高财政资金使用效益，现对我局2021年度部门整体财政支出进行绩效自评。</w:t>
      </w:r>
    </w:p>
    <w:p>
      <w:pPr>
        <w:pStyle w:val="15"/>
        <w:numPr>
          <w:ilvl w:val="0"/>
          <w:numId w:val="2"/>
        </w:numPr>
        <w:ind w:firstLine="560" w:firstLineChars="200"/>
        <w:rPr>
          <w:rFonts w:cs="宋体"/>
        </w:rPr>
      </w:pPr>
      <w:r>
        <w:rPr>
          <w:rFonts w:hint="eastAsia" w:cs="宋体"/>
          <w:b/>
        </w:rPr>
        <w:t>部门概况</w:t>
      </w:r>
    </w:p>
    <w:p>
      <w:pPr>
        <w:pStyle w:val="15"/>
        <w:ind w:firstLine="560" w:firstLineChars="200"/>
        <w:rPr>
          <w:rFonts w:cs="宋体"/>
        </w:rPr>
      </w:pPr>
      <w:r>
        <w:rPr>
          <w:rFonts w:hint="eastAsia" w:cs="宋体"/>
        </w:rPr>
        <w:t>我局为政府组成局，担负着贯彻执行国家、省、市有关交通工作的方针、政策和法律、法规的职能，制订全市公路、水路交通行业发展战略和管理的规范性文件，并负责组织实施。主要有如下职责：</w:t>
      </w:r>
    </w:p>
    <w:p>
      <w:pPr>
        <w:ind w:firstLine="560" w:firstLineChars="200"/>
        <w:rPr>
          <w:rFonts w:ascii="宋体" w:hAnsi="宋体" w:cs="宋体"/>
          <w:sz w:val="28"/>
          <w:szCs w:val="28"/>
        </w:rPr>
      </w:pPr>
      <w:r>
        <w:rPr>
          <w:rFonts w:hint="eastAsia" w:ascii="宋体" w:hAnsi="宋体" w:cs="宋体"/>
          <w:sz w:val="28"/>
          <w:szCs w:val="28"/>
        </w:rPr>
        <w:t>（1）贯彻执行国家、省有关交通运输工作的方针政策和法律法规。组织拟订全市综合交通运输发展战略和政策，组织编制全市综合交通运输体系规划，拟订全市公路、水路发展战略、政策和规划，指导交通运输枢纽规划和管理。优化交通运输主要通道和重要枢纽节点布局，促进交通运输方式融合。</w:t>
      </w:r>
    </w:p>
    <w:p>
      <w:pPr>
        <w:ind w:firstLine="560" w:firstLineChars="200"/>
        <w:rPr>
          <w:rFonts w:ascii="宋体" w:hAnsi="宋体" w:cs="宋体"/>
          <w:sz w:val="28"/>
          <w:szCs w:val="28"/>
        </w:rPr>
      </w:pPr>
      <w:r>
        <w:rPr>
          <w:rFonts w:hint="eastAsia" w:ascii="宋体" w:hAnsi="宋体" w:cs="宋体"/>
          <w:sz w:val="28"/>
          <w:szCs w:val="28"/>
        </w:rPr>
        <w:t>（2）组织拟订并监督实施全市公路、水路等行业规划、政策和标准。负责全市交通运输执法检查和监督。</w:t>
      </w:r>
    </w:p>
    <w:p>
      <w:pPr>
        <w:ind w:firstLine="560" w:firstLineChars="200"/>
        <w:rPr>
          <w:rFonts w:ascii="宋体" w:hAnsi="宋体" w:cs="宋体"/>
          <w:sz w:val="28"/>
          <w:szCs w:val="28"/>
        </w:rPr>
      </w:pPr>
      <w:r>
        <w:rPr>
          <w:rFonts w:hint="eastAsia" w:ascii="宋体" w:hAnsi="宋体" w:cs="宋体"/>
          <w:sz w:val="28"/>
          <w:szCs w:val="28"/>
        </w:rPr>
        <w:t>（3）承担道路、水路运输市场监管责任。组织拟订全市道路、水路运输有关政策、技术标准和运营规范并监督实施。指导全市城乡客运及有关设施规划和管理工作，指导出租车行业管理工作。</w:t>
      </w:r>
    </w:p>
    <w:p>
      <w:pPr>
        <w:ind w:firstLine="560" w:firstLineChars="200"/>
        <w:rPr>
          <w:rFonts w:ascii="宋体" w:hAnsi="宋体" w:cs="宋体"/>
          <w:sz w:val="28"/>
          <w:szCs w:val="28"/>
        </w:rPr>
      </w:pPr>
      <w:r>
        <w:rPr>
          <w:rFonts w:hint="eastAsia" w:ascii="宋体" w:hAnsi="宋体" w:cs="宋体"/>
          <w:sz w:val="28"/>
          <w:szCs w:val="28"/>
        </w:rPr>
        <w:t>（4）承担水上交通安全监管责任。负责水上交通管制、船舶及相关水上设施检验、登记和防止污染、水上消防、救助打捞、通信导航、船舶与港口设施保安及危险品运输监督管理等工作。</w:t>
      </w:r>
    </w:p>
    <w:p>
      <w:pPr>
        <w:ind w:firstLine="560" w:firstLineChars="200"/>
        <w:rPr>
          <w:rFonts w:ascii="宋体" w:hAnsi="宋体" w:cs="宋体"/>
          <w:sz w:val="28"/>
          <w:szCs w:val="28"/>
        </w:rPr>
      </w:pPr>
      <w:r>
        <w:rPr>
          <w:rFonts w:hint="eastAsia" w:ascii="宋体" w:hAnsi="宋体" w:cs="宋体"/>
          <w:sz w:val="28"/>
          <w:szCs w:val="28"/>
        </w:rPr>
        <w:t xml:space="preserve">（5）负责提出全市公路、水路固定资产投资规模和方向、财政性资金安排建议，按市政府规定权限审批、核准全市规划内和年度计划规模内固定资产投资项目。负责公路、公路桥梁、渡口、隧道的行业管理。 </w:t>
      </w:r>
    </w:p>
    <w:p>
      <w:pPr>
        <w:ind w:firstLine="560" w:firstLineChars="200"/>
        <w:rPr>
          <w:rFonts w:ascii="宋体" w:hAnsi="宋体" w:cs="宋体"/>
          <w:sz w:val="28"/>
          <w:szCs w:val="28"/>
        </w:rPr>
      </w:pPr>
      <w:r>
        <w:rPr>
          <w:rFonts w:hint="eastAsia" w:ascii="宋体" w:hAnsi="宋体" w:cs="宋体"/>
          <w:sz w:val="28"/>
          <w:szCs w:val="28"/>
        </w:rPr>
        <w:t>（6）承担公路、水路建设市场监管责任。</w:t>
      </w:r>
    </w:p>
    <w:p>
      <w:pPr>
        <w:ind w:firstLine="560" w:firstLineChars="200"/>
        <w:rPr>
          <w:rFonts w:ascii="宋体" w:hAnsi="宋体" w:cs="宋体"/>
          <w:sz w:val="28"/>
          <w:szCs w:val="28"/>
        </w:rPr>
      </w:pPr>
      <w:r>
        <w:rPr>
          <w:rFonts w:hint="eastAsia" w:ascii="宋体" w:hAnsi="宋体" w:cs="宋体"/>
          <w:sz w:val="28"/>
          <w:szCs w:val="28"/>
        </w:rPr>
        <w:t>（7）监督、指导全市公路、水路行业安全生产和应急管理工作。</w:t>
      </w:r>
    </w:p>
    <w:p>
      <w:pPr>
        <w:ind w:firstLine="560" w:firstLineChars="200"/>
        <w:rPr>
          <w:rFonts w:ascii="宋体" w:hAnsi="宋体" w:cs="宋体"/>
          <w:sz w:val="28"/>
          <w:szCs w:val="28"/>
        </w:rPr>
      </w:pPr>
      <w:r>
        <w:rPr>
          <w:rFonts w:hint="eastAsia" w:ascii="宋体" w:hAnsi="宋体" w:cs="宋体"/>
          <w:sz w:val="28"/>
          <w:szCs w:val="28"/>
        </w:rPr>
        <w:t>（8）拟订地方性交通运输行业科技政策、规划和规范并监督实施。指导全市交通运输信息化建设，监测分析运行情况，开展相关统计工作，发布有关信息；指导公路、水路行业环境保护和节能减排工作。</w:t>
      </w:r>
    </w:p>
    <w:p>
      <w:pPr>
        <w:ind w:firstLine="560" w:firstLineChars="200"/>
        <w:rPr>
          <w:rFonts w:ascii="宋体" w:hAnsi="宋体" w:cs="宋体"/>
          <w:sz w:val="28"/>
          <w:szCs w:val="28"/>
        </w:rPr>
      </w:pPr>
      <w:r>
        <w:rPr>
          <w:rFonts w:hint="eastAsia" w:ascii="宋体" w:hAnsi="宋体" w:cs="宋体"/>
          <w:sz w:val="28"/>
          <w:szCs w:val="28"/>
        </w:rPr>
        <w:t>（9）承担县、乡、农村道路的建设和管养工作。</w:t>
      </w:r>
    </w:p>
    <w:p>
      <w:pPr>
        <w:ind w:firstLine="560" w:firstLineChars="200"/>
        <w:rPr>
          <w:rFonts w:ascii="宋体" w:hAnsi="宋体" w:cs="宋体"/>
          <w:sz w:val="28"/>
          <w:szCs w:val="28"/>
        </w:rPr>
      </w:pPr>
      <w:r>
        <w:rPr>
          <w:rFonts w:hint="eastAsia" w:ascii="宋体" w:hAnsi="宋体" w:cs="宋体"/>
          <w:sz w:val="28"/>
          <w:szCs w:val="28"/>
        </w:rPr>
        <w:t>（10）负责交通运输预算资金的申请、拨付和监管。</w:t>
      </w:r>
    </w:p>
    <w:p>
      <w:pPr>
        <w:ind w:firstLine="560" w:firstLineChars="200"/>
        <w:rPr>
          <w:rFonts w:ascii="宋体" w:hAnsi="宋体" w:cs="宋体"/>
          <w:sz w:val="28"/>
          <w:szCs w:val="28"/>
        </w:rPr>
      </w:pPr>
      <w:r>
        <w:rPr>
          <w:rFonts w:hint="eastAsia" w:ascii="宋体" w:hAnsi="宋体" w:cs="宋体"/>
          <w:sz w:val="28"/>
          <w:szCs w:val="28"/>
        </w:rPr>
        <w:t>（11）承办市政府交办的其他事项。</w:t>
      </w:r>
    </w:p>
    <w:p>
      <w:pPr>
        <w:spacing w:line="640" w:lineRule="exact"/>
        <w:ind w:firstLine="560" w:firstLineChars="200"/>
        <w:rPr>
          <w:rFonts w:ascii="宋体" w:hAnsi="宋体"/>
          <w:sz w:val="28"/>
          <w:szCs w:val="28"/>
        </w:rPr>
      </w:pPr>
      <w:r>
        <w:rPr>
          <w:rFonts w:ascii="宋体" w:hAnsi="宋体"/>
          <w:sz w:val="28"/>
          <w:szCs w:val="28"/>
        </w:rPr>
        <w:t>局机关内设办公室、财务股、政工人事股、规划计划统计股、公路管理股、运输管理股、基本建设股、安全股、法规股、行政审批股等。</w:t>
      </w:r>
    </w:p>
    <w:p>
      <w:pPr>
        <w:spacing w:line="640" w:lineRule="exact"/>
        <w:ind w:firstLine="560" w:firstLineChars="200"/>
        <w:rPr>
          <w:rFonts w:ascii="宋体" w:hAnsi="宋体"/>
          <w:sz w:val="28"/>
          <w:szCs w:val="28"/>
        </w:rPr>
      </w:pPr>
      <w:r>
        <w:rPr>
          <w:rFonts w:ascii="宋体" w:hAnsi="宋体"/>
          <w:sz w:val="28"/>
          <w:szCs w:val="28"/>
        </w:rPr>
        <w:t>局属二级单位包括湘乡市交通运输服务中心、湘乡市水运事务中心、湘乡市公路建设养护中心、湘乡市交通和安全质量监督检测站、湘乡市交通运输综合执法大队</w:t>
      </w:r>
      <w:r>
        <w:rPr>
          <w:rFonts w:hint="eastAsia" w:ascii="宋体" w:hAnsi="宋体"/>
          <w:sz w:val="28"/>
          <w:szCs w:val="28"/>
        </w:rPr>
        <w:t>。</w:t>
      </w:r>
    </w:p>
    <w:p>
      <w:pPr>
        <w:spacing w:line="640" w:lineRule="exact"/>
        <w:ind w:firstLine="560" w:firstLineChars="200"/>
        <w:rPr>
          <w:rFonts w:ascii="宋体" w:hAnsi="宋体"/>
          <w:sz w:val="28"/>
          <w:szCs w:val="28"/>
        </w:rPr>
      </w:pPr>
      <w:r>
        <w:rPr>
          <w:rFonts w:ascii="宋体" w:hAnsi="宋体"/>
          <w:sz w:val="28"/>
          <w:szCs w:val="28"/>
        </w:rPr>
        <w:t>局202</w:t>
      </w:r>
      <w:r>
        <w:rPr>
          <w:rFonts w:hint="eastAsia" w:ascii="宋体" w:hAnsi="宋体"/>
          <w:sz w:val="28"/>
          <w:szCs w:val="28"/>
        </w:rPr>
        <w:t>1</w:t>
      </w:r>
      <w:r>
        <w:rPr>
          <w:rFonts w:ascii="宋体" w:hAnsi="宋体"/>
          <w:sz w:val="28"/>
          <w:szCs w:val="28"/>
        </w:rPr>
        <w:t>年年末共有在职职工</w:t>
      </w:r>
      <w:r>
        <w:rPr>
          <w:rFonts w:hint="eastAsia" w:ascii="宋体" w:hAnsi="宋体"/>
          <w:sz w:val="28"/>
          <w:szCs w:val="28"/>
        </w:rPr>
        <w:t>351</w:t>
      </w:r>
      <w:r>
        <w:rPr>
          <w:rFonts w:ascii="宋体" w:hAnsi="宋体"/>
          <w:sz w:val="28"/>
          <w:szCs w:val="28"/>
        </w:rPr>
        <w:t>人，离休人员1人，退休人员11</w:t>
      </w:r>
      <w:r>
        <w:rPr>
          <w:rFonts w:hint="eastAsia" w:ascii="宋体" w:hAnsi="宋体"/>
          <w:sz w:val="28"/>
          <w:szCs w:val="28"/>
        </w:rPr>
        <w:t>8</w:t>
      </w:r>
      <w:r>
        <w:rPr>
          <w:rFonts w:ascii="宋体" w:hAnsi="宋体"/>
          <w:sz w:val="28"/>
          <w:szCs w:val="28"/>
        </w:rPr>
        <w:t>人，其中在职职工中行政编制</w:t>
      </w:r>
      <w:r>
        <w:rPr>
          <w:rFonts w:hint="eastAsia" w:ascii="宋体" w:hAnsi="宋体"/>
          <w:sz w:val="28"/>
          <w:szCs w:val="28"/>
        </w:rPr>
        <w:t>19</w:t>
      </w:r>
      <w:r>
        <w:rPr>
          <w:rFonts w:ascii="宋体" w:hAnsi="宋体"/>
          <w:sz w:val="28"/>
          <w:szCs w:val="28"/>
        </w:rPr>
        <w:t>人，非参公事业人编制33</w:t>
      </w:r>
      <w:r>
        <w:rPr>
          <w:rFonts w:hint="eastAsia" w:ascii="宋体" w:hAnsi="宋体"/>
          <w:sz w:val="28"/>
          <w:szCs w:val="28"/>
        </w:rPr>
        <w:t>2</w:t>
      </w:r>
      <w:r>
        <w:rPr>
          <w:rFonts w:ascii="宋体" w:hAnsi="宋体"/>
          <w:sz w:val="28"/>
          <w:szCs w:val="28"/>
        </w:rPr>
        <w:t>人，比上年度减少了</w:t>
      </w:r>
      <w:r>
        <w:rPr>
          <w:rFonts w:hint="eastAsia" w:ascii="宋体" w:hAnsi="宋体"/>
          <w:sz w:val="28"/>
          <w:szCs w:val="28"/>
        </w:rPr>
        <w:t>4</w:t>
      </w:r>
      <w:r>
        <w:rPr>
          <w:rFonts w:ascii="宋体" w:hAnsi="宋体"/>
          <w:sz w:val="28"/>
          <w:szCs w:val="28"/>
        </w:rPr>
        <w:t>人，人员变化的主要原因是：单位今年退休5人，新进1人，现有人员352人。</w:t>
      </w:r>
    </w:p>
    <w:p>
      <w:pPr>
        <w:numPr>
          <w:ilvl w:val="0"/>
          <w:numId w:val="2"/>
        </w:numPr>
        <w:ind w:firstLine="560" w:firstLineChars="200"/>
        <w:jc w:val="left"/>
        <w:rPr>
          <w:rFonts w:ascii="宋体" w:hAnsi="宋体" w:cs="宋体"/>
          <w:b/>
          <w:bCs/>
          <w:sz w:val="28"/>
          <w:szCs w:val="28"/>
        </w:rPr>
      </w:pPr>
      <w:r>
        <w:rPr>
          <w:rFonts w:hint="eastAsia" w:ascii="宋体" w:hAnsi="宋体" w:cs="宋体"/>
          <w:b/>
          <w:sz w:val="28"/>
          <w:szCs w:val="28"/>
        </w:rPr>
        <w:t xml:space="preserve">部门整体支出管理及使用情况 </w:t>
      </w:r>
    </w:p>
    <w:p>
      <w:pPr>
        <w:autoSpaceDE w:val="0"/>
        <w:autoSpaceDN w:val="0"/>
        <w:adjustRightInd w:val="0"/>
        <w:spacing w:line="640" w:lineRule="exact"/>
        <w:ind w:firstLine="643"/>
        <w:rPr>
          <w:rFonts w:ascii="宋体" w:hAnsi="宋体" w:cs="宋体"/>
          <w:b/>
          <w:sz w:val="28"/>
          <w:szCs w:val="28"/>
        </w:rPr>
      </w:pPr>
      <w:r>
        <w:rPr>
          <w:rFonts w:hint="eastAsia" w:ascii="宋体" w:hAnsi="宋体" w:cs="宋体"/>
          <w:b/>
          <w:sz w:val="28"/>
          <w:szCs w:val="28"/>
        </w:rPr>
        <w:t>（一）收入支出预算安排情况。</w:t>
      </w:r>
    </w:p>
    <w:p>
      <w:pPr>
        <w:spacing w:line="640" w:lineRule="exact"/>
        <w:ind w:firstLine="560" w:firstLineChars="200"/>
        <w:rPr>
          <w:rFonts w:ascii="宋体" w:hAnsi="宋体"/>
          <w:sz w:val="28"/>
          <w:szCs w:val="28"/>
        </w:rPr>
      </w:pPr>
      <w:r>
        <w:rPr>
          <w:rFonts w:ascii="宋体" w:hAnsi="宋体"/>
          <w:sz w:val="28"/>
          <w:szCs w:val="28"/>
        </w:rPr>
        <w:t>202</w:t>
      </w:r>
      <w:r>
        <w:rPr>
          <w:rFonts w:hint="eastAsia" w:ascii="宋体" w:hAnsi="宋体"/>
          <w:sz w:val="28"/>
          <w:szCs w:val="28"/>
        </w:rPr>
        <w:t>1年，本部门年初预算收入5267.95万元，比上年减少107.54万元，下降2</w:t>
      </w:r>
      <w:r>
        <w:rPr>
          <w:rFonts w:ascii="宋体" w:hAnsi="宋体"/>
          <w:sz w:val="28"/>
          <w:szCs w:val="28"/>
        </w:rPr>
        <w:t>%</w:t>
      </w:r>
      <w:r>
        <w:rPr>
          <w:rFonts w:hint="eastAsia" w:ascii="宋体" w:hAnsi="宋体"/>
          <w:sz w:val="28"/>
          <w:szCs w:val="28"/>
        </w:rPr>
        <w:t>。其中：一般公共预算财政拨款收入年初预算5267.95万元，比上年减少107.54万元。年度执行中因单位人数变动及单位事权调整，预算跟随调整情况，主要变化是：新能源补贴、公交车、出租车油补、安保等上级专项补助资金纳入预算，以及民生实事项目地方政府进行配套。一般公共预算财政拨款收入调整为8327.58万元，</w:t>
      </w:r>
      <w:r>
        <w:rPr>
          <w:rFonts w:hint="eastAsia" w:ascii="宋体" w:hAnsi="宋体" w:cs="仿宋"/>
          <w:sz w:val="28"/>
          <w:szCs w:val="28"/>
        </w:rPr>
        <w:t>政府性基金财政拨款收入348.98万元，</w:t>
      </w:r>
      <w:r>
        <w:rPr>
          <w:rFonts w:hint="eastAsia" w:ascii="宋体" w:hAnsi="宋体"/>
          <w:sz w:val="28"/>
          <w:szCs w:val="28"/>
        </w:rPr>
        <w:t>其他收入5192.03万元，共计收入调整预算数为13868.60万元。</w:t>
      </w:r>
    </w:p>
    <w:p>
      <w:pPr>
        <w:spacing w:line="640" w:lineRule="exact"/>
        <w:ind w:firstLine="560" w:firstLineChars="200"/>
        <w:rPr>
          <w:rFonts w:ascii="宋体" w:hAnsi="宋体"/>
          <w:sz w:val="28"/>
          <w:szCs w:val="28"/>
        </w:rPr>
      </w:pPr>
      <w:r>
        <w:rPr>
          <w:rFonts w:ascii="宋体" w:hAnsi="宋体"/>
          <w:sz w:val="28"/>
          <w:szCs w:val="28"/>
        </w:rPr>
        <w:t>202</w:t>
      </w:r>
      <w:r>
        <w:rPr>
          <w:rFonts w:hint="eastAsia" w:ascii="宋体" w:hAnsi="宋体"/>
          <w:sz w:val="28"/>
          <w:szCs w:val="28"/>
        </w:rPr>
        <w:t>1年，本部门年初预算支出5267.95万元，比上年减少107.54万元，下降2</w:t>
      </w:r>
      <w:r>
        <w:rPr>
          <w:rFonts w:ascii="宋体" w:hAnsi="宋体"/>
          <w:sz w:val="28"/>
          <w:szCs w:val="28"/>
        </w:rPr>
        <w:t>%</w:t>
      </w:r>
      <w:r>
        <w:rPr>
          <w:rFonts w:hint="eastAsia" w:ascii="宋体" w:hAnsi="宋体"/>
          <w:sz w:val="28"/>
          <w:szCs w:val="28"/>
        </w:rPr>
        <w:t>。其中：基本支出年初预算4063.45万元，比上年增加537.46万元，增长15.24</w:t>
      </w:r>
      <w:r>
        <w:rPr>
          <w:rFonts w:ascii="宋体" w:hAnsi="宋体"/>
          <w:sz w:val="28"/>
          <w:szCs w:val="28"/>
        </w:rPr>
        <w:t>%</w:t>
      </w:r>
      <w:r>
        <w:rPr>
          <w:rFonts w:hint="eastAsia" w:ascii="宋体" w:hAnsi="宋体"/>
          <w:sz w:val="28"/>
          <w:szCs w:val="28"/>
        </w:rPr>
        <w:t>；项目支出年初预算1204.5万元，比上年减少645万元，下降34.87</w:t>
      </w:r>
      <w:r>
        <w:rPr>
          <w:rFonts w:ascii="宋体" w:hAnsi="宋体"/>
          <w:sz w:val="28"/>
          <w:szCs w:val="28"/>
        </w:rPr>
        <w:t>%</w:t>
      </w:r>
      <w:r>
        <w:rPr>
          <w:rFonts w:hint="eastAsia" w:ascii="宋体" w:hAnsi="宋体"/>
          <w:sz w:val="28"/>
          <w:szCs w:val="28"/>
        </w:rPr>
        <w:t>。年度执行中因单位人数变动及单位事权调整，预算跟随调整情况，主要变化是：支出调整预算数为13197.21万元。</w:t>
      </w:r>
    </w:p>
    <w:p>
      <w:pPr>
        <w:autoSpaceDE w:val="0"/>
        <w:autoSpaceDN w:val="0"/>
        <w:adjustRightInd w:val="0"/>
        <w:spacing w:line="640" w:lineRule="exact"/>
        <w:ind w:firstLine="643"/>
        <w:rPr>
          <w:rFonts w:hint="eastAsia" w:ascii="宋体" w:hAnsi="宋体" w:cs="宋体"/>
          <w:b/>
          <w:sz w:val="28"/>
          <w:szCs w:val="28"/>
        </w:rPr>
      </w:pPr>
      <w:r>
        <w:rPr>
          <w:rFonts w:hint="eastAsia" w:ascii="宋体" w:hAnsi="宋体" w:cs="宋体"/>
          <w:b/>
          <w:sz w:val="28"/>
          <w:szCs w:val="28"/>
        </w:rPr>
        <w:t>（二）收入支出预算执行情况。</w:t>
      </w:r>
    </w:p>
    <w:p>
      <w:pPr>
        <w:spacing w:line="640" w:lineRule="exact"/>
        <w:ind w:firstLine="560" w:firstLineChars="200"/>
        <w:rPr>
          <w:rFonts w:ascii="宋体" w:hAnsi="宋体"/>
          <w:sz w:val="28"/>
          <w:szCs w:val="28"/>
        </w:rPr>
      </w:pPr>
      <w:r>
        <w:rPr>
          <w:rFonts w:ascii="宋体" w:hAnsi="宋体"/>
          <w:sz w:val="28"/>
          <w:szCs w:val="28"/>
        </w:rPr>
        <w:t>202</w:t>
      </w:r>
      <w:r>
        <w:rPr>
          <w:rFonts w:hint="eastAsia" w:ascii="宋体" w:hAnsi="宋体"/>
          <w:sz w:val="28"/>
          <w:szCs w:val="28"/>
        </w:rPr>
        <w:t>1年收入实际完成13868.60万元，比上年减少832.12万元，下降5.66</w:t>
      </w:r>
      <w:r>
        <w:rPr>
          <w:rFonts w:ascii="宋体" w:hAnsi="宋体"/>
          <w:sz w:val="28"/>
          <w:szCs w:val="28"/>
        </w:rPr>
        <w:t>%</w:t>
      </w:r>
      <w:r>
        <w:rPr>
          <w:rFonts w:hint="eastAsia" w:ascii="宋体" w:hAnsi="宋体"/>
          <w:sz w:val="28"/>
          <w:szCs w:val="28"/>
        </w:rPr>
        <w:t>。主要原因是：我市民生实事项目等项目规模减小，配套资金相应减少。其中：一般公共预算财政拨款收入完成8327.58万元，比上年减少1258.37万元，下降13.13</w:t>
      </w:r>
      <w:r>
        <w:rPr>
          <w:rFonts w:ascii="宋体" w:hAnsi="宋体"/>
          <w:sz w:val="28"/>
          <w:szCs w:val="28"/>
          <w:lang w:val="zh-CN"/>
        </w:rPr>
        <w:t>%</w:t>
      </w:r>
      <w:r>
        <w:rPr>
          <w:rFonts w:hint="eastAsia" w:ascii="宋体" w:hAnsi="宋体"/>
          <w:sz w:val="28"/>
          <w:szCs w:val="28"/>
        </w:rPr>
        <w:t>；政府性基金财政拨款收入完成348.98万元，比上年减少1181.02万元，下降77.19</w:t>
      </w:r>
      <w:r>
        <w:rPr>
          <w:rFonts w:ascii="宋体" w:hAnsi="宋体"/>
          <w:sz w:val="28"/>
          <w:szCs w:val="28"/>
          <w:lang w:val="zh-CN"/>
        </w:rPr>
        <w:t>%</w:t>
      </w:r>
      <w:r>
        <w:rPr>
          <w:rFonts w:hint="eastAsia" w:ascii="宋体" w:hAnsi="宋体"/>
          <w:sz w:val="28"/>
          <w:szCs w:val="28"/>
          <w:lang w:val="zh-CN"/>
        </w:rPr>
        <w:t>，变化的主要原因是：财政安排的特别国债资金减少</w:t>
      </w:r>
      <w:r>
        <w:rPr>
          <w:rFonts w:hint="eastAsia" w:ascii="宋体" w:hAnsi="宋体"/>
          <w:sz w:val="28"/>
          <w:szCs w:val="28"/>
        </w:rPr>
        <w:t>；其他收入完成5192.03万元，比上年增长1607.26万元，增长44.84</w:t>
      </w:r>
      <w:r>
        <w:rPr>
          <w:rFonts w:ascii="宋体" w:hAnsi="宋体"/>
          <w:sz w:val="28"/>
          <w:szCs w:val="28"/>
          <w:lang w:val="zh-CN"/>
        </w:rPr>
        <w:t>%</w:t>
      </w:r>
      <w:r>
        <w:rPr>
          <w:rFonts w:hint="eastAsia" w:ascii="宋体" w:hAnsi="宋体"/>
          <w:sz w:val="28"/>
          <w:szCs w:val="28"/>
          <w:lang w:val="zh-CN"/>
        </w:rPr>
        <w:t>，变化的主要原因是：</w:t>
      </w:r>
      <w:r>
        <w:rPr>
          <w:rFonts w:hint="eastAsia" w:ascii="宋体" w:hAnsi="宋体"/>
          <w:sz w:val="28"/>
          <w:szCs w:val="28"/>
        </w:rPr>
        <w:t>我市争取湘潭市级公路建设及养护资金增加。</w:t>
      </w:r>
    </w:p>
    <w:p>
      <w:pPr>
        <w:spacing w:line="640" w:lineRule="exact"/>
        <w:ind w:firstLine="560" w:firstLineChars="200"/>
        <w:rPr>
          <w:rFonts w:hint="eastAsia" w:ascii="宋体" w:hAnsi="宋体"/>
          <w:sz w:val="28"/>
          <w:szCs w:val="28"/>
          <w:lang w:val="zh-CN"/>
        </w:rPr>
      </w:pPr>
      <w:r>
        <w:rPr>
          <w:rFonts w:ascii="宋体" w:hAnsi="宋体"/>
          <w:sz w:val="28"/>
          <w:szCs w:val="28"/>
        </w:rPr>
        <w:t>202</w:t>
      </w:r>
      <w:r>
        <w:rPr>
          <w:rFonts w:hint="eastAsia" w:ascii="宋体" w:hAnsi="宋体"/>
          <w:sz w:val="28"/>
          <w:szCs w:val="28"/>
        </w:rPr>
        <w:t>1年，本部门支出13197.21万元，比上年减少3481.02万元，下降20.87</w:t>
      </w:r>
      <w:r>
        <w:rPr>
          <w:rFonts w:ascii="宋体" w:hAnsi="宋体"/>
          <w:sz w:val="28"/>
          <w:szCs w:val="28"/>
        </w:rPr>
        <w:t>%</w:t>
      </w:r>
      <w:r>
        <w:rPr>
          <w:rFonts w:hint="eastAsia" w:ascii="宋体" w:hAnsi="宋体"/>
          <w:sz w:val="28"/>
          <w:szCs w:val="28"/>
        </w:rPr>
        <w:t>，变化的主要原因是：交通项目建设规模减少，支出减少。其中：基本支出完成4704.78元，比上年减少546.25万元，下降10.4</w:t>
      </w:r>
      <w:r>
        <w:rPr>
          <w:rFonts w:ascii="宋体" w:hAnsi="宋体"/>
          <w:sz w:val="28"/>
          <w:szCs w:val="28"/>
        </w:rPr>
        <w:t>%</w:t>
      </w:r>
      <w:r>
        <w:rPr>
          <w:rFonts w:hint="eastAsia" w:ascii="宋体" w:hAnsi="宋体"/>
          <w:sz w:val="28"/>
          <w:szCs w:val="28"/>
        </w:rPr>
        <w:t>。项目支出8492.43万元，比上年减少2934.77万元，下降25.68</w:t>
      </w:r>
      <w:r>
        <w:rPr>
          <w:rFonts w:ascii="宋体" w:hAnsi="宋体"/>
          <w:sz w:val="28"/>
          <w:szCs w:val="28"/>
        </w:rPr>
        <w:t>%</w:t>
      </w:r>
      <w:r>
        <w:rPr>
          <w:rFonts w:hint="eastAsia" w:ascii="宋体" w:hAnsi="宋体"/>
          <w:sz w:val="28"/>
          <w:szCs w:val="28"/>
        </w:rPr>
        <w:t>，变化的主要原因是：交通项目建设规模减少，支出减少。</w:t>
      </w:r>
      <w:r>
        <w:rPr>
          <w:rFonts w:hint="eastAsia" w:ascii="宋体" w:hAnsi="宋体"/>
          <w:sz w:val="28"/>
          <w:szCs w:val="28"/>
          <w:lang w:val="zh-CN"/>
        </w:rPr>
        <w:t>人员经费</w:t>
      </w:r>
      <w:r>
        <w:rPr>
          <w:rFonts w:hint="eastAsia" w:ascii="宋体" w:hAnsi="宋体"/>
          <w:sz w:val="28"/>
          <w:szCs w:val="28"/>
        </w:rPr>
        <w:t>完成3929.43万元，比上年减少596.38万元，下降13.18</w:t>
      </w:r>
      <w:r>
        <w:rPr>
          <w:rFonts w:ascii="宋体" w:hAnsi="宋体"/>
          <w:sz w:val="28"/>
          <w:szCs w:val="28"/>
        </w:rPr>
        <w:t>%</w:t>
      </w:r>
      <w:r>
        <w:rPr>
          <w:rFonts w:hint="eastAsia" w:ascii="宋体" w:hAnsi="宋体"/>
          <w:sz w:val="28"/>
          <w:szCs w:val="28"/>
        </w:rPr>
        <w:t>；公用</w:t>
      </w:r>
      <w:r>
        <w:rPr>
          <w:rFonts w:hint="eastAsia" w:ascii="宋体" w:hAnsi="宋体"/>
          <w:sz w:val="28"/>
          <w:szCs w:val="28"/>
          <w:lang w:val="zh-CN"/>
        </w:rPr>
        <w:t>经费</w:t>
      </w:r>
      <w:r>
        <w:rPr>
          <w:rFonts w:hint="eastAsia" w:ascii="宋体" w:hAnsi="宋体"/>
          <w:sz w:val="28"/>
          <w:szCs w:val="28"/>
        </w:rPr>
        <w:t>完成775.36万元，比上年增加50.14万元，增长6.91</w:t>
      </w:r>
      <w:r>
        <w:rPr>
          <w:rFonts w:ascii="宋体" w:hAnsi="宋体"/>
          <w:sz w:val="28"/>
          <w:szCs w:val="28"/>
        </w:rPr>
        <w:t>%</w:t>
      </w:r>
      <w:r>
        <w:rPr>
          <w:rFonts w:hint="eastAsia" w:ascii="宋体" w:hAnsi="宋体"/>
          <w:sz w:val="28"/>
          <w:szCs w:val="28"/>
          <w:lang w:val="zh-CN"/>
        </w:rPr>
        <w:t>。</w:t>
      </w:r>
    </w:p>
    <w:p>
      <w:pPr>
        <w:spacing w:line="640" w:lineRule="exact"/>
        <w:ind w:firstLine="560" w:firstLineChars="200"/>
        <w:rPr>
          <w:rFonts w:ascii="宋体" w:hAnsi="宋体"/>
          <w:sz w:val="28"/>
          <w:szCs w:val="28"/>
        </w:rPr>
      </w:pPr>
      <w:r>
        <w:rPr>
          <w:rFonts w:ascii="宋体" w:hAnsi="宋体"/>
          <w:sz w:val="28"/>
          <w:szCs w:val="28"/>
        </w:rPr>
        <w:t>3</w:t>
      </w:r>
      <w:r>
        <w:rPr>
          <w:rFonts w:hint="eastAsia" w:ascii="宋体" w:hAnsi="宋体"/>
          <w:sz w:val="28"/>
          <w:szCs w:val="28"/>
        </w:rPr>
        <w:t>．支出按经济分类科目分析。</w:t>
      </w:r>
    </w:p>
    <w:p>
      <w:pPr>
        <w:spacing w:line="640" w:lineRule="exact"/>
        <w:ind w:firstLine="560" w:firstLineChars="200"/>
        <w:rPr>
          <w:rFonts w:ascii="宋体" w:hAnsi="宋体"/>
          <w:sz w:val="28"/>
          <w:szCs w:val="28"/>
          <w:lang w:val="zh-CN"/>
        </w:rPr>
      </w:pPr>
      <w:r>
        <w:rPr>
          <w:rFonts w:hint="eastAsia" w:ascii="宋体" w:hAnsi="宋体"/>
          <w:sz w:val="28"/>
          <w:szCs w:val="28"/>
        </w:rPr>
        <w:t>（</w:t>
      </w:r>
      <w:r>
        <w:rPr>
          <w:rFonts w:ascii="宋体" w:hAnsi="宋体"/>
          <w:sz w:val="28"/>
          <w:szCs w:val="28"/>
        </w:rPr>
        <w:t>1</w:t>
      </w:r>
      <w:r>
        <w:rPr>
          <w:rFonts w:hint="eastAsia" w:ascii="宋体" w:hAnsi="宋体"/>
          <w:sz w:val="28"/>
          <w:szCs w:val="28"/>
        </w:rPr>
        <w:t>）</w:t>
      </w:r>
      <w:r>
        <w:rPr>
          <w:rFonts w:ascii="宋体" w:hAnsi="宋体"/>
          <w:sz w:val="28"/>
          <w:szCs w:val="28"/>
        </w:rPr>
        <w:t>“</w:t>
      </w:r>
      <w:r>
        <w:rPr>
          <w:rFonts w:hint="eastAsia" w:ascii="宋体" w:hAnsi="宋体"/>
          <w:sz w:val="28"/>
          <w:szCs w:val="28"/>
        </w:rPr>
        <w:t>三公</w:t>
      </w:r>
      <w:r>
        <w:rPr>
          <w:rFonts w:ascii="宋体" w:hAnsi="宋体"/>
          <w:sz w:val="28"/>
          <w:szCs w:val="28"/>
        </w:rPr>
        <w:t>”</w:t>
      </w:r>
      <w:r>
        <w:rPr>
          <w:rFonts w:hint="eastAsia" w:ascii="宋体" w:hAnsi="宋体"/>
          <w:sz w:val="28"/>
          <w:szCs w:val="28"/>
        </w:rPr>
        <w:t>经费支出情况：</w:t>
      </w:r>
      <w:r>
        <w:rPr>
          <w:rFonts w:ascii="宋体" w:hAnsi="宋体"/>
          <w:sz w:val="28"/>
          <w:szCs w:val="28"/>
        </w:rPr>
        <w:t>202</w:t>
      </w:r>
      <w:r>
        <w:rPr>
          <w:rFonts w:hint="eastAsia" w:ascii="宋体" w:hAnsi="宋体"/>
          <w:sz w:val="28"/>
          <w:szCs w:val="28"/>
        </w:rPr>
        <w:t>1年，</w:t>
      </w:r>
      <w:r>
        <w:rPr>
          <w:rFonts w:ascii="宋体" w:hAnsi="宋体"/>
          <w:sz w:val="28"/>
          <w:szCs w:val="28"/>
        </w:rPr>
        <w:t>“</w:t>
      </w:r>
      <w:r>
        <w:rPr>
          <w:rFonts w:hint="eastAsia" w:ascii="宋体" w:hAnsi="宋体"/>
          <w:sz w:val="28"/>
          <w:szCs w:val="28"/>
        </w:rPr>
        <w:t>三公</w:t>
      </w:r>
      <w:r>
        <w:rPr>
          <w:rFonts w:ascii="宋体" w:hAnsi="宋体"/>
          <w:sz w:val="28"/>
          <w:szCs w:val="28"/>
        </w:rPr>
        <w:t>”</w:t>
      </w:r>
      <w:r>
        <w:rPr>
          <w:rFonts w:hint="eastAsia" w:ascii="宋体" w:hAnsi="宋体"/>
          <w:sz w:val="28"/>
          <w:szCs w:val="28"/>
        </w:rPr>
        <w:t>经费完成41.75万元，比上年增加0.65万元，增长1.59</w:t>
      </w:r>
      <w:r>
        <w:rPr>
          <w:rFonts w:ascii="宋体" w:hAnsi="宋体"/>
          <w:sz w:val="28"/>
          <w:szCs w:val="28"/>
        </w:rPr>
        <w:t>%</w:t>
      </w:r>
      <w:r>
        <w:rPr>
          <w:rFonts w:hint="eastAsia" w:ascii="宋体" w:hAnsi="宋体"/>
          <w:sz w:val="28"/>
          <w:szCs w:val="28"/>
          <w:lang w:val="zh-CN"/>
        </w:rPr>
        <w:t>。其中：公务接待费</w:t>
      </w:r>
      <w:r>
        <w:rPr>
          <w:rFonts w:hint="eastAsia" w:ascii="宋体" w:hAnsi="宋体"/>
          <w:sz w:val="28"/>
          <w:szCs w:val="28"/>
        </w:rPr>
        <w:t>完成4.72万元，比上年增加0.21万元，增长4.76</w:t>
      </w:r>
      <w:r>
        <w:rPr>
          <w:rFonts w:ascii="宋体" w:hAnsi="宋体"/>
          <w:sz w:val="28"/>
          <w:szCs w:val="28"/>
        </w:rPr>
        <w:t>%</w:t>
      </w:r>
      <w:r>
        <w:rPr>
          <w:rFonts w:hint="eastAsia" w:ascii="宋体" w:hAnsi="宋体"/>
          <w:sz w:val="28"/>
          <w:szCs w:val="28"/>
          <w:lang w:val="zh-CN"/>
        </w:rPr>
        <w:t>；公务用车购置及运行维护费</w:t>
      </w:r>
      <w:r>
        <w:rPr>
          <w:rFonts w:hint="eastAsia" w:ascii="宋体" w:hAnsi="宋体"/>
          <w:sz w:val="28"/>
          <w:szCs w:val="28"/>
        </w:rPr>
        <w:t>完成37.03万元，比上年增加0.44元，增长1.20</w:t>
      </w:r>
      <w:r>
        <w:rPr>
          <w:rFonts w:ascii="宋体" w:hAnsi="宋体"/>
          <w:sz w:val="28"/>
          <w:szCs w:val="28"/>
        </w:rPr>
        <w:t>%</w:t>
      </w:r>
      <w:r>
        <w:rPr>
          <w:rFonts w:hint="eastAsia" w:ascii="宋体" w:hAnsi="宋体"/>
          <w:sz w:val="28"/>
          <w:szCs w:val="28"/>
        </w:rPr>
        <w:t>。</w:t>
      </w:r>
    </w:p>
    <w:p>
      <w:pPr>
        <w:spacing w:line="640" w:lineRule="exact"/>
        <w:ind w:firstLine="560" w:firstLineChars="200"/>
        <w:rPr>
          <w:rFonts w:ascii="宋体" w:hAnsi="宋体"/>
          <w:sz w:val="28"/>
          <w:szCs w:val="28"/>
        </w:rPr>
      </w:pPr>
      <w:r>
        <w:rPr>
          <w:rFonts w:hint="eastAsia" w:ascii="宋体" w:hAnsi="宋体"/>
          <w:sz w:val="28"/>
          <w:szCs w:val="28"/>
        </w:rPr>
        <w:t>（</w:t>
      </w:r>
      <w:r>
        <w:rPr>
          <w:rFonts w:ascii="宋体" w:hAnsi="宋体"/>
          <w:sz w:val="28"/>
          <w:szCs w:val="28"/>
        </w:rPr>
        <w:t>2</w:t>
      </w:r>
      <w:r>
        <w:rPr>
          <w:rFonts w:hint="eastAsia" w:ascii="宋体" w:hAnsi="宋体"/>
          <w:sz w:val="28"/>
          <w:szCs w:val="28"/>
        </w:rPr>
        <w:t>）会议费支出情况：</w:t>
      </w:r>
      <w:r>
        <w:rPr>
          <w:rFonts w:ascii="宋体" w:hAnsi="宋体"/>
          <w:sz w:val="28"/>
          <w:szCs w:val="28"/>
        </w:rPr>
        <w:t>202</w:t>
      </w:r>
      <w:r>
        <w:rPr>
          <w:rFonts w:hint="eastAsia" w:ascii="宋体" w:hAnsi="宋体"/>
          <w:sz w:val="28"/>
          <w:szCs w:val="28"/>
        </w:rPr>
        <w:t>1年会议费完成2.05万元，比上年增加0.11万元，增长5.88</w:t>
      </w:r>
      <w:r>
        <w:rPr>
          <w:rFonts w:ascii="宋体" w:hAnsi="宋体"/>
          <w:sz w:val="28"/>
          <w:szCs w:val="28"/>
        </w:rPr>
        <w:t>%</w:t>
      </w:r>
      <w:r>
        <w:rPr>
          <w:rFonts w:hint="eastAsia" w:ascii="宋体" w:hAnsi="宋体"/>
          <w:sz w:val="28"/>
          <w:szCs w:val="28"/>
        </w:rPr>
        <w:t>。</w:t>
      </w:r>
    </w:p>
    <w:p>
      <w:pPr>
        <w:spacing w:line="640" w:lineRule="exact"/>
        <w:ind w:firstLine="560" w:firstLineChars="200"/>
        <w:rPr>
          <w:rFonts w:hint="eastAsia" w:ascii="宋体" w:hAnsi="宋体"/>
          <w:sz w:val="28"/>
          <w:szCs w:val="28"/>
        </w:rPr>
      </w:pPr>
      <w:r>
        <w:rPr>
          <w:rFonts w:hint="eastAsia" w:ascii="宋体" w:hAnsi="宋体"/>
          <w:sz w:val="28"/>
          <w:szCs w:val="28"/>
        </w:rPr>
        <w:t>（</w:t>
      </w:r>
      <w:r>
        <w:rPr>
          <w:rFonts w:ascii="宋体" w:hAnsi="宋体"/>
          <w:sz w:val="28"/>
          <w:szCs w:val="28"/>
        </w:rPr>
        <w:t>3</w:t>
      </w:r>
      <w:r>
        <w:rPr>
          <w:rFonts w:hint="eastAsia" w:ascii="宋体" w:hAnsi="宋体"/>
          <w:sz w:val="28"/>
          <w:szCs w:val="28"/>
        </w:rPr>
        <w:t>）培训费支出情况：</w:t>
      </w:r>
      <w:r>
        <w:rPr>
          <w:rFonts w:ascii="宋体" w:hAnsi="宋体"/>
          <w:sz w:val="28"/>
          <w:szCs w:val="28"/>
        </w:rPr>
        <w:t>202</w:t>
      </w:r>
      <w:r>
        <w:rPr>
          <w:rFonts w:hint="eastAsia" w:ascii="宋体" w:hAnsi="宋体"/>
          <w:sz w:val="28"/>
          <w:szCs w:val="28"/>
        </w:rPr>
        <w:t>1年培训费完成9.59万元，比上年减少0.50万元，下降4.93</w:t>
      </w:r>
      <w:r>
        <w:rPr>
          <w:rFonts w:ascii="宋体" w:hAnsi="宋体"/>
          <w:sz w:val="28"/>
          <w:szCs w:val="28"/>
        </w:rPr>
        <w:t>%</w:t>
      </w:r>
      <w:r>
        <w:rPr>
          <w:rFonts w:hint="eastAsia" w:ascii="宋体" w:hAnsi="宋体"/>
          <w:sz w:val="28"/>
          <w:szCs w:val="28"/>
        </w:rPr>
        <w:t>。</w:t>
      </w:r>
    </w:p>
    <w:p>
      <w:pPr>
        <w:autoSpaceDE w:val="0"/>
        <w:autoSpaceDN w:val="0"/>
        <w:adjustRightInd w:val="0"/>
        <w:spacing w:line="640" w:lineRule="exact"/>
        <w:ind w:firstLine="560" w:firstLineChars="200"/>
        <w:rPr>
          <w:rFonts w:ascii="宋体" w:hAnsi="宋体" w:cs="宋体"/>
          <w:b/>
          <w:sz w:val="28"/>
          <w:szCs w:val="28"/>
        </w:rPr>
      </w:pPr>
      <w:r>
        <w:rPr>
          <w:rFonts w:hint="eastAsia" w:ascii="宋体" w:hAnsi="宋体" w:cs="宋体"/>
          <w:b/>
          <w:sz w:val="28"/>
          <w:szCs w:val="28"/>
        </w:rPr>
        <w:t>（三）当年取得的主要事业成效。</w:t>
      </w:r>
    </w:p>
    <w:p>
      <w:pPr>
        <w:spacing w:line="640" w:lineRule="exact"/>
        <w:ind w:firstLine="560" w:firstLineChars="200"/>
        <w:rPr>
          <w:rFonts w:hint="eastAsia" w:ascii="宋体" w:hAnsi="宋体"/>
          <w:sz w:val="28"/>
          <w:szCs w:val="28"/>
        </w:rPr>
      </w:pPr>
      <w:r>
        <w:rPr>
          <w:rFonts w:hint="eastAsia" w:ascii="宋体" w:hAnsi="宋体"/>
          <w:sz w:val="28"/>
          <w:szCs w:val="28"/>
        </w:rPr>
        <w:t>2021年，市交通运输局在市委、市政府的正确领导下，坚持以习近平新时代中国特色社会主义思想为指导，全面贯彻党的十九大和十九届历次全会精神、习近平总书记考察湖南系列</w:t>
      </w:r>
      <w:r>
        <w:rPr>
          <w:rFonts w:hint="eastAsia" w:ascii="宋体" w:hAnsi="宋体"/>
          <w:sz w:val="28"/>
          <w:szCs w:val="28"/>
          <w:lang w:val="en-US" w:eastAsia="zh-CN"/>
        </w:rPr>
        <w:t>重要</w:t>
      </w:r>
      <w:bookmarkStart w:id="1" w:name="_GoBack"/>
      <w:bookmarkEnd w:id="1"/>
      <w:r>
        <w:rPr>
          <w:rFonts w:hint="eastAsia" w:ascii="宋体" w:hAnsi="宋体"/>
          <w:sz w:val="28"/>
          <w:szCs w:val="28"/>
        </w:rPr>
        <w:t>讲话精神，深入落实中央、省、湘潭市交通运输工作会议部署，推动全市交通运输各项工作取得了较好成效。市交通运输局荣获全省“十三五”养护管理优秀（先进）单位、湘潭市“平安建设”先进单位，在湘潭市交通运输年度目标任务考核中排名第一，在市直单位群众安全感和满意度调查中排名第一；湘乡市神龙丰物流园成功创建湖南省“司机之家”，湘乡市汽车站被评为“群众满意客运站”。</w:t>
      </w:r>
    </w:p>
    <w:p>
      <w:pPr>
        <w:spacing w:line="640" w:lineRule="exact"/>
        <w:ind w:firstLine="560" w:firstLineChars="200"/>
        <w:rPr>
          <w:rFonts w:hint="eastAsia" w:ascii="宋体" w:hAnsi="宋体"/>
          <w:sz w:val="28"/>
          <w:szCs w:val="28"/>
        </w:rPr>
      </w:pPr>
      <w:r>
        <w:rPr>
          <w:rFonts w:hint="eastAsia" w:ascii="宋体" w:hAnsi="宋体"/>
          <w:sz w:val="28"/>
          <w:szCs w:val="28"/>
        </w:rPr>
        <w:t>一、坚持常抓不懈，全面落实疫情防控任务。把做好常态化疫情防控作为服务大局、服务发展的基础性工作，严防疫情通过交通运输环节传播蔓延这条底线，全面落实好上级交通主管部门和市委、市政府有关部署要求。</w:t>
      </w:r>
      <w:r>
        <w:rPr>
          <w:rStyle w:val="16"/>
          <w:rFonts w:hint="eastAsia" w:ascii="宋体" w:hAnsi="宋体" w:cs="宋体"/>
          <w:b/>
          <w:bCs/>
          <w:sz w:val="28"/>
          <w:szCs w:val="28"/>
        </w:rPr>
        <w:t>一是健全防控制度。</w:t>
      </w:r>
      <w:r>
        <w:rPr>
          <w:rFonts w:hint="eastAsia" w:ascii="宋体" w:hAnsi="宋体"/>
          <w:sz w:val="28"/>
          <w:szCs w:val="28"/>
        </w:rPr>
        <w:t>制订《关于开展春运安全和疫情防控工作检查督查的通知》、《关于做好常态化新冠肺炎疫情防控工作实施方案》（湘交字〔2021〕5号）、《新冠肺炎疫情防控应急预案》（湘交字〔2021〕23号），每月开展疫情防控日常性监督检查工作，检查包括局属二级机构、客货运输、冷链物流15家单位，发出整改交办函2份。</w:t>
      </w:r>
      <w:r>
        <w:rPr>
          <w:rStyle w:val="16"/>
          <w:rFonts w:hint="eastAsia" w:ascii="宋体" w:hAnsi="宋体" w:cs="宋体"/>
          <w:b/>
          <w:bCs/>
          <w:sz w:val="28"/>
          <w:szCs w:val="28"/>
        </w:rPr>
        <w:t>二是狠抓关键环节。</w:t>
      </w:r>
      <w:r>
        <w:rPr>
          <w:rFonts w:hint="eastAsia" w:ascii="宋体" w:hAnsi="宋体"/>
          <w:sz w:val="28"/>
          <w:szCs w:val="28"/>
        </w:rPr>
        <w:t>坚持保畅通、防疫情一起抓，积极承担全市春运领导小组办公室职能，认真抓好全市春运日常工作。组织召开春运筹备动员大会，深入运输企业开展检查、督促和监督，期间全市客运量达到80.38万人次，实现了旅客投诉率显著减少、杜绝发生较大以上交通安全事故、杜绝发生疫情传播的“一少两杜绝”目标，得到了市委、市政府充分肯定。</w:t>
      </w:r>
      <w:r>
        <w:rPr>
          <w:rStyle w:val="16"/>
          <w:rFonts w:hint="eastAsia" w:ascii="宋体" w:hAnsi="宋体" w:cs="宋体"/>
          <w:b/>
          <w:bCs/>
          <w:sz w:val="28"/>
          <w:szCs w:val="28"/>
        </w:rPr>
        <w:t>三是推动疫苗接种。</w:t>
      </w:r>
      <w:r>
        <w:rPr>
          <w:rFonts w:hint="eastAsia" w:ascii="宋体" w:hAnsi="宋体"/>
          <w:sz w:val="28"/>
          <w:szCs w:val="28"/>
        </w:rPr>
        <w:t>出台《关于开展交通运输系统新冠病毒疫苗全人群接种的通知》（湘交字〔2021〕28号），要求系统内有关人员主动做好疫苗接种工作。目前，第一剂接种2102人，第二剂接种2098人，完成率达99.8%，排名全市前列。重点人员加强免疫接种人员完成了656人，完成率达99.5%。</w:t>
      </w:r>
    </w:p>
    <w:p>
      <w:pPr>
        <w:spacing w:line="640" w:lineRule="exact"/>
        <w:ind w:firstLine="560" w:firstLineChars="200"/>
        <w:rPr>
          <w:rStyle w:val="16"/>
          <w:rFonts w:hint="eastAsia" w:ascii="宋体" w:hAnsi="宋体" w:cs="宋体"/>
          <w:sz w:val="28"/>
          <w:szCs w:val="28"/>
        </w:rPr>
      </w:pPr>
      <w:r>
        <w:rPr>
          <w:rFonts w:hint="eastAsia" w:ascii="宋体" w:hAnsi="宋体"/>
          <w:sz w:val="28"/>
          <w:szCs w:val="28"/>
        </w:rPr>
        <w:t>二、坚持分类施策，扎实推进重点项目建设。按照项目进展不同阶段，将全市重点交通基础设施项目分为三类，分别组建专业队伍跟进推动，确保每个项目能如期推进。</w:t>
      </w:r>
      <w:r>
        <w:rPr>
          <w:rStyle w:val="16"/>
          <w:rFonts w:hint="eastAsia" w:ascii="宋体" w:hAnsi="宋体" w:cs="宋体"/>
          <w:b/>
          <w:bCs/>
          <w:sz w:val="28"/>
          <w:szCs w:val="28"/>
        </w:rPr>
        <w:t>一是加快重大项目前期工作。醴娄高速湘乡段</w:t>
      </w:r>
      <w:r>
        <w:rPr>
          <w:rStyle w:val="16"/>
          <w:rFonts w:hint="eastAsia" w:ascii="宋体" w:hAnsi="宋体" w:cs="宋体"/>
          <w:sz w:val="28"/>
          <w:szCs w:val="28"/>
        </w:rPr>
        <w:t>，</w:t>
      </w:r>
      <w:r>
        <w:rPr>
          <w:rFonts w:hint="eastAsia" w:ascii="宋体" w:hAnsi="宋体"/>
          <w:sz w:val="28"/>
          <w:szCs w:val="28"/>
        </w:rPr>
        <w:t>已完成征地拆迁，正在进行路基施工；</w:t>
      </w:r>
      <w:r>
        <w:rPr>
          <w:rStyle w:val="16"/>
          <w:rFonts w:hint="eastAsia" w:ascii="宋体" w:hAnsi="宋体" w:cs="宋体"/>
          <w:b/>
          <w:bCs/>
          <w:sz w:val="28"/>
          <w:szCs w:val="28"/>
        </w:rPr>
        <w:t>益娄高速壶天涧山互通</w:t>
      </w:r>
      <w:r>
        <w:rPr>
          <w:rStyle w:val="16"/>
          <w:rFonts w:hint="eastAsia" w:ascii="宋体" w:hAnsi="宋体" w:cs="宋体"/>
          <w:sz w:val="28"/>
          <w:szCs w:val="28"/>
        </w:rPr>
        <w:t>,</w:t>
      </w:r>
      <w:r>
        <w:rPr>
          <w:rFonts w:hint="eastAsia" w:ascii="宋体" w:hAnsi="宋体"/>
          <w:sz w:val="28"/>
          <w:szCs w:val="28"/>
        </w:rPr>
        <w:t>已完成前期工作，正在进行施工招投标工作；</w:t>
      </w:r>
      <w:r>
        <w:rPr>
          <w:rStyle w:val="16"/>
          <w:rFonts w:hint="eastAsia" w:ascii="宋体" w:hAnsi="宋体" w:cs="宋体"/>
          <w:b/>
          <w:bCs/>
          <w:sz w:val="28"/>
          <w:szCs w:val="28"/>
        </w:rPr>
        <w:t>湘青线一期（西环线）</w:t>
      </w:r>
      <w:r>
        <w:rPr>
          <w:rFonts w:hint="eastAsia" w:ascii="宋体" w:hAnsi="宋体"/>
          <w:sz w:val="28"/>
          <w:szCs w:val="28"/>
        </w:rPr>
        <w:t>已完成初步设计工作；</w:t>
      </w:r>
      <w:r>
        <w:rPr>
          <w:rStyle w:val="16"/>
          <w:rFonts w:hint="eastAsia" w:ascii="宋体" w:hAnsi="宋体" w:cs="宋体"/>
          <w:b/>
          <w:bCs/>
          <w:sz w:val="28"/>
          <w:szCs w:val="28"/>
        </w:rPr>
        <w:t>乌韶公路（东环线）</w:t>
      </w:r>
      <w:r>
        <w:rPr>
          <w:rStyle w:val="16"/>
          <w:rFonts w:hint="eastAsia" w:ascii="宋体" w:hAnsi="宋体" w:cs="宋体"/>
          <w:sz w:val="28"/>
          <w:szCs w:val="28"/>
        </w:rPr>
        <w:t>已</w:t>
      </w:r>
      <w:r>
        <w:rPr>
          <w:rFonts w:hint="eastAsia" w:ascii="宋体" w:hAnsi="宋体"/>
          <w:sz w:val="28"/>
          <w:szCs w:val="28"/>
        </w:rPr>
        <w:t>完成立项工作，正在进行初步设计工作；</w:t>
      </w:r>
      <w:r>
        <w:rPr>
          <w:rStyle w:val="16"/>
          <w:rFonts w:hint="eastAsia" w:ascii="宋体" w:hAnsi="宋体" w:cs="宋体"/>
          <w:b/>
          <w:bCs/>
          <w:sz w:val="28"/>
          <w:szCs w:val="28"/>
        </w:rPr>
        <w:t>G240湘韶线湘乡段</w:t>
      </w:r>
      <w:r>
        <w:rPr>
          <w:rFonts w:hint="eastAsia" w:ascii="宋体" w:hAnsi="宋体"/>
          <w:sz w:val="28"/>
          <w:szCs w:val="28"/>
        </w:rPr>
        <w:t>完成施工招投标工作</w:t>
      </w:r>
      <w:r>
        <w:rPr>
          <w:rStyle w:val="16"/>
          <w:rFonts w:hint="eastAsia" w:ascii="宋体" w:hAnsi="宋体" w:cs="宋体"/>
          <w:b/>
          <w:bCs/>
          <w:sz w:val="28"/>
          <w:szCs w:val="28"/>
        </w:rPr>
        <w:t>；G354韶水线二期</w:t>
      </w:r>
      <w:r>
        <w:rPr>
          <w:rFonts w:hint="eastAsia" w:ascii="宋体" w:hAnsi="宋体"/>
          <w:sz w:val="28"/>
          <w:szCs w:val="28"/>
        </w:rPr>
        <w:t>目前在在进行国土报批工作；</w:t>
      </w:r>
      <w:r>
        <w:rPr>
          <w:rStyle w:val="16"/>
          <w:rFonts w:hint="eastAsia" w:ascii="宋体" w:hAnsi="宋体" w:cs="宋体"/>
          <w:b/>
          <w:bCs/>
          <w:sz w:val="28"/>
          <w:szCs w:val="28"/>
        </w:rPr>
        <w:t>韶峰南方物流大道及生态停车场</w:t>
      </w:r>
      <w:r>
        <w:rPr>
          <w:rStyle w:val="16"/>
          <w:rFonts w:hint="eastAsia" w:ascii="宋体" w:hAnsi="宋体" w:cs="宋体"/>
          <w:sz w:val="28"/>
          <w:szCs w:val="28"/>
        </w:rPr>
        <w:t>已完成初步设计并已获取批复，正在进行施工图设计；</w:t>
      </w:r>
      <w:r>
        <w:rPr>
          <w:rStyle w:val="16"/>
          <w:rFonts w:hint="eastAsia" w:ascii="宋体" w:hAnsi="宋体" w:cs="宋体"/>
          <w:b/>
          <w:bCs/>
          <w:sz w:val="28"/>
          <w:szCs w:val="28"/>
        </w:rPr>
        <w:t>G354丰年堂至白田镇段</w:t>
      </w:r>
      <w:r>
        <w:rPr>
          <w:rStyle w:val="16"/>
          <w:rFonts w:hint="eastAsia" w:ascii="宋体" w:hAnsi="宋体" w:cs="宋体"/>
          <w:sz w:val="28"/>
          <w:szCs w:val="28"/>
        </w:rPr>
        <w:t>已完成全部前期工作，正在进行施工招投标工作。</w:t>
      </w:r>
      <w:r>
        <w:rPr>
          <w:rStyle w:val="16"/>
          <w:rFonts w:hint="eastAsia" w:ascii="宋体" w:hAnsi="宋体" w:cs="宋体"/>
          <w:b/>
          <w:bCs/>
          <w:sz w:val="28"/>
          <w:szCs w:val="28"/>
        </w:rPr>
        <w:t>二是加快重点工程建设进度。</w:t>
      </w:r>
      <w:r>
        <w:rPr>
          <w:rStyle w:val="16"/>
          <w:rFonts w:hint="eastAsia" w:ascii="宋体" w:hAnsi="宋体" w:cs="宋体"/>
          <w:sz w:val="28"/>
          <w:szCs w:val="28"/>
        </w:rPr>
        <w:t>将全市重点交通基础设施项目作为重中之重，实行挂图作战，确保如期推进。</w:t>
      </w:r>
      <w:r>
        <w:rPr>
          <w:rStyle w:val="16"/>
          <w:rFonts w:hint="eastAsia" w:ascii="宋体" w:hAnsi="宋体" w:cs="宋体"/>
          <w:b/>
          <w:bCs/>
          <w:sz w:val="28"/>
          <w:szCs w:val="28"/>
        </w:rPr>
        <w:t>G320绕城线城区</w:t>
      </w:r>
      <w:r>
        <w:rPr>
          <w:rStyle w:val="16"/>
          <w:rFonts w:hint="eastAsia" w:ascii="宋体" w:hAnsi="宋体" w:cs="宋体"/>
          <w:sz w:val="28"/>
          <w:szCs w:val="28"/>
        </w:rPr>
        <w:t>段（北环线）路基已完成95%，路面已完成50%，绿化工程已完成30%；</w:t>
      </w:r>
      <w:r>
        <w:rPr>
          <w:rStyle w:val="16"/>
          <w:rFonts w:hint="eastAsia" w:ascii="宋体" w:hAnsi="宋体" w:cs="宋体"/>
          <w:b/>
          <w:bCs/>
          <w:sz w:val="28"/>
          <w:szCs w:val="28"/>
        </w:rPr>
        <w:t>农村段</w:t>
      </w:r>
      <w:r>
        <w:rPr>
          <w:rStyle w:val="16"/>
          <w:rFonts w:hint="eastAsia" w:ascii="宋体" w:hAnsi="宋体" w:cs="宋体"/>
          <w:sz w:val="28"/>
          <w:szCs w:val="28"/>
        </w:rPr>
        <w:t>基本完成征地拆迁工作，正在进行路基施工。</w:t>
      </w:r>
      <w:r>
        <w:rPr>
          <w:rStyle w:val="16"/>
          <w:rFonts w:hint="eastAsia" w:ascii="宋体" w:hAnsi="宋体" w:cs="宋体"/>
          <w:b/>
          <w:bCs/>
          <w:sz w:val="28"/>
          <w:szCs w:val="28"/>
        </w:rPr>
        <w:t>湘月线、桃中线、韶水一期</w:t>
      </w:r>
      <w:r>
        <w:rPr>
          <w:rStyle w:val="16"/>
          <w:rFonts w:hint="eastAsia" w:ascii="宋体" w:hAnsi="宋体" w:cs="宋体"/>
          <w:sz w:val="28"/>
          <w:szCs w:val="28"/>
        </w:rPr>
        <w:t>竣工验收工作已经完成。</w:t>
      </w:r>
      <w:r>
        <w:rPr>
          <w:rStyle w:val="16"/>
          <w:rFonts w:hint="eastAsia" w:ascii="宋体" w:hAnsi="宋体" w:cs="宋体"/>
          <w:b/>
          <w:bCs/>
          <w:sz w:val="28"/>
          <w:szCs w:val="28"/>
        </w:rPr>
        <w:t>三是加快民生实事落地见效。</w:t>
      </w:r>
      <w:r>
        <w:rPr>
          <w:rStyle w:val="16"/>
          <w:rFonts w:hint="eastAsia" w:ascii="宋体" w:hAnsi="宋体" w:cs="宋体"/>
          <w:sz w:val="28"/>
          <w:szCs w:val="28"/>
        </w:rPr>
        <w:t>不折不扣落实民生实事项目，全面完成安保工程180公里，危桥改造7座，资源产业路、旅游路35.37公里，农村公路150公里。</w:t>
      </w:r>
    </w:p>
    <w:p>
      <w:pPr>
        <w:pStyle w:val="17"/>
        <w:widowControl/>
        <w:spacing w:line="640" w:lineRule="exact"/>
        <w:ind w:firstLine="560"/>
        <w:rPr>
          <w:rStyle w:val="16"/>
          <w:rFonts w:hint="eastAsia" w:ascii="宋体" w:hAnsi="宋体" w:cs="宋体"/>
          <w:sz w:val="28"/>
          <w:szCs w:val="28"/>
        </w:rPr>
      </w:pPr>
      <w:r>
        <w:rPr>
          <w:rStyle w:val="16"/>
          <w:rFonts w:hint="eastAsia" w:ascii="宋体" w:hAnsi="宋体" w:cs="宋体"/>
          <w:sz w:val="28"/>
          <w:szCs w:val="28"/>
        </w:rPr>
        <w:t>三、坚持管养结合，着力提升道路养护质效。牢固树立公路“三分建、七分养”意识，通过养护、管理和专项治理相结合，着力解决道路养护工作中存在的问题。</w:t>
      </w:r>
      <w:r>
        <w:rPr>
          <w:rStyle w:val="16"/>
          <w:rFonts w:hint="eastAsia" w:ascii="宋体" w:hAnsi="宋体" w:cs="宋体"/>
          <w:b/>
          <w:bCs/>
          <w:sz w:val="28"/>
          <w:szCs w:val="28"/>
        </w:rPr>
        <w:t>一是常态养护有保障。</w:t>
      </w:r>
      <w:r>
        <w:rPr>
          <w:rStyle w:val="16"/>
          <w:rFonts w:hint="eastAsia" w:ascii="宋体" w:hAnsi="宋体" w:cs="宋体"/>
          <w:sz w:val="28"/>
          <w:szCs w:val="28"/>
        </w:rPr>
        <w:t>全面推进路长制，规范路产路权，积极调动镇村养路、护路积极性。2021年共修整路肩4200公里、路面修补18000多平方、修复破损钢护栏6000多米、施划标线30公里、清理水沟3000多公里，对700多处淤塞的涵洞进行了疏通，清理路障800多处，处理枯死树及遮挡视线杂枝等安全隐患900多处。我市国省道路面PQI值和优良路率平均为88%，PCI≥90%，在湘潭地区名列前茅。国省道养护目标任务全部按时完成。</w:t>
      </w:r>
      <w:r>
        <w:rPr>
          <w:rStyle w:val="16"/>
          <w:rFonts w:hint="eastAsia" w:ascii="宋体" w:hAnsi="宋体" w:cs="宋体"/>
          <w:b/>
          <w:bCs/>
          <w:sz w:val="28"/>
          <w:szCs w:val="28"/>
        </w:rPr>
        <w:t>二是综合治超有力度。</w:t>
      </w:r>
      <w:r>
        <w:rPr>
          <w:rStyle w:val="16"/>
          <w:rFonts w:hint="eastAsia" w:ascii="宋体" w:hAnsi="宋体" w:cs="宋体"/>
          <w:sz w:val="28"/>
          <w:szCs w:val="28"/>
        </w:rPr>
        <w:t>把治理超限超载作为公路养护的前置工序，创新实施超限超载治理联动治理、联合执法、联网监测“三联”模式，实现高速公路、普通干线公路、农村公路和城市道路“四路同治”。共查处超限超载车辆1690辆次，卸载货物3000余吨。其中路面查处超限超载车辆607辆次；非现场执法立案处理1083辆次；下发企业责令整改通知书5份、单位交办函2份，约谈运输企业3家，处罚源头企业4家；吊销从业资质6起，注销道路运输证6起；32家源头企业接入市级治超信息平台，远程监控实行全覆盖，全市普通公路货运车辆超限超载率稳控在1%以内，高速公路超限超载率控制在0.5%以内。</w:t>
      </w:r>
      <w:r>
        <w:rPr>
          <w:rStyle w:val="16"/>
          <w:rFonts w:hint="eastAsia" w:ascii="宋体" w:hAnsi="宋体" w:cs="宋体"/>
          <w:b/>
          <w:bCs/>
          <w:sz w:val="28"/>
          <w:szCs w:val="28"/>
        </w:rPr>
        <w:t>三是专项整治有成效。</w:t>
      </w:r>
      <w:r>
        <w:rPr>
          <w:rStyle w:val="16"/>
          <w:rFonts w:hint="eastAsia" w:ascii="宋体" w:hAnsi="宋体" w:cs="宋体"/>
          <w:sz w:val="28"/>
          <w:szCs w:val="28"/>
        </w:rPr>
        <w:t>重点开展“五大行动”。</w:t>
      </w:r>
      <w:r>
        <w:rPr>
          <w:rStyle w:val="16"/>
          <w:rFonts w:hint="eastAsia" w:ascii="宋体" w:hAnsi="宋体" w:cs="宋体"/>
          <w:b/>
          <w:bCs/>
          <w:sz w:val="28"/>
          <w:szCs w:val="28"/>
        </w:rPr>
        <w:t>开展安全整治行动。</w:t>
      </w:r>
      <w:r>
        <w:rPr>
          <w:rStyle w:val="16"/>
          <w:rFonts w:hint="eastAsia" w:ascii="宋体" w:hAnsi="宋体" w:cs="宋体"/>
          <w:sz w:val="28"/>
          <w:szCs w:val="28"/>
        </w:rPr>
        <w:t>以“交通顽瘴痼疾集中整治”为抓手，每月对运输企业开展安全生产监督检查，并对运输企业维稳进行全面摸排，对排查出来的2处不稳定因素进行了调处。对旅游市场进行安全隐患排查和督查，开展了校车行驶线路安全排查，发出隐患整改通知书41份。根据《湘潭市交通运输局关于&lt;湘潭市普铁沿线安全环境整治工作奖惩办法&gt;的通知》文件规定，对2021年5月31日前全面完成省、市交办的178处隐患问题以及通过“双段长”制排查出来由属地负责的铁路沿线隐患问题给予奖励。2021年我市按期完成省、市交办整治任务76处（178处隐患问题库）、运用“双段长”制排查整治的隐患15处、省交办公铁并行地段无防护栏整治9处（湘铁整治办〔2021﹞7号交办任务），共100处。</w:t>
      </w:r>
      <w:r>
        <w:rPr>
          <w:rStyle w:val="16"/>
          <w:rFonts w:hint="eastAsia" w:ascii="宋体" w:hAnsi="宋体" w:cs="宋体"/>
          <w:b/>
          <w:bCs/>
          <w:sz w:val="28"/>
          <w:szCs w:val="28"/>
        </w:rPr>
        <w:t>开展路政管理提升行动。</w:t>
      </w:r>
      <w:r>
        <w:rPr>
          <w:rStyle w:val="16"/>
          <w:rFonts w:hint="eastAsia" w:ascii="宋体" w:hAnsi="宋体" w:cs="宋体"/>
          <w:sz w:val="28"/>
          <w:szCs w:val="28"/>
        </w:rPr>
        <w:t>以全国“路政宣传月”为契机，以“学党史、当先锋、护公路、优服务”为主题，通过巡回播放宣传录音、摆放宣传展板、发放宣传资料、悬挂宣传标语等方式，向司机朋友、沿线村民、过往群众宣传相关法律法规。5月28日FM90.5中国交通广播电台以“路政员的一天”对我局的日常路政管理工作进行了现场直播，直播观看人数达1.3万人，反响热烈。积极加强以案释法，加大损坏侵占公路路产、路权违法违规行为查处力度，全年立案38起，大大提高了广大群众爱路护路意识。</w:t>
      </w:r>
      <w:r>
        <w:rPr>
          <w:rStyle w:val="16"/>
          <w:rFonts w:hint="eastAsia" w:ascii="宋体" w:hAnsi="宋体" w:cs="宋体"/>
          <w:b/>
          <w:bCs/>
          <w:sz w:val="28"/>
          <w:szCs w:val="28"/>
        </w:rPr>
        <w:t>开展马路市场整治行动。</w:t>
      </w:r>
      <w:r>
        <w:rPr>
          <w:rStyle w:val="16"/>
          <w:rFonts w:hint="eastAsia" w:ascii="宋体" w:hAnsi="宋体" w:cs="宋体"/>
          <w:sz w:val="28"/>
          <w:szCs w:val="28"/>
        </w:rPr>
        <w:t>对全市“马路市场”进行全面排查摸底，确定重点整治路段，深入各乡镇（办）全面开展“马路市场”专项整治行动。不定时对辖区内的“马路市场”进行督查检查，对部分乡镇（办）仍然存在的马路边摆摊设点、出场经营的情况，进行现场交办并督促各乡镇（办）立即整改，杜绝“马路市场”死灰复燃。</w:t>
      </w:r>
      <w:r>
        <w:rPr>
          <w:rStyle w:val="16"/>
          <w:rFonts w:hint="eastAsia" w:ascii="宋体" w:hAnsi="宋体" w:cs="宋体"/>
          <w:b/>
          <w:bCs/>
          <w:sz w:val="28"/>
          <w:szCs w:val="28"/>
        </w:rPr>
        <w:t>开展水上交通专项整治行动。</w:t>
      </w:r>
      <w:r>
        <w:rPr>
          <w:rStyle w:val="16"/>
          <w:rFonts w:hint="eastAsia" w:ascii="宋体" w:hAnsi="宋体" w:cs="宋体"/>
          <w:sz w:val="28"/>
          <w:szCs w:val="28"/>
        </w:rPr>
        <w:t>加强水上交通执法力度，我局执法大队与渔政及公安等相关部门通力配合，联合执法，开展了客运船舶、渡运安全等水上交通专项整治工作。依法查处“三无”船舶（含非法钓鱼平台及浮动设施）6艘，使我市的水上交通秩序有了很大的改善。</w:t>
      </w:r>
      <w:r>
        <w:rPr>
          <w:rStyle w:val="16"/>
          <w:rFonts w:hint="eastAsia" w:ascii="宋体" w:hAnsi="宋体" w:cs="宋体"/>
          <w:b/>
          <w:bCs/>
          <w:sz w:val="28"/>
          <w:szCs w:val="28"/>
        </w:rPr>
        <w:t>开展工程质量安全专项执法行动。</w:t>
      </w:r>
      <w:r>
        <w:rPr>
          <w:rStyle w:val="16"/>
          <w:rFonts w:hint="eastAsia" w:ascii="宋体" w:hAnsi="宋体" w:cs="宋体"/>
          <w:sz w:val="28"/>
          <w:szCs w:val="28"/>
        </w:rPr>
        <w:t>我局执法大队与交通安全和质量监督站、基本建设股等部门、股室建立了质安执法协作机制，落实交通项目建设重大执法事项联席会议制度，2月至9月共召开联席会议7次，检查在建工程36家次，处理违规案件8起。开展标后稽查专项执法检查，严肃查处人员履约不到位、报建报监不及时、偷工减料存在重大质量安全隐患等行为，严厉打击交通项目建设领域违法违规，确保交通项目建设领域秩序良好、质量可控、安全有效。今年我局组织执法检查活动745次，出动执法人员6425人次，联合应急管理、公安交警、高速交警、农业农村、乡镇办等部门单位开展联合执法行动255次，检查生产经营单位343家。各类交通运输违法违规行为共处罚款500余万元。</w:t>
      </w:r>
    </w:p>
    <w:p>
      <w:pPr>
        <w:spacing w:line="640" w:lineRule="exact"/>
        <w:ind w:firstLine="560" w:firstLineChars="200"/>
        <w:textAlignment w:val="baseline"/>
        <w:rPr>
          <w:rStyle w:val="16"/>
          <w:rFonts w:hint="eastAsia" w:ascii="宋体" w:hAnsi="宋体" w:cs="宋体"/>
          <w:sz w:val="28"/>
          <w:szCs w:val="28"/>
        </w:rPr>
      </w:pPr>
      <w:r>
        <w:rPr>
          <w:rStyle w:val="16"/>
          <w:rFonts w:hint="eastAsia" w:ascii="宋体" w:hAnsi="宋体" w:cs="宋体"/>
          <w:sz w:val="28"/>
          <w:szCs w:val="28"/>
        </w:rPr>
        <w:t>四、坚持改革创新，持续优化管理服务水平。认真落实市委、市政府优化营商环境、强化行业管理的部署要求，以改革创新为抓手，积极改进政务服务水平和效率。</w:t>
      </w:r>
      <w:r>
        <w:rPr>
          <w:rStyle w:val="16"/>
          <w:rFonts w:hint="eastAsia" w:ascii="宋体" w:hAnsi="宋体" w:cs="宋体"/>
          <w:b/>
          <w:bCs/>
          <w:sz w:val="28"/>
          <w:szCs w:val="28"/>
        </w:rPr>
        <w:t>深化行政审批改革。</w:t>
      </w:r>
      <w:r>
        <w:rPr>
          <w:rStyle w:val="16"/>
          <w:rFonts w:hint="eastAsia" w:ascii="宋体" w:hAnsi="宋体" w:cs="宋体"/>
          <w:iCs/>
          <w:sz w:val="28"/>
          <w:szCs w:val="28"/>
        </w:rPr>
        <w:t>进一步完善“马上办，最多跑一次”服务模式，共计办件数13638件，其中运政办证、车辆年审1355件，从业资格证1109件，路政许可4件，城市公交IC卡11170件，从业务办结率、群众满意率均达到100%。实践</w:t>
      </w:r>
      <w:r>
        <w:rPr>
          <w:rStyle w:val="16"/>
          <w:rFonts w:hint="eastAsia" w:ascii="宋体" w:hAnsi="宋体" w:cs="宋体"/>
          <w:sz w:val="28"/>
          <w:szCs w:val="28"/>
        </w:rPr>
        <w:t>中，我局狠抓“全覆盖+全方位”流程优化，以实现企业和群众“只上一张网、只看一张表、只进一个厅、最多跑一次”为目的，不断规范并优化行政许可事项办理程序及流程，梳理“互联网+政务服务一体化平台”事项195项；狠抓“扁平化+智能化”行政审批，对8个高频事项实行“一窗受理、一窗办结”，全面压减群众提交材料和跑动次数；狠抓“限时办、延长办”服务保障，法定办结时限从原本的20、10、7个工作日，分别压缩至7、3、1个工作日，平均优化压缩率达70%-95%。同时，制定工作人员“延时服务”制度，切实方便运输企业、个体、从业人员办理运输行政许可、车辆年审、换发证件等业务，企业和群众的满意度明显提升。</w:t>
      </w:r>
      <w:r>
        <w:rPr>
          <w:rStyle w:val="16"/>
          <w:rFonts w:hint="eastAsia" w:ascii="宋体" w:hAnsi="宋体" w:cs="宋体"/>
          <w:b/>
          <w:bCs/>
          <w:sz w:val="28"/>
          <w:szCs w:val="28"/>
        </w:rPr>
        <w:t>创新行业信誉管理。</w:t>
      </w:r>
      <w:r>
        <w:rPr>
          <w:rStyle w:val="16"/>
          <w:rFonts w:hint="eastAsia" w:ascii="宋体" w:hAnsi="宋体" w:cs="宋体"/>
          <w:iCs/>
          <w:color w:val="000000"/>
          <w:sz w:val="28"/>
          <w:szCs w:val="28"/>
        </w:rPr>
        <w:t>制订《关于开展2020年度道路客货运输企业质量信誉考核工作的通知》（湘交字〔2021〕41号），对22个货运企业、5家出租车公司、湘乡汽车站进行了质量信誉考核，运输服务质量不断得到提升。按照《湘乡市城市公交企业服务质量信誉考核及财政奖补办法》，牵头组织市文明办、公安交警、财政、城管部门完成了五次城市公交质量信誉考核，提升了客运服务水平。</w:t>
      </w:r>
      <w:r>
        <w:rPr>
          <w:rStyle w:val="16"/>
          <w:rFonts w:hint="eastAsia" w:ascii="宋体" w:hAnsi="宋体" w:cs="宋体"/>
          <w:b/>
          <w:bCs/>
          <w:sz w:val="28"/>
          <w:szCs w:val="28"/>
        </w:rPr>
        <w:t>完善行业安全监管。</w:t>
      </w:r>
      <w:r>
        <w:rPr>
          <w:rStyle w:val="16"/>
          <w:rFonts w:hint="eastAsia" w:ascii="宋体" w:hAnsi="宋体" w:cs="宋体"/>
          <w:sz w:val="28"/>
          <w:szCs w:val="28"/>
        </w:rPr>
        <w:t>突出节假日重点时段、非法营运等重点环节，全面压实行业安全管理责任。出台了《2021年节假日、寒暑假安全运输保障工作方案》（湘交安专字〔2021〕1号）《关于做好“清明”“五一”假期交通运输安全工作的通知》（湘交字〔2021〕29号）、《关于认真做好“端午”“中秋”“国庆”假期交通运输安全工作的通知》（湘交字〔2021〕65号）、《关于做好2021年教育考试期间交通运输保障和疫情防控工作方案》（湘交字〔2021〕56号），圆满完成了政府交办的3000多学生高考运输保障任务，确保了今年运输安全平稳。</w:t>
      </w:r>
    </w:p>
    <w:p>
      <w:pPr>
        <w:spacing w:line="640" w:lineRule="exact"/>
        <w:ind w:firstLine="548" w:firstLineChars="196"/>
        <w:textAlignment w:val="baseline"/>
        <w:rPr>
          <w:rStyle w:val="16"/>
          <w:rFonts w:hint="eastAsia" w:ascii="宋体" w:hAnsi="宋体" w:cs="宋体"/>
          <w:sz w:val="28"/>
          <w:szCs w:val="28"/>
        </w:rPr>
      </w:pPr>
      <w:r>
        <w:rPr>
          <w:rStyle w:val="16"/>
          <w:rFonts w:hint="eastAsia" w:ascii="宋体" w:hAnsi="宋体" w:cs="宋体"/>
          <w:color w:val="000000"/>
          <w:sz w:val="28"/>
          <w:szCs w:val="28"/>
        </w:rPr>
        <w:t>五、坚持服务大局，高效推进重点任务落实。</w:t>
      </w:r>
      <w:r>
        <w:rPr>
          <w:rStyle w:val="16"/>
          <w:rFonts w:hint="eastAsia" w:ascii="宋体" w:hAnsi="宋体" w:cs="宋体"/>
          <w:sz w:val="28"/>
          <w:szCs w:val="28"/>
        </w:rPr>
        <w:t>牢牢把握政治机关定位，坚持把放眼全局、服务大局作为做好交通运输各项工作的出发点和立足点，努力在服务大局中展现“新作为”。</w:t>
      </w:r>
      <w:r>
        <w:rPr>
          <w:rStyle w:val="16"/>
          <w:rFonts w:hint="eastAsia" w:ascii="宋体" w:hAnsi="宋体" w:cs="宋体"/>
          <w:b/>
          <w:bCs/>
          <w:sz w:val="28"/>
          <w:szCs w:val="28"/>
        </w:rPr>
        <w:t>一是积极做好建议提案办理。</w:t>
      </w:r>
      <w:r>
        <w:rPr>
          <w:rStyle w:val="16"/>
          <w:rFonts w:hint="eastAsia" w:ascii="宋体" w:hAnsi="宋体" w:cs="宋体"/>
          <w:sz w:val="28"/>
          <w:szCs w:val="28"/>
        </w:rPr>
        <w:t>对收到的145份建议提案（其中，人大建议131件，政协提案11件，党代表建议3件）进行细致研究，落实公路建设指标30公里，并从有限的办公经费中挤出100余万元给予资金支持，实现了办理工作“办结率”100%，代表和委员基本满意。</w:t>
      </w:r>
      <w:r>
        <w:rPr>
          <w:rStyle w:val="16"/>
          <w:rFonts w:hint="eastAsia" w:ascii="宋体" w:hAnsi="宋体" w:cs="宋体"/>
          <w:b/>
          <w:bCs/>
          <w:sz w:val="28"/>
          <w:szCs w:val="28"/>
        </w:rPr>
        <w:t>二是严格落实污染防治任务。</w:t>
      </w:r>
      <w:r>
        <w:rPr>
          <w:rStyle w:val="16"/>
          <w:rFonts w:hint="eastAsia" w:ascii="宋体" w:hAnsi="宋体" w:cs="宋体"/>
          <w:sz w:val="28"/>
          <w:szCs w:val="28"/>
        </w:rPr>
        <w:t>探索建立并持续完善交通运输行业环境保护长效机制，制定2021年深入打好污染防治攻坚战工作方案，按照方案坚持深入开展交通领域环境保护及治理工作。完成2021年市交办的中央环保督察信仿件的办结工作，按规定时间牵头完成沪昆高速湘乡棋梓普安段中央环保信访交办工作，配合市自然资源局完成山枣镇莲花桥村湖南鑫碧石材有限公司毁坏道路中央环保信访件交办任务，完成湘乡市东郊乡向宏新型墙体材料有限公司毁坏道路中央环保信访件交办任务。积极响应绿色通行号召，逐步进行更新换代燃气混合出租汽车，现已更新36台。所有客运船舶均按要求配备了生活垃圾桶，并按上级要求配装生活污水处置装置；15处撤渡渡口码头复绿工作已按要求完成，恢复了自然岸线；水府庙水上客运公司购置了环保电瓶船，现有的船舶都配置了污水处理器；水府庙船舶垃圾收集转运站已经投入运营使用，极大地提高了库区人民生活用水水质。</w:t>
      </w:r>
      <w:r>
        <w:rPr>
          <w:rStyle w:val="16"/>
          <w:rFonts w:hint="eastAsia" w:ascii="宋体" w:hAnsi="宋体" w:cs="宋体"/>
          <w:b/>
          <w:bCs/>
          <w:sz w:val="28"/>
          <w:szCs w:val="28"/>
        </w:rPr>
        <w:t>三是常态化开展扫黑除恶斗争。</w:t>
      </w:r>
      <w:r>
        <w:rPr>
          <w:rStyle w:val="16"/>
          <w:rFonts w:hint="eastAsia" w:ascii="宋体" w:hAnsi="宋体" w:cs="宋体"/>
          <w:sz w:val="28"/>
          <w:szCs w:val="28"/>
        </w:rPr>
        <w:t>结合交通项目建设、公路设施管养、交通运输行政审批，公路水路运输、站场码头营运、物流园区经营、交通运输综合执法等工作，深入开展涉黑涉恶问题行业乱象线索排查，今年以来排查出行业乱象线索1条。</w:t>
      </w:r>
      <w:r>
        <w:rPr>
          <w:rStyle w:val="16"/>
          <w:rFonts w:hint="eastAsia" w:ascii="宋体" w:hAnsi="宋体" w:cs="宋体"/>
          <w:b/>
          <w:bCs/>
          <w:sz w:val="28"/>
          <w:szCs w:val="28"/>
        </w:rPr>
        <w:t>四是扎实推进文明创建。</w:t>
      </w:r>
      <w:r>
        <w:rPr>
          <w:rStyle w:val="16"/>
          <w:rFonts w:hint="eastAsia" w:ascii="宋体" w:hAnsi="宋体" w:cs="宋体"/>
          <w:sz w:val="28"/>
          <w:szCs w:val="28"/>
        </w:rPr>
        <w:t>按照市创建办的要求，制订了《关于创建全国文明城市开展文明劝导志愿服务工作方案》（湘交字〔2021〕40号）、《关于扎实做好交通系统文明城市创建工作的实施方案》（湘交字〔2021〕46号）、《关于开展2021年文明城市创建值守的通知》，明确了责任单位和责任人，开展了每个星期四、星期五在汽车站广场开展文明劝导工作，在全国文明城市测评中对122个公交站台进行了文明值守。</w:t>
      </w:r>
    </w:p>
    <w:p>
      <w:pPr>
        <w:spacing w:line="640" w:lineRule="exact"/>
        <w:ind w:firstLine="548" w:firstLineChars="196"/>
        <w:textAlignment w:val="baseline"/>
        <w:rPr>
          <w:rStyle w:val="16"/>
          <w:rFonts w:hint="eastAsia" w:ascii="宋体" w:hAnsi="宋体" w:cs="宋体"/>
          <w:sz w:val="28"/>
          <w:szCs w:val="28"/>
        </w:rPr>
      </w:pPr>
      <w:r>
        <w:rPr>
          <w:rStyle w:val="16"/>
          <w:rFonts w:hint="eastAsia" w:ascii="宋体" w:hAnsi="宋体" w:cs="宋体"/>
          <w:bCs/>
          <w:sz w:val="28"/>
          <w:szCs w:val="28"/>
        </w:rPr>
        <w:t>六、坚持党建引领，有力夯实基层党建基础。</w:t>
      </w:r>
      <w:r>
        <w:rPr>
          <w:rStyle w:val="16"/>
          <w:rFonts w:hint="eastAsia" w:ascii="宋体" w:hAnsi="宋体" w:cs="宋体"/>
          <w:sz w:val="28"/>
          <w:szCs w:val="28"/>
        </w:rPr>
        <w:t>坚持把党史学习教育作为贯穿全年的主线，坚持学习与实践相结合，认真抓好基层党组织标准化、规范化建设，发挥党建引领作用，提振交通运输干部精气神。</w:t>
      </w:r>
      <w:r>
        <w:rPr>
          <w:rStyle w:val="16"/>
          <w:rFonts w:hint="eastAsia" w:ascii="宋体" w:hAnsi="宋体" w:cs="宋体"/>
          <w:b/>
          <w:sz w:val="28"/>
          <w:szCs w:val="28"/>
        </w:rPr>
        <w:t>一是纵深推进党史学习教育。</w:t>
      </w:r>
      <w:r>
        <w:rPr>
          <w:rStyle w:val="16"/>
          <w:rFonts w:hint="eastAsia" w:ascii="宋体" w:hAnsi="宋体" w:cs="宋体"/>
          <w:sz w:val="28"/>
          <w:szCs w:val="28"/>
        </w:rPr>
        <w:t>用好理论中心组、三会一课、主题</w:t>
      </w:r>
      <w:r>
        <w:rPr>
          <w:rStyle w:val="16"/>
          <w:rFonts w:hint="eastAsia" w:ascii="宋体" w:hAnsi="宋体" w:eastAsia="宋体" w:cs="宋体"/>
          <w:sz w:val="28"/>
          <w:szCs w:val="28"/>
          <w:lang w:val="en-US" w:eastAsia="zh-CN"/>
        </w:rPr>
        <w:t>党日</w:t>
      </w:r>
      <w:r>
        <w:rPr>
          <w:rStyle w:val="16"/>
          <w:rFonts w:hint="eastAsia" w:ascii="宋体" w:hAnsi="宋体" w:cs="宋体"/>
          <w:sz w:val="28"/>
          <w:szCs w:val="28"/>
        </w:rPr>
        <w:t>等学习平台载体，组织全局党员开展集体学习、专题研讨。深入开展学习贯彻“七一”重要讲话、党的十九届六中全会精神专题活动，并积极用好当地红色资源，以支部为单位，分批组织党员同志实地学教，增强党员意识和党性观念。</w:t>
      </w:r>
      <w:r>
        <w:rPr>
          <w:rStyle w:val="16"/>
          <w:rFonts w:hint="eastAsia" w:ascii="宋体" w:hAnsi="宋体" w:cs="宋体"/>
          <w:b/>
          <w:sz w:val="28"/>
          <w:szCs w:val="28"/>
        </w:rPr>
        <w:t>二是发挥党员先锋模范作用。</w:t>
      </w:r>
      <w:r>
        <w:rPr>
          <w:rStyle w:val="16"/>
          <w:rFonts w:hint="eastAsia" w:ascii="宋体" w:hAnsi="宋体" w:cs="宋体"/>
          <w:sz w:val="28"/>
          <w:szCs w:val="28"/>
        </w:rPr>
        <w:t>以开展“我为群众办实事”实践活动为抓手，组织全局干部职工每月到潭市镇群众联点村潭市村、长城村和结对帮扶村防严村、新群村、砂坪村开展基层“大走访”，一共走访425户，送出生活慰问物资共计5.17万元，坚持每月走访不少于10户，走访有记录，民情有日记，帮助群众解决产业发展、基础建设、惠农政策、民生方面等问题，倾听群众心声，努力解决他们的生产生活困难，让群众更有获得感、幸福感。按照市委要求，选派3名优秀党员干部，到潭市镇长城村、壶天镇南岳坪村担任工作队队长及副队长，积极助力乡村振兴。市群工部授予本局“群众工作先进单位”荣誉称号。</w:t>
      </w:r>
      <w:r>
        <w:rPr>
          <w:rStyle w:val="16"/>
          <w:rFonts w:hint="eastAsia" w:ascii="宋体" w:hAnsi="宋体" w:cs="宋体"/>
          <w:b/>
          <w:sz w:val="28"/>
          <w:szCs w:val="28"/>
        </w:rPr>
        <w:t>三是持续推进全面从严治党。</w:t>
      </w:r>
      <w:r>
        <w:rPr>
          <w:rStyle w:val="16"/>
          <w:rFonts w:hint="eastAsia" w:ascii="宋体" w:hAnsi="宋体" w:cs="宋体"/>
          <w:sz w:val="28"/>
          <w:szCs w:val="28"/>
        </w:rPr>
        <w:t>从严加强党风廉政建设，驰而不息纠正“四风”，始终坚持从严执纪，今年以来，开除辅警1人，通报批评、诫勉谈话30余人。提拔干部3人次，职级晋升1人次。从5月初起至10月底，开展期6个月的交通运输执法领域突出问题专项整治行动，全力提升队伍整体素质和群众满意度。压紧压实意识形态工作责任制，妥处舆情164件，受理市民服务热线累计452条，答复率100%；在各级媒体发表外宣文章150篇，其中在全国发行的期刊、媒体上发表15篇，省级媒体上发表30篇。</w:t>
      </w: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pStyle w:val="2"/>
        <w:rPr>
          <w:rStyle w:val="16"/>
          <w:rFonts w:hint="eastAsia" w:ascii="宋体" w:hAnsi="宋体" w:cs="宋体"/>
          <w:sz w:val="28"/>
          <w:szCs w:val="28"/>
        </w:rPr>
      </w:pPr>
    </w:p>
    <w:p>
      <w:pPr>
        <w:jc w:val="center"/>
        <w:rPr>
          <w:rFonts w:hint="eastAsia" w:ascii="楷体" w:hAnsi="楷体" w:eastAsia="楷体" w:cs="楷体"/>
          <w:b/>
          <w:sz w:val="44"/>
          <w:szCs w:val="44"/>
        </w:rPr>
      </w:pPr>
      <w:r>
        <w:rPr>
          <w:rFonts w:hint="eastAsia" w:ascii="楷体" w:hAnsi="楷体" w:eastAsia="楷体" w:cs="楷体"/>
          <w:b/>
          <w:sz w:val="44"/>
          <w:szCs w:val="44"/>
        </w:rPr>
        <w:t>202</w:t>
      </w:r>
      <w:r>
        <w:rPr>
          <w:rFonts w:hint="eastAsia" w:ascii="楷体" w:hAnsi="楷体" w:eastAsia="楷体" w:cs="楷体"/>
          <w:b/>
          <w:sz w:val="44"/>
          <w:szCs w:val="44"/>
          <w:lang w:val="en-US" w:eastAsia="zh-CN"/>
        </w:rPr>
        <w:t>1</w:t>
      </w:r>
      <w:r>
        <w:rPr>
          <w:rFonts w:hint="eastAsia" w:ascii="楷体" w:hAnsi="楷体" w:eastAsia="楷体" w:cs="楷体"/>
          <w:b/>
          <w:sz w:val="44"/>
          <w:szCs w:val="44"/>
        </w:rPr>
        <w:t>年度</w:t>
      </w:r>
      <w:r>
        <w:rPr>
          <w:rFonts w:hint="eastAsia" w:ascii="楷体" w:hAnsi="楷体" w:eastAsia="楷体" w:cs="楷体"/>
          <w:b/>
          <w:sz w:val="44"/>
          <w:szCs w:val="44"/>
          <w:lang w:eastAsia="zh-CN"/>
        </w:rPr>
        <w:t>交通项目前期经费</w:t>
      </w:r>
    </w:p>
    <w:p>
      <w:pPr>
        <w:jc w:val="center"/>
        <w:rPr>
          <w:rFonts w:hint="eastAsia" w:ascii="楷体" w:hAnsi="楷体" w:eastAsia="楷体" w:cs="楷体"/>
          <w:b/>
          <w:sz w:val="44"/>
          <w:szCs w:val="44"/>
        </w:rPr>
      </w:pPr>
      <w:r>
        <w:rPr>
          <w:rFonts w:hint="eastAsia" w:ascii="楷体" w:hAnsi="楷体" w:eastAsia="楷体" w:cs="楷体"/>
          <w:b/>
          <w:sz w:val="44"/>
          <w:szCs w:val="44"/>
        </w:rPr>
        <w:t>项目支出绩效自评报告</w:t>
      </w:r>
    </w:p>
    <w:p>
      <w:pPr>
        <w:ind w:firstLine="600" w:firstLineChars="200"/>
        <w:rPr>
          <w:rFonts w:hint="eastAsia" w:ascii="楷体" w:hAnsi="楷体" w:eastAsia="楷体" w:cs="楷体"/>
          <w:sz w:val="30"/>
          <w:szCs w:val="30"/>
          <w:lang w:bidi="ar"/>
        </w:rPr>
      </w:pPr>
    </w:p>
    <w:p>
      <w:pPr>
        <w:ind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根据《湘乡市人民政府关于全面推进预算绩效管理的实施意见》（湘乡政发[2014]12号）和湘乡财政局《202</w:t>
      </w:r>
      <w:r>
        <w:rPr>
          <w:rFonts w:hint="eastAsia" w:ascii="楷体" w:hAnsi="楷体" w:eastAsia="楷体" w:cs="楷体"/>
          <w:sz w:val="30"/>
          <w:szCs w:val="30"/>
          <w:lang w:val="en-US" w:eastAsia="zh-CN" w:bidi="ar"/>
        </w:rPr>
        <w:t>2</w:t>
      </w:r>
      <w:r>
        <w:rPr>
          <w:rFonts w:hint="eastAsia" w:ascii="楷体" w:hAnsi="楷体" w:eastAsia="楷体" w:cs="楷体"/>
          <w:sz w:val="30"/>
          <w:szCs w:val="30"/>
          <w:lang w:bidi="ar"/>
        </w:rPr>
        <w:t>年湘乡市预算绩效管理工作方案》（湘乡财绩[202</w:t>
      </w:r>
      <w:r>
        <w:rPr>
          <w:rFonts w:hint="eastAsia" w:ascii="楷体" w:hAnsi="楷体" w:eastAsia="楷体" w:cs="楷体"/>
          <w:sz w:val="30"/>
          <w:szCs w:val="30"/>
          <w:lang w:val="en-US" w:eastAsia="zh-CN" w:bidi="ar"/>
        </w:rPr>
        <w:t>2</w:t>
      </w:r>
      <w:r>
        <w:rPr>
          <w:rFonts w:hint="eastAsia" w:ascii="楷体" w:hAnsi="楷体" w:eastAsia="楷体" w:cs="楷体"/>
          <w:sz w:val="30"/>
          <w:szCs w:val="30"/>
          <w:lang w:bidi="ar"/>
        </w:rPr>
        <w:t>]1号）文件要求，强化绩效理念，提高财政资金使用效益，我局组织人员对202</w:t>
      </w:r>
      <w:r>
        <w:rPr>
          <w:rFonts w:hint="eastAsia" w:ascii="楷体" w:hAnsi="楷体" w:eastAsia="楷体" w:cs="楷体"/>
          <w:sz w:val="30"/>
          <w:szCs w:val="30"/>
          <w:lang w:val="en-US" w:eastAsia="zh-CN" w:bidi="ar"/>
        </w:rPr>
        <w:t>1</w:t>
      </w:r>
      <w:r>
        <w:rPr>
          <w:rFonts w:hint="eastAsia" w:ascii="楷体" w:hAnsi="楷体" w:eastAsia="楷体" w:cs="楷体"/>
          <w:sz w:val="30"/>
          <w:szCs w:val="30"/>
          <w:lang w:bidi="ar"/>
        </w:rPr>
        <w:t>年度</w:t>
      </w:r>
      <w:r>
        <w:rPr>
          <w:rFonts w:hint="eastAsia" w:ascii="楷体" w:hAnsi="楷体" w:eastAsia="楷体" w:cs="楷体"/>
          <w:sz w:val="30"/>
          <w:szCs w:val="30"/>
          <w:lang w:eastAsia="zh-CN" w:bidi="ar"/>
        </w:rPr>
        <w:t>交通项目前期经费</w:t>
      </w:r>
      <w:r>
        <w:rPr>
          <w:rFonts w:hint="eastAsia" w:ascii="楷体" w:hAnsi="楷体" w:eastAsia="楷体" w:cs="楷体"/>
          <w:sz w:val="30"/>
          <w:szCs w:val="30"/>
          <w:lang w:bidi="ar"/>
        </w:rPr>
        <w:t>项目支出进行绩效评价。</w:t>
      </w:r>
    </w:p>
    <w:p>
      <w:pPr>
        <w:pStyle w:val="2"/>
        <w:ind w:firstLine="482"/>
      </w:pPr>
    </w:p>
    <w:p>
      <w:pPr>
        <w:pStyle w:val="13"/>
        <w:ind w:firstLine="723"/>
        <w:rPr>
          <w:rFonts w:ascii="楷体" w:hAnsi="楷体" w:eastAsia="楷体" w:cs="楷体"/>
          <w:b/>
          <w:sz w:val="36"/>
          <w:szCs w:val="36"/>
        </w:rPr>
      </w:pPr>
      <w:r>
        <w:rPr>
          <w:rFonts w:hint="eastAsia" w:ascii="楷体" w:hAnsi="楷体" w:eastAsia="楷体" w:cs="楷体"/>
          <w:b/>
          <w:sz w:val="36"/>
          <w:szCs w:val="36"/>
        </w:rPr>
        <w:t>一、项目基本情况</w:t>
      </w:r>
    </w:p>
    <w:p>
      <w:pPr>
        <w:pStyle w:val="13"/>
        <w:ind w:left="420" w:firstLine="0" w:firstLineChars="0"/>
        <w:rPr>
          <w:rFonts w:ascii="楷体" w:hAnsi="楷体" w:eastAsia="楷体" w:cs="楷体"/>
          <w:b/>
          <w:bCs/>
          <w:sz w:val="32"/>
          <w:szCs w:val="32"/>
        </w:rPr>
      </w:pPr>
      <w:r>
        <w:rPr>
          <w:rFonts w:hint="eastAsia" w:ascii="楷体" w:hAnsi="楷体" w:eastAsia="楷体" w:cs="楷体"/>
          <w:b/>
          <w:bCs/>
          <w:sz w:val="32"/>
          <w:szCs w:val="32"/>
        </w:rPr>
        <w:t>（一）项目概况</w:t>
      </w:r>
    </w:p>
    <w:p>
      <w:pPr>
        <w:ind w:firstLine="600" w:firstLineChars="200"/>
        <w:rPr>
          <w:rFonts w:hint="eastAsia" w:ascii="楷体" w:hAnsi="楷体" w:eastAsia="楷体" w:cs="楷体"/>
          <w:sz w:val="30"/>
          <w:szCs w:val="30"/>
        </w:rPr>
      </w:pPr>
      <w:r>
        <w:rPr>
          <w:rFonts w:hint="eastAsia" w:ascii="楷体" w:hAnsi="楷体" w:eastAsia="楷体" w:cs="楷体"/>
          <w:sz w:val="30"/>
          <w:szCs w:val="30"/>
        </w:rPr>
        <w:t>优化我市交通网络，构建湘乡大交通宏图，形成高效快捷的交通网络，是我们每个交通人的梦想。交通项目前期工作做好规划、论证、工可等前期工作，为迅速推动我市交通项目建设起了至关重要的作用。</w:t>
      </w:r>
    </w:p>
    <w:p>
      <w:pPr>
        <w:pStyle w:val="13"/>
        <w:ind w:left="426" w:firstLine="0" w:firstLineChars="0"/>
        <w:rPr>
          <w:rFonts w:ascii="楷体" w:hAnsi="楷体" w:eastAsia="楷体" w:cs="楷体"/>
          <w:b/>
          <w:bCs/>
          <w:sz w:val="32"/>
          <w:szCs w:val="32"/>
        </w:rPr>
      </w:pPr>
      <w:r>
        <w:rPr>
          <w:rFonts w:hint="eastAsia" w:ascii="楷体" w:hAnsi="楷体" w:eastAsia="楷体" w:cs="楷体"/>
          <w:b/>
          <w:bCs/>
          <w:sz w:val="32"/>
          <w:szCs w:val="32"/>
        </w:rPr>
        <w:t>（二）项目绩效目标</w:t>
      </w:r>
    </w:p>
    <w:p>
      <w:pPr>
        <w:pStyle w:val="13"/>
        <w:numPr>
          <w:ilvl w:val="0"/>
          <w:numId w:val="0"/>
        </w:numPr>
        <w:ind w:firstLine="600" w:firstLineChars="200"/>
        <w:rPr>
          <w:rFonts w:hint="eastAsia" w:ascii="楷体" w:hAnsi="楷体" w:eastAsia="楷体" w:cs="楷体"/>
          <w:sz w:val="30"/>
          <w:szCs w:val="30"/>
        </w:rPr>
      </w:pPr>
      <w:r>
        <w:rPr>
          <w:rFonts w:hint="eastAsia" w:ascii="楷体" w:hAnsi="楷体" w:eastAsia="楷体" w:cs="楷体"/>
          <w:sz w:val="30"/>
          <w:szCs w:val="30"/>
        </w:rPr>
        <w:t>1、完成韶峰南方物流大道两阶段初步设计并取得批复；2、完成上海至昆明国家高速公路湖南省醴陵至娄底段扩容工程初步设计并取得批复；3、完成G240沪昆高铁韶山南站至湘乡公路两阶段施工图设计并取得批复。</w:t>
      </w:r>
    </w:p>
    <w:p>
      <w:pPr>
        <w:pStyle w:val="13"/>
        <w:ind w:left="426" w:firstLine="0" w:firstLineChars="0"/>
        <w:rPr>
          <w:rFonts w:hint="eastAsia" w:ascii="楷体" w:hAnsi="楷体" w:eastAsia="楷体" w:cs="楷体"/>
          <w:b/>
          <w:bCs/>
          <w:sz w:val="32"/>
          <w:szCs w:val="32"/>
        </w:rPr>
      </w:pPr>
      <w:r>
        <w:rPr>
          <w:rFonts w:hint="eastAsia" w:ascii="楷体" w:hAnsi="楷体" w:eastAsia="楷体" w:cs="楷体"/>
          <w:b/>
          <w:bCs/>
          <w:sz w:val="32"/>
          <w:szCs w:val="32"/>
          <w:lang w:eastAsia="zh-CN"/>
        </w:rPr>
        <w:t>（</w:t>
      </w:r>
      <w:r>
        <w:rPr>
          <w:rFonts w:hint="eastAsia" w:ascii="楷体" w:hAnsi="楷体" w:eastAsia="楷体" w:cs="楷体"/>
          <w:b/>
          <w:bCs/>
          <w:sz w:val="32"/>
          <w:szCs w:val="32"/>
          <w:lang w:val="en-US" w:eastAsia="zh-CN"/>
        </w:rPr>
        <w:t>三</w:t>
      </w:r>
      <w:r>
        <w:rPr>
          <w:rFonts w:hint="eastAsia" w:ascii="楷体" w:hAnsi="楷体" w:eastAsia="楷体" w:cs="楷体"/>
          <w:b/>
          <w:bCs/>
          <w:sz w:val="32"/>
          <w:szCs w:val="32"/>
          <w:lang w:eastAsia="zh-CN"/>
        </w:rPr>
        <w:t>）</w:t>
      </w:r>
      <w:r>
        <w:rPr>
          <w:rFonts w:hint="eastAsia" w:ascii="楷体" w:hAnsi="楷体" w:eastAsia="楷体" w:cs="楷体"/>
          <w:b/>
          <w:bCs/>
          <w:sz w:val="32"/>
          <w:szCs w:val="32"/>
        </w:rPr>
        <w:t>项目实施情况分析</w:t>
      </w:r>
    </w:p>
    <w:p>
      <w:pPr>
        <w:ind w:firstLine="600" w:firstLineChars="200"/>
        <w:rPr>
          <w:rFonts w:hint="eastAsia" w:ascii="楷体" w:hAnsi="楷体" w:eastAsia="楷体" w:cs="楷体"/>
          <w:sz w:val="30"/>
          <w:szCs w:val="30"/>
          <w:lang w:val="en-US" w:eastAsia="zh-CN"/>
        </w:rPr>
      </w:pPr>
      <w:r>
        <w:rPr>
          <w:rFonts w:hint="eastAsia" w:ascii="楷体" w:hAnsi="楷体" w:eastAsia="楷体" w:cs="楷体"/>
          <w:sz w:val="30"/>
          <w:szCs w:val="30"/>
          <w:lang w:val="en-US" w:eastAsia="zh-CN"/>
        </w:rPr>
        <w:t> 项目前期工作是所有项目建设的开始，万事开头难，我们创造性地开展工作，注重与上级部门对接，积极主动，为我市交通发展建言献策，提出优化方案，不仅有利于全域旅游，而且有利于缩短建设里程，节约建设资金。</w:t>
      </w:r>
    </w:p>
    <w:p>
      <w:pPr>
        <w:spacing w:line="360" w:lineRule="auto"/>
        <w:ind w:left="140" w:leftChars="67"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我市所有交通项目的前期工作都是在上级湘潭、省各级部门的计划、指导、督促下开展工作，有些工作直接与上级部门对接，严格按标准程序进行。勘察、工可、环评、论证、优化等等，一环接一环全部做到位。而且项目在开工建设期间，同时也进行跟踪监管。</w:t>
      </w:r>
    </w:p>
    <w:p>
      <w:pPr>
        <w:spacing w:line="360" w:lineRule="auto"/>
        <w:ind w:left="140" w:leftChars="67"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该项目实行专账核算，费用开支具体用途清晰，审批程序规范。项目管理机构健全，能够按计划开展工作并完成。项目管理制度健全，监控机制完善，项目实施过程中对项目资金的使用情况和项目的开展情况进行了检查。</w:t>
      </w:r>
    </w:p>
    <w:p>
      <w:pPr>
        <w:pStyle w:val="2"/>
        <w:rPr>
          <w:rFonts w:hint="eastAsia"/>
        </w:rPr>
      </w:pPr>
    </w:p>
    <w:p>
      <w:pPr>
        <w:pStyle w:val="13"/>
        <w:ind w:firstLine="723"/>
        <w:rPr>
          <w:rFonts w:ascii="楷体" w:hAnsi="楷体" w:eastAsia="楷体" w:cs="楷体"/>
          <w:b/>
          <w:sz w:val="36"/>
          <w:szCs w:val="36"/>
        </w:rPr>
      </w:pPr>
      <w:r>
        <w:rPr>
          <w:rFonts w:hint="eastAsia" w:ascii="楷体" w:hAnsi="楷体" w:eastAsia="楷体" w:cs="楷体"/>
          <w:b/>
          <w:sz w:val="36"/>
          <w:szCs w:val="36"/>
        </w:rPr>
        <w:t>二、绩效评价工作情况</w:t>
      </w:r>
    </w:p>
    <w:p>
      <w:pPr>
        <w:pStyle w:val="13"/>
        <w:ind w:left="420" w:firstLine="0" w:firstLineChars="0"/>
        <w:rPr>
          <w:rFonts w:ascii="楷体" w:hAnsi="楷体" w:eastAsia="楷体" w:cs="楷体"/>
          <w:b/>
          <w:sz w:val="32"/>
          <w:szCs w:val="32"/>
        </w:rPr>
      </w:pPr>
      <w:r>
        <w:rPr>
          <w:rFonts w:hint="eastAsia" w:ascii="楷体" w:hAnsi="楷体" w:eastAsia="楷体" w:cs="楷体"/>
          <w:b/>
          <w:sz w:val="32"/>
          <w:szCs w:val="32"/>
        </w:rPr>
        <w:t>（一）绩效评价目的</w:t>
      </w:r>
    </w:p>
    <w:p>
      <w:pPr>
        <w:pStyle w:val="18"/>
        <w:widowControl/>
        <w:spacing w:line="360" w:lineRule="auto"/>
        <w:ind w:firstLine="600"/>
        <w:rPr>
          <w:rFonts w:hint="eastAsia" w:ascii="楷体" w:hAnsi="楷体" w:eastAsia="楷体" w:cs="楷体"/>
          <w:sz w:val="30"/>
          <w:szCs w:val="30"/>
        </w:rPr>
      </w:pPr>
      <w:r>
        <w:rPr>
          <w:rFonts w:hint="eastAsia" w:ascii="楷体" w:hAnsi="楷体" w:eastAsia="楷体" w:cs="楷体"/>
          <w:sz w:val="30"/>
          <w:szCs w:val="30"/>
        </w:rPr>
        <w:t>按照财政的要求开展绩效评价，总结202</w:t>
      </w:r>
      <w:r>
        <w:rPr>
          <w:rFonts w:hint="eastAsia" w:ascii="楷体" w:hAnsi="楷体" w:eastAsia="楷体" w:cs="楷体"/>
          <w:sz w:val="30"/>
          <w:szCs w:val="30"/>
          <w:lang w:val="en-US" w:eastAsia="zh-CN"/>
        </w:rPr>
        <w:t>1</w:t>
      </w:r>
      <w:r>
        <w:rPr>
          <w:rFonts w:hint="eastAsia" w:ascii="楷体" w:hAnsi="楷体" w:eastAsia="楷体" w:cs="楷体"/>
          <w:sz w:val="30"/>
          <w:szCs w:val="30"/>
        </w:rPr>
        <w:t>年度</w:t>
      </w:r>
      <w:r>
        <w:rPr>
          <w:rFonts w:hint="eastAsia" w:ascii="楷体" w:hAnsi="楷体" w:eastAsia="楷体" w:cs="楷体"/>
          <w:sz w:val="30"/>
          <w:szCs w:val="30"/>
          <w:lang w:eastAsia="zh-CN"/>
        </w:rPr>
        <w:t>交通项目前期经费</w:t>
      </w:r>
      <w:r>
        <w:rPr>
          <w:rFonts w:hint="eastAsia" w:ascii="楷体" w:hAnsi="楷体" w:eastAsia="楷体" w:cs="楷体"/>
          <w:sz w:val="30"/>
          <w:szCs w:val="30"/>
        </w:rPr>
        <w:t xml:space="preserve">项目具体目标完成情况，提出项目实施过程中存在的问题和建议，为优化项目支出，提高项目管理水平积累经验，提升预算绩效管理工作水平。 </w:t>
      </w:r>
    </w:p>
    <w:p>
      <w:pPr>
        <w:pStyle w:val="13"/>
        <w:ind w:left="420" w:leftChars="200" w:firstLine="0" w:firstLineChars="0"/>
        <w:rPr>
          <w:rFonts w:ascii="楷体" w:hAnsi="楷体" w:eastAsia="楷体" w:cs="楷体"/>
          <w:b/>
          <w:bCs/>
          <w:sz w:val="32"/>
          <w:szCs w:val="32"/>
        </w:rPr>
      </w:pPr>
      <w:r>
        <w:rPr>
          <w:rFonts w:hint="eastAsia" w:ascii="楷体" w:hAnsi="楷体" w:eastAsia="楷体" w:cs="楷体"/>
          <w:b/>
          <w:bCs/>
          <w:sz w:val="32"/>
          <w:szCs w:val="32"/>
        </w:rPr>
        <w:t>（二）绩效评价工作过程</w:t>
      </w:r>
    </w:p>
    <w:p>
      <w:pPr>
        <w:pStyle w:val="7"/>
        <w:spacing w:beforeAutospacing="0" w:afterAutospacing="0"/>
        <w:ind w:firstLine="600" w:firstLineChars="200"/>
        <w:jc w:val="both"/>
        <w:rPr>
          <w:rFonts w:ascii="楷体" w:hAnsi="楷体" w:eastAsia="楷体" w:cs="楷体"/>
          <w:sz w:val="30"/>
          <w:szCs w:val="30"/>
        </w:rPr>
      </w:pPr>
      <w:r>
        <w:rPr>
          <w:rFonts w:hint="eastAsia" w:ascii="楷体" w:hAnsi="楷体" w:eastAsia="楷体" w:cs="楷体"/>
          <w:kern w:val="2"/>
          <w:sz w:val="30"/>
          <w:szCs w:val="30"/>
        </w:rPr>
        <w:t>成立单位评价工作组，于202</w:t>
      </w:r>
      <w:r>
        <w:rPr>
          <w:rFonts w:hint="eastAsia" w:ascii="楷体" w:hAnsi="楷体" w:eastAsia="楷体" w:cs="楷体"/>
          <w:kern w:val="2"/>
          <w:sz w:val="30"/>
          <w:szCs w:val="30"/>
          <w:lang w:val="en-US" w:eastAsia="zh-CN"/>
        </w:rPr>
        <w:t>2</w:t>
      </w:r>
      <w:r>
        <w:rPr>
          <w:rFonts w:hint="eastAsia" w:ascii="楷体" w:hAnsi="楷体" w:eastAsia="楷体" w:cs="楷体"/>
          <w:kern w:val="2"/>
          <w:sz w:val="30"/>
          <w:szCs w:val="30"/>
        </w:rPr>
        <w:t>年5月对</w:t>
      </w: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年度</w:t>
      </w:r>
      <w:r>
        <w:rPr>
          <w:rFonts w:hint="eastAsia" w:ascii="楷体" w:hAnsi="楷体" w:eastAsia="楷体" w:cs="楷体"/>
          <w:sz w:val="30"/>
          <w:szCs w:val="30"/>
          <w:lang w:eastAsia="zh-CN"/>
        </w:rPr>
        <w:t>交通项目前期经费</w:t>
      </w:r>
      <w:r>
        <w:rPr>
          <w:rFonts w:hint="eastAsia" w:ascii="楷体" w:hAnsi="楷体" w:eastAsia="楷体" w:cs="楷体"/>
          <w:sz w:val="30"/>
          <w:szCs w:val="30"/>
        </w:rPr>
        <w:t>项目</w:t>
      </w:r>
      <w:r>
        <w:rPr>
          <w:rFonts w:hint="eastAsia" w:ascii="楷体" w:hAnsi="楷体" w:eastAsia="楷体" w:cs="楷体"/>
          <w:kern w:val="2"/>
          <w:sz w:val="30"/>
          <w:szCs w:val="30"/>
        </w:rPr>
        <w:t>支出开展了绩效评价工作，在财政规定的时间上报了评价结果。</w:t>
      </w:r>
    </w:p>
    <w:p>
      <w:pPr>
        <w:pStyle w:val="13"/>
        <w:ind w:firstLine="300" w:firstLineChars="100"/>
        <w:rPr>
          <w:rFonts w:ascii="楷体" w:hAnsi="楷体" w:eastAsia="楷体" w:cs="楷体"/>
          <w:sz w:val="30"/>
          <w:szCs w:val="30"/>
        </w:rPr>
      </w:pPr>
    </w:p>
    <w:p>
      <w:pPr>
        <w:pStyle w:val="13"/>
        <w:ind w:firstLine="723"/>
        <w:rPr>
          <w:rFonts w:ascii="楷体" w:hAnsi="楷体" w:eastAsia="楷体" w:cs="楷体"/>
          <w:b/>
          <w:sz w:val="36"/>
          <w:szCs w:val="36"/>
        </w:rPr>
      </w:pPr>
      <w:r>
        <w:rPr>
          <w:rFonts w:hint="eastAsia" w:ascii="楷体" w:hAnsi="楷体" w:eastAsia="楷体" w:cs="楷体"/>
          <w:b/>
          <w:sz w:val="36"/>
          <w:szCs w:val="36"/>
        </w:rPr>
        <w:t>三、项目主要绩效及评价结论</w:t>
      </w:r>
    </w:p>
    <w:p>
      <w:pPr>
        <w:pStyle w:val="13"/>
        <w:ind w:left="420" w:firstLine="0" w:firstLineChars="0"/>
        <w:rPr>
          <w:rFonts w:ascii="楷体" w:hAnsi="楷体" w:eastAsia="楷体" w:cs="楷体"/>
          <w:b/>
          <w:bCs/>
          <w:sz w:val="32"/>
          <w:szCs w:val="32"/>
        </w:rPr>
      </w:pPr>
      <w:r>
        <w:rPr>
          <w:rFonts w:hint="eastAsia" w:ascii="楷体" w:hAnsi="楷体" w:eastAsia="楷体" w:cs="楷体"/>
          <w:b/>
          <w:bCs/>
          <w:sz w:val="32"/>
          <w:szCs w:val="32"/>
        </w:rPr>
        <w:t>（一）项目经济性分析</w:t>
      </w:r>
    </w:p>
    <w:p>
      <w:pPr>
        <w:ind w:firstLine="600" w:firstLineChars="200"/>
        <w:rPr>
          <w:rFonts w:ascii="楷体" w:hAnsi="楷体" w:eastAsia="楷体" w:cs="楷体"/>
          <w:sz w:val="30"/>
          <w:szCs w:val="30"/>
        </w:rPr>
      </w:pPr>
      <w:r>
        <w:rPr>
          <w:rFonts w:hint="eastAsia" w:ascii="楷体" w:hAnsi="楷体" w:eastAsia="楷体" w:cs="楷体"/>
          <w:sz w:val="30"/>
          <w:szCs w:val="30"/>
        </w:rPr>
        <w:t>本项目预算支出</w:t>
      </w:r>
      <w:r>
        <w:rPr>
          <w:rFonts w:hint="eastAsia" w:ascii="楷体" w:hAnsi="楷体" w:eastAsia="楷体" w:cs="楷体"/>
          <w:sz w:val="30"/>
          <w:szCs w:val="30"/>
          <w:lang w:val="en-US" w:eastAsia="zh-CN"/>
        </w:rPr>
        <w:t>70</w:t>
      </w:r>
      <w:r>
        <w:rPr>
          <w:rFonts w:hint="eastAsia" w:ascii="楷体" w:hAnsi="楷体" w:eastAsia="楷体" w:cs="楷体"/>
          <w:sz w:val="30"/>
          <w:szCs w:val="30"/>
        </w:rPr>
        <w:t>万元，项目实际支出资金</w:t>
      </w:r>
      <w:r>
        <w:rPr>
          <w:rFonts w:hint="eastAsia" w:ascii="楷体" w:hAnsi="楷体" w:eastAsia="楷体" w:cs="楷体"/>
          <w:sz w:val="30"/>
          <w:szCs w:val="30"/>
          <w:lang w:val="en-US" w:eastAsia="zh-CN"/>
        </w:rPr>
        <w:t>63.99</w:t>
      </w:r>
      <w:r>
        <w:rPr>
          <w:rFonts w:hint="eastAsia" w:ascii="楷体" w:hAnsi="楷体" w:eastAsia="楷体" w:cs="楷体"/>
          <w:sz w:val="30"/>
          <w:szCs w:val="30"/>
        </w:rPr>
        <w:t>万元，</w:t>
      </w:r>
      <w:r>
        <w:rPr>
          <w:rFonts w:hint="eastAsia" w:ascii="楷体" w:hAnsi="楷体" w:eastAsia="楷体" w:cs="楷体"/>
          <w:sz w:val="30"/>
          <w:szCs w:val="30"/>
          <w:lang w:eastAsia="zh-CN"/>
        </w:rPr>
        <w:t>其中办公费</w:t>
      </w:r>
      <w:r>
        <w:rPr>
          <w:rFonts w:hint="eastAsia" w:ascii="楷体" w:hAnsi="楷体" w:eastAsia="楷体" w:cs="楷体"/>
          <w:sz w:val="30"/>
          <w:szCs w:val="30"/>
          <w:lang w:val="en-US" w:eastAsia="zh-CN"/>
        </w:rPr>
        <w:t>10.87万元，咨询费4.5万元，会议费8万元，差旅费8.62万元，公务用车维护费2.4万元，其他29.6万元，</w:t>
      </w:r>
      <w:r>
        <w:rPr>
          <w:rFonts w:hint="eastAsia" w:ascii="楷体" w:hAnsi="楷体" w:eastAsia="楷体" w:cs="楷体"/>
          <w:sz w:val="30"/>
          <w:szCs w:val="30"/>
        </w:rPr>
        <w:t>预算完成率为</w:t>
      </w:r>
      <w:r>
        <w:rPr>
          <w:rFonts w:hint="eastAsia" w:ascii="楷体" w:hAnsi="楷体" w:eastAsia="楷体" w:cs="楷体"/>
          <w:sz w:val="30"/>
          <w:szCs w:val="30"/>
          <w:lang w:val="en-US" w:eastAsia="zh-CN"/>
        </w:rPr>
        <w:t>91.41</w:t>
      </w:r>
      <w:r>
        <w:rPr>
          <w:rFonts w:hint="eastAsia" w:ascii="楷体" w:hAnsi="楷体" w:eastAsia="楷体" w:cs="楷体"/>
          <w:sz w:val="30"/>
          <w:szCs w:val="30"/>
        </w:rPr>
        <w:t>%。</w:t>
      </w:r>
    </w:p>
    <w:p>
      <w:pPr>
        <w:pStyle w:val="13"/>
        <w:ind w:firstLine="506" w:firstLineChars="0"/>
        <w:rPr>
          <w:rFonts w:ascii="楷体" w:hAnsi="楷体" w:eastAsia="楷体" w:cs="楷体"/>
          <w:sz w:val="30"/>
          <w:szCs w:val="30"/>
        </w:rPr>
      </w:pPr>
      <w:r>
        <w:rPr>
          <w:rFonts w:hint="eastAsia" w:ascii="楷体" w:hAnsi="楷体" w:eastAsia="楷体" w:cs="楷体"/>
          <w:b/>
          <w:bCs/>
          <w:sz w:val="30"/>
          <w:szCs w:val="30"/>
        </w:rPr>
        <w:t>（二）</w:t>
      </w:r>
      <w:r>
        <w:rPr>
          <w:rFonts w:hint="eastAsia" w:ascii="楷体" w:hAnsi="楷体" w:eastAsia="楷体" w:cs="楷体"/>
          <w:b/>
          <w:bCs/>
          <w:sz w:val="32"/>
          <w:szCs w:val="32"/>
        </w:rPr>
        <w:t>项目效率性分析</w:t>
      </w:r>
    </w:p>
    <w:p>
      <w:pPr>
        <w:pStyle w:val="13"/>
        <w:ind w:firstLine="600"/>
        <w:rPr>
          <w:rFonts w:hint="eastAsia" w:ascii="楷体" w:hAnsi="楷体" w:eastAsia="楷体" w:cs="楷体"/>
          <w:sz w:val="30"/>
          <w:szCs w:val="30"/>
          <w:lang w:eastAsia="zh-CN"/>
        </w:rPr>
      </w:pPr>
      <w:r>
        <w:rPr>
          <w:rFonts w:hint="eastAsia" w:ascii="楷体" w:hAnsi="楷体" w:eastAsia="楷体" w:cs="楷体"/>
          <w:sz w:val="30"/>
          <w:szCs w:val="30"/>
        </w:rPr>
        <w:t>在规定时间内完成了</w:t>
      </w:r>
      <w:r>
        <w:rPr>
          <w:rFonts w:hint="eastAsia" w:ascii="楷体" w:hAnsi="楷体" w:eastAsia="楷体" w:cs="楷体"/>
          <w:sz w:val="30"/>
          <w:szCs w:val="30"/>
          <w:lang w:eastAsia="zh-CN"/>
        </w:rPr>
        <w:t>设计3个。</w:t>
      </w:r>
    </w:p>
    <w:p>
      <w:pPr>
        <w:pStyle w:val="13"/>
        <w:numPr>
          <w:ilvl w:val="0"/>
          <w:numId w:val="3"/>
        </w:numPr>
        <w:ind w:firstLine="600"/>
        <w:rPr>
          <w:rFonts w:hint="eastAsia" w:ascii="楷体" w:hAnsi="楷体" w:eastAsia="楷体" w:cs="楷体"/>
          <w:sz w:val="30"/>
          <w:szCs w:val="30"/>
          <w:lang w:eastAsia="zh-CN"/>
        </w:rPr>
      </w:pPr>
      <w:r>
        <w:rPr>
          <w:rFonts w:hint="eastAsia" w:ascii="楷体" w:hAnsi="楷体" w:eastAsia="楷体" w:cs="楷体"/>
          <w:sz w:val="30"/>
          <w:szCs w:val="30"/>
          <w:lang w:eastAsia="zh-CN"/>
        </w:rPr>
        <w:t>完成韶峰南方物流大道两阶段初步设计并取得批复；</w:t>
      </w:r>
    </w:p>
    <w:p>
      <w:pPr>
        <w:pStyle w:val="13"/>
        <w:numPr>
          <w:ilvl w:val="0"/>
          <w:numId w:val="3"/>
        </w:numPr>
        <w:ind w:firstLine="600"/>
        <w:rPr>
          <w:rFonts w:hint="eastAsia" w:ascii="楷体" w:hAnsi="楷体" w:eastAsia="楷体" w:cs="楷体"/>
          <w:sz w:val="30"/>
          <w:szCs w:val="30"/>
          <w:lang w:eastAsia="zh-CN"/>
        </w:rPr>
      </w:pPr>
      <w:r>
        <w:rPr>
          <w:rFonts w:hint="eastAsia" w:ascii="楷体" w:hAnsi="楷体" w:eastAsia="楷体" w:cs="楷体"/>
          <w:sz w:val="30"/>
          <w:szCs w:val="30"/>
          <w:lang w:eastAsia="zh-CN"/>
        </w:rPr>
        <w:t>益阳至娄底高速公路新增涧山互通工程可行性研究报告（代项目建议书）的批复。</w:t>
      </w:r>
    </w:p>
    <w:p>
      <w:pPr>
        <w:pStyle w:val="13"/>
        <w:numPr>
          <w:ilvl w:val="0"/>
          <w:numId w:val="3"/>
        </w:numPr>
        <w:ind w:firstLine="600"/>
        <w:rPr>
          <w:rFonts w:hint="eastAsia" w:ascii="楷体" w:hAnsi="楷体" w:eastAsia="楷体" w:cs="楷体"/>
          <w:sz w:val="30"/>
          <w:szCs w:val="30"/>
          <w:lang w:eastAsia="zh-CN"/>
        </w:rPr>
      </w:pPr>
      <w:r>
        <w:rPr>
          <w:rFonts w:hint="eastAsia" w:ascii="楷体" w:hAnsi="楷体" w:eastAsia="楷体" w:cs="楷体"/>
          <w:sz w:val="30"/>
          <w:szCs w:val="30"/>
          <w:lang w:eastAsia="zh-CN"/>
        </w:rPr>
        <w:t>G240湘乡至湘潭县青山桥公路（湘乡段工程可行性研究报告）。</w:t>
      </w:r>
    </w:p>
    <w:p>
      <w:pPr>
        <w:pStyle w:val="13"/>
        <w:ind w:firstLineChars="0"/>
        <w:rPr>
          <w:rFonts w:ascii="楷体" w:hAnsi="楷体" w:eastAsia="楷体" w:cs="楷体"/>
          <w:b/>
          <w:bCs/>
          <w:sz w:val="32"/>
          <w:szCs w:val="32"/>
        </w:rPr>
      </w:pPr>
      <w:r>
        <w:rPr>
          <w:rFonts w:hint="eastAsia" w:ascii="楷体" w:hAnsi="楷体" w:eastAsia="楷体" w:cs="楷体"/>
          <w:b/>
          <w:bCs/>
          <w:sz w:val="32"/>
          <w:szCs w:val="32"/>
        </w:rPr>
        <w:t>（三）项目效益性分析</w:t>
      </w:r>
    </w:p>
    <w:p>
      <w:pPr>
        <w:pStyle w:val="13"/>
        <w:numPr>
          <w:ilvl w:val="0"/>
          <w:numId w:val="0"/>
        </w:numPr>
        <w:ind w:firstLine="600" w:firstLineChars="200"/>
        <w:rPr>
          <w:rFonts w:hint="eastAsia" w:ascii="楷体" w:hAnsi="楷体" w:eastAsia="楷体" w:cs="楷体"/>
          <w:sz w:val="30"/>
          <w:szCs w:val="30"/>
          <w:lang w:eastAsia="zh-CN"/>
        </w:rPr>
      </w:pPr>
      <w:r>
        <w:rPr>
          <w:rFonts w:hint="eastAsia" w:ascii="楷体" w:hAnsi="楷体" w:eastAsia="楷体" w:cs="楷体"/>
          <w:sz w:val="30"/>
          <w:szCs w:val="30"/>
          <w:lang w:eastAsia="zh-CN"/>
        </w:rPr>
        <w:t>项目的各项定量指标已按计划实施，已完成，工作进展顺利。项目的实施将对我市交通的发展、农民增收、人居环境的改善产生深远影响。将满足沿线群众快速出行的需用，对改善沿线群众生活环境，繁荣地方经济，实现城乡统筹发展具有重大的意义。</w:t>
      </w:r>
    </w:p>
    <w:p>
      <w:pPr>
        <w:pStyle w:val="13"/>
        <w:numPr>
          <w:ilvl w:val="0"/>
          <w:numId w:val="0"/>
        </w:numPr>
        <w:ind w:firstLine="600" w:firstLineChars="200"/>
        <w:rPr>
          <w:rFonts w:hint="eastAsia" w:ascii="楷体" w:hAnsi="楷体" w:eastAsia="楷体" w:cs="楷体"/>
          <w:sz w:val="30"/>
          <w:szCs w:val="30"/>
          <w:lang w:eastAsia="zh-CN"/>
        </w:rPr>
      </w:pPr>
      <w:r>
        <w:rPr>
          <w:rFonts w:hint="eastAsia" w:ascii="楷体" w:hAnsi="楷体" w:eastAsia="楷体" w:cs="楷体"/>
          <w:sz w:val="30"/>
          <w:szCs w:val="30"/>
          <w:lang w:eastAsia="zh-CN"/>
        </w:rPr>
        <w:t>交通规划、及交通项目前期工作都是为以后项目建设的可持续性发展进行充分论证。我市在进行交通规划的项目前期论证时，对环评、可持续性发展都进行了扎实、有效的工作，也都取得好的效果。</w:t>
      </w:r>
    </w:p>
    <w:p>
      <w:pPr>
        <w:ind w:firstLine="600" w:firstLineChars="200"/>
        <w:rPr>
          <w:rFonts w:hint="eastAsia" w:ascii="楷体" w:hAnsi="楷体" w:eastAsia="楷体" w:cs="楷体"/>
          <w:sz w:val="30"/>
          <w:szCs w:val="30"/>
        </w:rPr>
      </w:pPr>
      <w:r>
        <w:rPr>
          <w:rFonts w:hint="eastAsia" w:ascii="楷体" w:hAnsi="楷体" w:eastAsia="楷体" w:cs="楷体"/>
          <w:sz w:val="30"/>
          <w:szCs w:val="30"/>
        </w:rPr>
        <w:t>经问卷调查和统计，社会公众对</w:t>
      </w:r>
      <w:r>
        <w:rPr>
          <w:rFonts w:hint="eastAsia" w:ascii="楷体" w:hAnsi="楷体" w:eastAsia="楷体" w:cs="楷体"/>
          <w:sz w:val="30"/>
          <w:szCs w:val="30"/>
          <w:lang w:eastAsia="zh-CN"/>
        </w:rPr>
        <w:t>交通项目前期经费</w:t>
      </w:r>
      <w:r>
        <w:rPr>
          <w:rFonts w:hint="eastAsia" w:ascii="楷体" w:hAnsi="楷体" w:eastAsia="楷体" w:cs="楷体"/>
          <w:sz w:val="30"/>
          <w:szCs w:val="30"/>
        </w:rPr>
        <w:t>项目的满意度反映好，满意度为</w:t>
      </w:r>
      <w:r>
        <w:rPr>
          <w:rFonts w:hint="eastAsia" w:ascii="楷体" w:hAnsi="楷体" w:eastAsia="楷体" w:cs="楷体"/>
          <w:sz w:val="30"/>
          <w:szCs w:val="30"/>
          <w:lang w:val="en-US" w:eastAsia="zh-CN"/>
        </w:rPr>
        <w:t>100</w:t>
      </w:r>
      <w:r>
        <w:rPr>
          <w:rFonts w:hint="eastAsia" w:ascii="楷体" w:hAnsi="楷体" w:eastAsia="楷体" w:cs="楷体"/>
          <w:sz w:val="30"/>
          <w:szCs w:val="30"/>
        </w:rPr>
        <w:t>%。</w:t>
      </w:r>
    </w:p>
    <w:p>
      <w:pPr>
        <w:pStyle w:val="7"/>
        <w:tabs>
          <w:tab w:val="left" w:pos="0"/>
          <w:tab w:val="left" w:pos="7920"/>
        </w:tabs>
        <w:spacing w:beforeAutospacing="0" w:after="120" w:afterAutospacing="0" w:line="360" w:lineRule="auto"/>
        <w:ind w:firstLine="320" w:firstLineChars="100"/>
        <w:jc w:val="both"/>
        <w:rPr>
          <w:rFonts w:hint="eastAsia" w:ascii="楷体" w:hAnsi="楷体" w:eastAsia="楷体" w:cs="楷体"/>
          <w:b/>
          <w:bCs/>
          <w:sz w:val="32"/>
          <w:szCs w:val="32"/>
        </w:rPr>
      </w:pPr>
      <w:r>
        <w:rPr>
          <w:rFonts w:hint="eastAsia" w:ascii="楷体" w:hAnsi="楷体" w:eastAsia="楷体" w:cs="楷体"/>
          <w:b/>
          <w:bCs/>
          <w:kern w:val="2"/>
          <w:sz w:val="32"/>
          <w:szCs w:val="32"/>
          <w:lang w:bidi="ar"/>
        </w:rPr>
        <w:t>（四）评价结论</w:t>
      </w:r>
    </w:p>
    <w:p>
      <w:pPr>
        <w:ind w:firstLine="600" w:firstLineChars="200"/>
        <w:rPr>
          <w:rFonts w:hint="eastAsia" w:ascii="楷体" w:hAnsi="楷体" w:eastAsia="楷体" w:cs="楷体"/>
          <w:bCs/>
          <w:sz w:val="30"/>
          <w:szCs w:val="30"/>
        </w:rPr>
      </w:pPr>
      <w:r>
        <w:rPr>
          <w:rFonts w:hint="eastAsia" w:ascii="楷体" w:hAnsi="楷体" w:eastAsia="楷体" w:cs="楷体"/>
          <w:sz w:val="30"/>
          <w:szCs w:val="30"/>
        </w:rPr>
        <w:t>本项目绩效评价指标体系得分9</w:t>
      </w:r>
      <w:r>
        <w:rPr>
          <w:rFonts w:hint="eastAsia" w:ascii="楷体" w:hAnsi="楷体" w:eastAsia="楷体" w:cs="楷体"/>
          <w:sz w:val="30"/>
          <w:szCs w:val="30"/>
          <w:lang w:val="en-US" w:eastAsia="zh-CN"/>
        </w:rPr>
        <w:t>7</w:t>
      </w:r>
      <w:r>
        <w:rPr>
          <w:rFonts w:hint="eastAsia" w:ascii="楷体" w:hAnsi="楷体" w:eastAsia="楷体" w:cs="楷体"/>
          <w:sz w:val="30"/>
          <w:szCs w:val="30"/>
        </w:rPr>
        <w:t>分，评价结果为优。</w:t>
      </w:r>
      <w:r>
        <w:rPr>
          <w:rFonts w:hint="eastAsia" w:ascii="楷体" w:hAnsi="楷体" w:eastAsia="楷体" w:cs="楷体"/>
          <w:sz w:val="30"/>
          <w:szCs w:val="30"/>
        </w:rPr>
        <w:tab/>
      </w:r>
    </w:p>
    <w:p>
      <w:pPr>
        <w:pStyle w:val="13"/>
        <w:ind w:firstLine="777" w:firstLineChars="216"/>
        <w:jc w:val="left"/>
        <w:rPr>
          <w:rFonts w:ascii="楷体" w:hAnsi="楷体" w:eastAsia="楷体" w:cs="楷体"/>
          <w:b/>
          <w:sz w:val="36"/>
          <w:szCs w:val="36"/>
        </w:rPr>
      </w:pPr>
    </w:p>
    <w:p>
      <w:pPr>
        <w:pStyle w:val="13"/>
        <w:ind w:firstLine="606" w:firstLineChars="202"/>
        <w:rPr>
          <w:rFonts w:hint="eastAsia" w:ascii="楷体" w:hAnsi="楷体" w:eastAsia="楷体" w:cs="楷体"/>
          <w:sz w:val="30"/>
          <w:szCs w:val="30"/>
        </w:rPr>
      </w:pPr>
      <w:r>
        <w:rPr>
          <w:rFonts w:hint="eastAsia" w:ascii="楷体" w:hAnsi="楷体" w:eastAsia="楷体" w:cs="楷体"/>
          <w:sz w:val="30"/>
          <w:szCs w:val="30"/>
        </w:rPr>
        <w:t xml:space="preserve">                               湘乡市</w:t>
      </w:r>
      <w:r>
        <w:rPr>
          <w:rFonts w:hint="eastAsia" w:ascii="楷体" w:hAnsi="楷体" w:eastAsia="楷体" w:cs="楷体"/>
          <w:sz w:val="30"/>
          <w:szCs w:val="30"/>
          <w:lang w:eastAsia="zh-CN"/>
        </w:rPr>
        <w:t>交通运输</w:t>
      </w:r>
      <w:r>
        <w:rPr>
          <w:rFonts w:hint="eastAsia" w:ascii="楷体" w:hAnsi="楷体" w:eastAsia="楷体" w:cs="楷体"/>
          <w:sz w:val="30"/>
          <w:szCs w:val="30"/>
        </w:rPr>
        <w:t>局</w:t>
      </w:r>
    </w:p>
    <w:p>
      <w:pPr>
        <w:ind w:firstLine="640" w:firstLineChars="200"/>
        <w:jc w:val="left"/>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jc w:val="center"/>
        <w:rPr>
          <w:rFonts w:hint="eastAsia" w:ascii="楷体" w:hAnsi="楷体" w:eastAsia="楷体" w:cs="楷体"/>
          <w:b/>
          <w:sz w:val="44"/>
          <w:szCs w:val="44"/>
        </w:rPr>
      </w:pPr>
      <w:r>
        <w:rPr>
          <w:rFonts w:hint="eastAsia" w:ascii="楷体" w:hAnsi="楷体" w:eastAsia="楷体" w:cs="楷体"/>
          <w:b/>
          <w:sz w:val="44"/>
          <w:szCs w:val="44"/>
        </w:rPr>
        <w:t>202</w:t>
      </w:r>
      <w:r>
        <w:rPr>
          <w:rFonts w:hint="eastAsia" w:ascii="楷体" w:hAnsi="楷体" w:eastAsia="楷体" w:cs="楷体"/>
          <w:b/>
          <w:sz w:val="44"/>
          <w:szCs w:val="44"/>
          <w:lang w:val="en-US" w:eastAsia="zh-CN"/>
        </w:rPr>
        <w:t>1</w:t>
      </w:r>
      <w:r>
        <w:rPr>
          <w:rFonts w:hint="eastAsia" w:ascii="楷体" w:hAnsi="楷体" w:eastAsia="楷体" w:cs="楷体"/>
          <w:b/>
          <w:sz w:val="44"/>
          <w:szCs w:val="44"/>
        </w:rPr>
        <w:t>年度交通安全生产工作经费</w:t>
      </w:r>
    </w:p>
    <w:p>
      <w:pPr>
        <w:jc w:val="center"/>
        <w:rPr>
          <w:rFonts w:hint="eastAsia" w:ascii="楷体" w:hAnsi="楷体" w:eastAsia="楷体" w:cs="楷体"/>
          <w:b/>
          <w:sz w:val="44"/>
          <w:szCs w:val="44"/>
        </w:rPr>
      </w:pPr>
      <w:r>
        <w:rPr>
          <w:rFonts w:hint="eastAsia" w:ascii="楷体" w:hAnsi="楷体" w:eastAsia="楷体" w:cs="楷体"/>
          <w:b/>
          <w:sz w:val="44"/>
          <w:szCs w:val="44"/>
        </w:rPr>
        <w:t>项目支出绩效自评报告</w:t>
      </w:r>
    </w:p>
    <w:p>
      <w:pPr>
        <w:ind w:firstLine="600" w:firstLineChars="200"/>
        <w:rPr>
          <w:rFonts w:hint="eastAsia" w:ascii="楷体" w:hAnsi="楷体" w:eastAsia="楷体" w:cs="楷体"/>
          <w:sz w:val="30"/>
          <w:szCs w:val="30"/>
          <w:lang w:bidi="ar"/>
        </w:rPr>
      </w:pPr>
    </w:p>
    <w:p>
      <w:pPr>
        <w:ind w:firstLine="600" w:firstLineChars="200"/>
        <w:rPr>
          <w:rFonts w:hint="eastAsia" w:ascii="楷体" w:hAnsi="楷体" w:eastAsia="楷体" w:cs="楷体"/>
          <w:sz w:val="30"/>
          <w:szCs w:val="30"/>
        </w:rPr>
      </w:pPr>
      <w:r>
        <w:rPr>
          <w:rFonts w:hint="eastAsia" w:ascii="楷体" w:hAnsi="楷体" w:eastAsia="楷体" w:cs="楷体"/>
          <w:sz w:val="30"/>
          <w:szCs w:val="30"/>
          <w:lang w:bidi="ar"/>
        </w:rPr>
        <w:t>根据《湘乡市人民政府关于全面推进预算绩效管理的实施意见》（湘乡政发[2014]12号）和湘乡财政局《202</w:t>
      </w:r>
      <w:r>
        <w:rPr>
          <w:rFonts w:hint="eastAsia" w:ascii="楷体" w:hAnsi="楷体" w:eastAsia="楷体" w:cs="楷体"/>
          <w:sz w:val="30"/>
          <w:szCs w:val="30"/>
          <w:lang w:val="en-US" w:eastAsia="zh-CN" w:bidi="ar"/>
        </w:rPr>
        <w:t>2</w:t>
      </w:r>
      <w:r>
        <w:rPr>
          <w:rFonts w:hint="eastAsia" w:ascii="楷体" w:hAnsi="楷体" w:eastAsia="楷体" w:cs="楷体"/>
          <w:sz w:val="30"/>
          <w:szCs w:val="30"/>
          <w:lang w:bidi="ar"/>
        </w:rPr>
        <w:t>年湘乡市预算绩效管理工作方案》（湘乡财绩[202</w:t>
      </w:r>
      <w:r>
        <w:rPr>
          <w:rFonts w:hint="eastAsia" w:ascii="楷体" w:hAnsi="楷体" w:eastAsia="楷体" w:cs="楷体"/>
          <w:sz w:val="30"/>
          <w:szCs w:val="30"/>
          <w:lang w:val="en-US" w:eastAsia="zh-CN" w:bidi="ar"/>
        </w:rPr>
        <w:t>2</w:t>
      </w:r>
      <w:r>
        <w:rPr>
          <w:rFonts w:hint="eastAsia" w:ascii="楷体" w:hAnsi="楷体" w:eastAsia="楷体" w:cs="楷体"/>
          <w:sz w:val="30"/>
          <w:szCs w:val="30"/>
          <w:lang w:bidi="ar"/>
        </w:rPr>
        <w:t>]1号）文件要求，强化绩效理念，提高财政资金使用效益，我局组织人员对202</w:t>
      </w:r>
      <w:r>
        <w:rPr>
          <w:rFonts w:hint="eastAsia" w:ascii="楷体" w:hAnsi="楷体" w:eastAsia="楷体" w:cs="楷体"/>
          <w:sz w:val="30"/>
          <w:szCs w:val="30"/>
          <w:lang w:val="en-US" w:eastAsia="zh-CN" w:bidi="ar"/>
        </w:rPr>
        <w:t>1</w:t>
      </w:r>
      <w:r>
        <w:rPr>
          <w:rFonts w:hint="eastAsia" w:ascii="楷体" w:hAnsi="楷体" w:eastAsia="楷体" w:cs="楷体"/>
          <w:sz w:val="30"/>
          <w:szCs w:val="30"/>
          <w:lang w:bidi="ar"/>
        </w:rPr>
        <w:t>年度交通安全生产工作经费实施评价项目支出进行绩效评价。</w:t>
      </w:r>
    </w:p>
    <w:p>
      <w:pPr>
        <w:pStyle w:val="2"/>
        <w:ind w:firstLine="482"/>
      </w:pPr>
    </w:p>
    <w:p>
      <w:pPr>
        <w:pStyle w:val="13"/>
        <w:ind w:firstLine="723"/>
        <w:rPr>
          <w:rFonts w:ascii="楷体" w:hAnsi="楷体" w:eastAsia="楷体" w:cs="楷体"/>
          <w:b/>
          <w:sz w:val="36"/>
          <w:szCs w:val="36"/>
        </w:rPr>
      </w:pPr>
      <w:r>
        <w:rPr>
          <w:rFonts w:hint="eastAsia" w:ascii="楷体" w:hAnsi="楷体" w:eastAsia="楷体" w:cs="楷体"/>
          <w:b/>
          <w:sz w:val="36"/>
          <w:szCs w:val="36"/>
        </w:rPr>
        <w:t>一、项目基本情况</w:t>
      </w:r>
    </w:p>
    <w:p>
      <w:pPr>
        <w:pStyle w:val="13"/>
        <w:ind w:left="420" w:firstLine="0" w:firstLineChars="0"/>
        <w:rPr>
          <w:rFonts w:ascii="楷体" w:hAnsi="楷体" w:eastAsia="楷体" w:cs="楷体"/>
          <w:b/>
          <w:bCs/>
          <w:sz w:val="32"/>
          <w:szCs w:val="32"/>
        </w:rPr>
      </w:pPr>
      <w:r>
        <w:rPr>
          <w:rFonts w:hint="eastAsia" w:ascii="楷体" w:hAnsi="楷体" w:eastAsia="楷体" w:cs="楷体"/>
          <w:b/>
          <w:bCs/>
          <w:sz w:val="32"/>
          <w:szCs w:val="32"/>
        </w:rPr>
        <w:t>（一）项目概况</w:t>
      </w:r>
    </w:p>
    <w:p>
      <w:pPr>
        <w:pStyle w:val="13"/>
        <w:ind w:firstLine="606" w:firstLineChars="202"/>
        <w:rPr>
          <w:rFonts w:hint="eastAsia" w:ascii="楷体" w:hAnsi="楷体" w:eastAsia="楷体" w:cs="楷体"/>
          <w:sz w:val="30"/>
          <w:szCs w:val="30"/>
        </w:rPr>
      </w:pPr>
      <w:r>
        <w:rPr>
          <w:rFonts w:hint="eastAsia" w:ascii="楷体" w:hAnsi="楷体" w:eastAsia="楷体" w:cs="楷体"/>
          <w:sz w:val="30"/>
          <w:szCs w:val="30"/>
        </w:rPr>
        <w:t>根据湖南省《湖南省交通建设工程质量及安全生产条例》（2015年1月1日起执行）和湖南省交通厅湘交安[2013]437号文件《关于印发安全生产监督管理制度的通知》第9条规定，各级交通运输主管部门应当设置从事安全生产监督管理的专门部门。经报编委批准，我局成立安全监督股，并根据湘乡市交通运输局[2014]5号文件，成立湘乡市交通运输局安全生产委员及其办公室。负责我市交通安全生产工作责任目标的制定、检查和考核；监督、指导下地级单位落实安全生产责任、措施；组织开展安全生产大检查和安全专项检查，制定安全防控措施，督促消除事故隐患；依法组织或参与交通运输行业生产安全事故调查处理工作。</w:t>
      </w:r>
    </w:p>
    <w:p>
      <w:pPr>
        <w:pStyle w:val="13"/>
        <w:ind w:firstLine="606" w:firstLineChars="202"/>
        <w:rPr>
          <w:rFonts w:hint="eastAsia" w:ascii="楷体" w:hAnsi="楷体" w:eastAsia="楷体" w:cs="楷体"/>
          <w:sz w:val="30"/>
          <w:szCs w:val="30"/>
          <w:lang w:eastAsia="zh-CN"/>
        </w:rPr>
      </w:pPr>
      <w:r>
        <w:rPr>
          <w:rFonts w:hint="eastAsia" w:ascii="楷体" w:hAnsi="楷体" w:eastAsia="楷体" w:cs="楷体"/>
          <w:sz w:val="30"/>
          <w:szCs w:val="30"/>
        </w:rPr>
        <w:t>20</w:t>
      </w:r>
      <w:r>
        <w:rPr>
          <w:rFonts w:hint="eastAsia" w:ascii="楷体" w:hAnsi="楷体" w:eastAsia="楷体" w:cs="楷体"/>
          <w:sz w:val="30"/>
          <w:szCs w:val="30"/>
          <w:lang w:val="en-US" w:eastAsia="zh-CN"/>
        </w:rPr>
        <w:t>21</w:t>
      </w:r>
      <w:r>
        <w:rPr>
          <w:rFonts w:hint="eastAsia" w:ascii="楷体" w:hAnsi="楷体" w:eastAsia="楷体" w:cs="楷体"/>
          <w:sz w:val="30"/>
          <w:szCs w:val="30"/>
        </w:rPr>
        <w:t>年</w:t>
      </w:r>
      <w:r>
        <w:rPr>
          <w:rFonts w:hint="eastAsia" w:ascii="楷体" w:hAnsi="楷体" w:eastAsia="楷体" w:cs="楷体"/>
          <w:sz w:val="30"/>
          <w:szCs w:val="30"/>
          <w:lang w:val="en-US" w:eastAsia="zh-CN"/>
        </w:rPr>
        <w:t>湘乡市财政局</w:t>
      </w:r>
      <w:r>
        <w:rPr>
          <w:rFonts w:hint="eastAsia" w:ascii="楷体" w:hAnsi="楷体" w:eastAsia="楷体" w:cs="楷体"/>
          <w:sz w:val="30"/>
          <w:szCs w:val="30"/>
        </w:rPr>
        <w:t>通过湘财预[20</w:t>
      </w:r>
      <w:r>
        <w:rPr>
          <w:rFonts w:hint="eastAsia" w:ascii="楷体" w:hAnsi="楷体" w:eastAsia="楷体" w:cs="楷体"/>
          <w:sz w:val="30"/>
          <w:szCs w:val="30"/>
          <w:lang w:val="en-US" w:eastAsia="zh-CN"/>
        </w:rPr>
        <w:t>21</w:t>
      </w:r>
      <w:r>
        <w:rPr>
          <w:rFonts w:hint="eastAsia" w:ascii="楷体" w:hAnsi="楷体" w:eastAsia="楷体" w:cs="楷体"/>
          <w:sz w:val="30"/>
          <w:szCs w:val="30"/>
        </w:rPr>
        <w:t>]</w:t>
      </w:r>
      <w:r>
        <w:rPr>
          <w:rFonts w:hint="eastAsia" w:ascii="楷体" w:hAnsi="楷体" w:eastAsia="楷体" w:cs="楷体"/>
          <w:sz w:val="30"/>
          <w:szCs w:val="30"/>
          <w:lang w:val="en-US" w:eastAsia="zh-CN"/>
        </w:rPr>
        <w:t>1</w:t>
      </w:r>
      <w:r>
        <w:rPr>
          <w:rFonts w:hint="eastAsia" w:ascii="楷体" w:hAnsi="楷体" w:eastAsia="楷体" w:cs="楷体"/>
          <w:sz w:val="30"/>
          <w:szCs w:val="30"/>
        </w:rPr>
        <w:t>号文件下达</w:t>
      </w:r>
      <w:r>
        <w:rPr>
          <w:rFonts w:hint="eastAsia" w:ascii="楷体" w:hAnsi="楷体" w:eastAsia="楷体" w:cs="楷体"/>
          <w:sz w:val="30"/>
          <w:szCs w:val="30"/>
          <w:lang w:val="en-US" w:eastAsia="zh-CN"/>
        </w:rPr>
        <w:t>湘乡市</w:t>
      </w:r>
      <w:r>
        <w:rPr>
          <w:rFonts w:hint="eastAsia" w:ascii="楷体" w:hAnsi="楷体" w:eastAsia="楷体" w:cs="楷体"/>
          <w:sz w:val="30"/>
          <w:szCs w:val="30"/>
        </w:rPr>
        <w:t>交通运输局交通安全生产工作经费</w:t>
      </w:r>
      <w:r>
        <w:rPr>
          <w:rFonts w:hint="eastAsia" w:ascii="楷体" w:hAnsi="楷体" w:eastAsia="楷体" w:cs="楷体"/>
          <w:sz w:val="30"/>
          <w:szCs w:val="30"/>
          <w:lang w:val="en-US" w:eastAsia="zh-CN"/>
        </w:rPr>
        <w:t>60</w:t>
      </w:r>
      <w:r>
        <w:rPr>
          <w:rFonts w:hint="eastAsia" w:ascii="楷体" w:hAnsi="楷体" w:eastAsia="楷体" w:cs="楷体"/>
          <w:sz w:val="30"/>
          <w:szCs w:val="30"/>
        </w:rPr>
        <w:t>万</w:t>
      </w:r>
      <w:r>
        <w:rPr>
          <w:rFonts w:hint="eastAsia" w:ascii="楷体" w:hAnsi="楷体" w:eastAsia="楷体" w:cs="楷体"/>
          <w:sz w:val="30"/>
          <w:szCs w:val="30"/>
          <w:lang w:val="en-US" w:eastAsia="zh-CN"/>
        </w:rPr>
        <w:t>元</w:t>
      </w:r>
      <w:r>
        <w:rPr>
          <w:rFonts w:hint="eastAsia" w:ascii="楷体" w:hAnsi="楷体" w:eastAsia="楷体" w:cs="楷体"/>
          <w:sz w:val="30"/>
          <w:szCs w:val="30"/>
          <w:lang w:eastAsia="zh-CN"/>
        </w:rPr>
        <w:t>。</w:t>
      </w:r>
    </w:p>
    <w:p>
      <w:pPr>
        <w:pStyle w:val="13"/>
        <w:ind w:left="426" w:firstLine="0" w:firstLineChars="0"/>
        <w:rPr>
          <w:rFonts w:ascii="楷体" w:hAnsi="楷体" w:eastAsia="楷体" w:cs="楷体"/>
          <w:b/>
          <w:bCs/>
          <w:sz w:val="32"/>
          <w:szCs w:val="32"/>
        </w:rPr>
      </w:pPr>
      <w:r>
        <w:rPr>
          <w:rFonts w:hint="eastAsia" w:ascii="楷体" w:hAnsi="楷体" w:eastAsia="楷体" w:cs="楷体"/>
          <w:b/>
          <w:bCs/>
          <w:sz w:val="32"/>
          <w:szCs w:val="32"/>
        </w:rPr>
        <w:t>（二）项目绩效目标</w:t>
      </w:r>
    </w:p>
    <w:p>
      <w:pPr>
        <w:pStyle w:val="13"/>
        <w:ind w:firstLine="606" w:firstLineChars="202"/>
        <w:rPr>
          <w:rFonts w:ascii="楷体" w:hAnsi="楷体" w:eastAsia="楷体" w:cs="楷体"/>
          <w:color w:val="0000FF"/>
          <w:sz w:val="30"/>
          <w:szCs w:val="30"/>
        </w:rPr>
      </w:pPr>
      <w:r>
        <w:rPr>
          <w:rFonts w:hint="eastAsia" w:ascii="楷体" w:hAnsi="楷体" w:eastAsia="楷体" w:cs="楷体"/>
          <w:sz w:val="30"/>
          <w:szCs w:val="30"/>
          <w:lang w:val="en-US" w:eastAsia="zh-CN"/>
        </w:rPr>
        <w:t>坚持“以人为本、安全第一、预防为主”的方针，</w:t>
      </w:r>
      <w:r>
        <w:rPr>
          <w:rFonts w:hint="eastAsia" w:ascii="楷体" w:hAnsi="楷体" w:eastAsia="楷体" w:cs="楷体"/>
          <w:sz w:val="30"/>
          <w:szCs w:val="30"/>
          <w:lang w:val="zh-CN" w:eastAsia="zh-CN"/>
        </w:rPr>
        <w:t>进一步</w:t>
      </w:r>
      <w:r>
        <w:rPr>
          <w:rFonts w:hint="eastAsia" w:ascii="楷体" w:hAnsi="楷体" w:eastAsia="楷体" w:cs="楷体"/>
          <w:sz w:val="30"/>
          <w:szCs w:val="30"/>
          <w:lang w:val="en-US" w:eastAsia="zh-CN"/>
        </w:rPr>
        <w:t>强化安全发展理念和红线意识，全面落实安全生产责任、强化依法治安、严格监管执法、深化专项整治、加强基础建设，努力实现交通安全生产零事故目标。</w:t>
      </w:r>
    </w:p>
    <w:p>
      <w:pPr>
        <w:pStyle w:val="13"/>
        <w:ind w:left="420" w:firstLine="0" w:firstLineChars="0"/>
        <w:rPr>
          <w:rFonts w:ascii="楷体" w:hAnsi="楷体" w:eastAsia="楷体" w:cs="楷体"/>
          <w:b/>
          <w:bCs/>
          <w:sz w:val="32"/>
          <w:szCs w:val="32"/>
        </w:rPr>
      </w:pPr>
      <w:r>
        <w:rPr>
          <w:rFonts w:hint="eastAsia" w:ascii="楷体" w:hAnsi="楷体" w:eastAsia="楷体" w:cs="楷体"/>
          <w:b/>
          <w:bCs/>
          <w:sz w:val="32"/>
          <w:szCs w:val="32"/>
        </w:rPr>
        <w:t>（三）项目实施情况分析</w:t>
      </w:r>
    </w:p>
    <w:p>
      <w:pPr>
        <w:spacing w:line="360" w:lineRule="auto"/>
        <w:ind w:left="140" w:leftChars="67"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20</w:t>
      </w:r>
      <w:r>
        <w:rPr>
          <w:rFonts w:hint="eastAsia" w:ascii="楷体" w:hAnsi="楷体" w:eastAsia="楷体" w:cs="楷体"/>
          <w:sz w:val="30"/>
          <w:szCs w:val="30"/>
          <w:lang w:val="en-US" w:eastAsia="zh-CN" w:bidi="ar"/>
        </w:rPr>
        <w:t>21</w:t>
      </w:r>
      <w:r>
        <w:rPr>
          <w:rFonts w:hint="eastAsia" w:ascii="楷体" w:hAnsi="楷体" w:eastAsia="楷体" w:cs="楷体"/>
          <w:sz w:val="30"/>
          <w:szCs w:val="30"/>
          <w:lang w:bidi="ar"/>
        </w:rPr>
        <w:t>年，由于我单位交通安全生产工作任务重大，全年交通安全生产工作开支55.06万元。其中办公、电费17.63万元，差旅费10.54万元，会议费3.6万元，公务接待费4.5万元，交通费用2.6万元，其他安全生产支出16.19万元。</w:t>
      </w:r>
    </w:p>
    <w:p>
      <w:pPr>
        <w:spacing w:line="360" w:lineRule="auto"/>
        <w:ind w:left="140" w:leftChars="67"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该项目实行专账核算，费用开支具体用途清晰，审批程序规范。项目管理机构健全，能够按计划开展工作并完成。项目管理制度健全，监控机制完善，项目实施过程中对项目资金的使用情况和项目的开展情况进行了检查。</w:t>
      </w:r>
    </w:p>
    <w:p>
      <w:pPr>
        <w:pStyle w:val="2"/>
        <w:rPr>
          <w:rFonts w:hint="eastAsia"/>
        </w:rPr>
      </w:pPr>
    </w:p>
    <w:p>
      <w:pPr>
        <w:pStyle w:val="13"/>
        <w:ind w:firstLine="723"/>
        <w:rPr>
          <w:rFonts w:ascii="楷体" w:hAnsi="楷体" w:eastAsia="楷体" w:cs="楷体"/>
          <w:b/>
          <w:sz w:val="36"/>
          <w:szCs w:val="36"/>
        </w:rPr>
      </w:pPr>
      <w:r>
        <w:rPr>
          <w:rFonts w:hint="eastAsia" w:ascii="楷体" w:hAnsi="楷体" w:eastAsia="楷体" w:cs="楷体"/>
          <w:b/>
          <w:sz w:val="36"/>
          <w:szCs w:val="36"/>
        </w:rPr>
        <w:t>二、绩效评价工作情况</w:t>
      </w:r>
    </w:p>
    <w:p>
      <w:pPr>
        <w:pStyle w:val="13"/>
        <w:ind w:left="420" w:firstLine="0" w:firstLineChars="0"/>
        <w:rPr>
          <w:rFonts w:ascii="楷体" w:hAnsi="楷体" w:eastAsia="楷体" w:cs="楷体"/>
          <w:b/>
          <w:sz w:val="32"/>
          <w:szCs w:val="32"/>
        </w:rPr>
      </w:pPr>
      <w:r>
        <w:rPr>
          <w:rFonts w:hint="eastAsia" w:ascii="楷体" w:hAnsi="楷体" w:eastAsia="楷体" w:cs="楷体"/>
          <w:b/>
          <w:sz w:val="32"/>
          <w:szCs w:val="32"/>
        </w:rPr>
        <w:t>（一）绩效评价目的</w:t>
      </w:r>
    </w:p>
    <w:p>
      <w:pPr>
        <w:pStyle w:val="18"/>
        <w:widowControl/>
        <w:spacing w:line="360" w:lineRule="auto"/>
        <w:ind w:firstLine="600"/>
        <w:rPr>
          <w:rFonts w:hint="eastAsia" w:ascii="楷体" w:hAnsi="楷体" w:eastAsia="楷体" w:cs="楷体"/>
          <w:sz w:val="30"/>
          <w:szCs w:val="30"/>
        </w:rPr>
      </w:pPr>
      <w:r>
        <w:rPr>
          <w:rFonts w:hint="eastAsia" w:ascii="楷体" w:hAnsi="楷体" w:eastAsia="楷体" w:cs="楷体"/>
          <w:sz w:val="30"/>
          <w:szCs w:val="30"/>
        </w:rPr>
        <w:t>按照财政的要求开展绩效评价，总结202</w:t>
      </w:r>
      <w:r>
        <w:rPr>
          <w:rFonts w:hint="eastAsia" w:ascii="楷体" w:hAnsi="楷体" w:eastAsia="楷体" w:cs="楷体"/>
          <w:sz w:val="30"/>
          <w:szCs w:val="30"/>
          <w:lang w:val="en-US" w:eastAsia="zh-CN"/>
        </w:rPr>
        <w:t>1</w:t>
      </w:r>
      <w:r>
        <w:rPr>
          <w:rFonts w:hint="eastAsia" w:ascii="楷体" w:hAnsi="楷体" w:eastAsia="楷体" w:cs="楷体"/>
          <w:sz w:val="30"/>
          <w:szCs w:val="30"/>
        </w:rPr>
        <w:t>年度</w:t>
      </w:r>
      <w:r>
        <w:rPr>
          <w:rFonts w:hint="eastAsia" w:ascii="楷体" w:hAnsi="楷体" w:eastAsia="楷体" w:cs="楷体"/>
          <w:sz w:val="30"/>
          <w:szCs w:val="30"/>
          <w:lang w:val="en-US" w:eastAsia="zh-CN"/>
        </w:rPr>
        <w:t>交通安全生产工作经费</w:t>
      </w:r>
      <w:r>
        <w:rPr>
          <w:rFonts w:hint="eastAsia" w:ascii="楷体" w:hAnsi="楷体" w:eastAsia="楷体" w:cs="楷体"/>
          <w:sz w:val="30"/>
          <w:szCs w:val="30"/>
        </w:rPr>
        <w:t xml:space="preserve">评价项目具体目标完成情况，提出项目实施过程中存在的问题和建议，为优化项目支出，提高项目管理水平积累经验，提升预算绩效管理工作水平。 </w:t>
      </w:r>
    </w:p>
    <w:p>
      <w:pPr>
        <w:pStyle w:val="13"/>
        <w:ind w:left="420" w:leftChars="200" w:firstLine="0" w:firstLineChars="0"/>
        <w:rPr>
          <w:rFonts w:ascii="楷体" w:hAnsi="楷体" w:eastAsia="楷体" w:cs="楷体"/>
          <w:b/>
          <w:bCs/>
          <w:sz w:val="32"/>
          <w:szCs w:val="32"/>
        </w:rPr>
      </w:pPr>
      <w:r>
        <w:rPr>
          <w:rFonts w:hint="eastAsia" w:ascii="楷体" w:hAnsi="楷体" w:eastAsia="楷体" w:cs="楷体"/>
          <w:b/>
          <w:bCs/>
          <w:sz w:val="32"/>
          <w:szCs w:val="32"/>
        </w:rPr>
        <w:t>（二）绩效评价工作过程</w:t>
      </w:r>
    </w:p>
    <w:p>
      <w:pPr>
        <w:pStyle w:val="7"/>
        <w:spacing w:beforeAutospacing="0" w:afterAutospacing="0"/>
        <w:ind w:firstLine="600" w:firstLineChars="200"/>
        <w:jc w:val="both"/>
        <w:rPr>
          <w:rFonts w:ascii="楷体" w:hAnsi="楷体" w:eastAsia="楷体" w:cs="楷体"/>
          <w:sz w:val="30"/>
          <w:szCs w:val="30"/>
        </w:rPr>
      </w:pPr>
      <w:r>
        <w:rPr>
          <w:rFonts w:hint="eastAsia" w:ascii="楷体" w:hAnsi="楷体" w:eastAsia="楷体" w:cs="楷体"/>
          <w:kern w:val="2"/>
          <w:sz w:val="30"/>
          <w:szCs w:val="30"/>
        </w:rPr>
        <w:t>成立单位评价工作组，于202</w:t>
      </w:r>
      <w:r>
        <w:rPr>
          <w:rFonts w:hint="eastAsia" w:ascii="楷体" w:hAnsi="楷体" w:eastAsia="楷体" w:cs="楷体"/>
          <w:kern w:val="2"/>
          <w:sz w:val="30"/>
          <w:szCs w:val="30"/>
          <w:lang w:val="en-US" w:eastAsia="zh-CN"/>
        </w:rPr>
        <w:t>2</w:t>
      </w:r>
      <w:r>
        <w:rPr>
          <w:rFonts w:hint="eastAsia" w:ascii="楷体" w:hAnsi="楷体" w:eastAsia="楷体" w:cs="楷体"/>
          <w:kern w:val="2"/>
          <w:sz w:val="30"/>
          <w:szCs w:val="30"/>
        </w:rPr>
        <w:t>年5月对</w:t>
      </w:r>
      <w:r>
        <w:rPr>
          <w:rFonts w:hint="eastAsia" w:ascii="楷体" w:hAnsi="楷体" w:eastAsia="楷体" w:cs="楷体"/>
          <w:sz w:val="30"/>
          <w:szCs w:val="30"/>
        </w:rPr>
        <w:t>202</w:t>
      </w:r>
      <w:r>
        <w:rPr>
          <w:rFonts w:hint="eastAsia" w:ascii="楷体" w:hAnsi="楷体" w:eastAsia="楷体" w:cs="楷体"/>
          <w:sz w:val="30"/>
          <w:szCs w:val="30"/>
          <w:lang w:val="en-US" w:eastAsia="zh-CN"/>
        </w:rPr>
        <w:t>1</w:t>
      </w:r>
      <w:r>
        <w:rPr>
          <w:rFonts w:hint="eastAsia" w:ascii="楷体" w:hAnsi="楷体" w:eastAsia="楷体" w:cs="楷体"/>
          <w:sz w:val="30"/>
          <w:szCs w:val="30"/>
        </w:rPr>
        <w:t>年度</w:t>
      </w:r>
      <w:r>
        <w:rPr>
          <w:rFonts w:hint="eastAsia" w:ascii="楷体" w:hAnsi="楷体" w:eastAsia="楷体" w:cs="楷体"/>
          <w:sz w:val="30"/>
          <w:szCs w:val="30"/>
          <w:lang w:val="en-US" w:eastAsia="zh-CN"/>
        </w:rPr>
        <w:t>交通安全生产工作经费</w:t>
      </w:r>
      <w:r>
        <w:rPr>
          <w:rFonts w:hint="eastAsia" w:ascii="楷体" w:hAnsi="楷体" w:eastAsia="楷体" w:cs="楷体"/>
          <w:sz w:val="30"/>
          <w:szCs w:val="30"/>
        </w:rPr>
        <w:t>实施评价</w:t>
      </w:r>
      <w:r>
        <w:rPr>
          <w:rFonts w:hint="eastAsia" w:ascii="楷体" w:hAnsi="楷体" w:eastAsia="楷体" w:cs="楷体"/>
          <w:sz w:val="30"/>
          <w:szCs w:val="30"/>
          <w:lang w:eastAsia="zh-CN"/>
        </w:rPr>
        <w:t>，</w:t>
      </w:r>
      <w:r>
        <w:rPr>
          <w:rFonts w:hint="eastAsia" w:ascii="楷体" w:hAnsi="楷体" w:eastAsia="楷体" w:cs="楷体"/>
          <w:kern w:val="2"/>
          <w:sz w:val="30"/>
          <w:szCs w:val="30"/>
        </w:rPr>
        <w:t>开展了绩效评价工作，在财政规定的时间上报了评价结果。</w:t>
      </w:r>
    </w:p>
    <w:p>
      <w:pPr>
        <w:pStyle w:val="13"/>
        <w:rPr>
          <w:rFonts w:ascii="楷体" w:hAnsi="楷体" w:eastAsia="楷体" w:cs="楷体"/>
          <w:sz w:val="30"/>
          <w:szCs w:val="30"/>
        </w:rPr>
      </w:pPr>
    </w:p>
    <w:p>
      <w:pPr>
        <w:pStyle w:val="13"/>
        <w:ind w:firstLine="723"/>
        <w:rPr>
          <w:rFonts w:ascii="楷体" w:hAnsi="楷体" w:eastAsia="楷体" w:cs="楷体"/>
          <w:b/>
          <w:sz w:val="36"/>
          <w:szCs w:val="36"/>
        </w:rPr>
      </w:pPr>
      <w:r>
        <w:rPr>
          <w:rFonts w:hint="eastAsia" w:ascii="楷体" w:hAnsi="楷体" w:eastAsia="楷体" w:cs="楷体"/>
          <w:b/>
          <w:sz w:val="36"/>
          <w:szCs w:val="36"/>
        </w:rPr>
        <w:t>三、项目主要绩效及评价结论</w:t>
      </w:r>
    </w:p>
    <w:p>
      <w:pPr>
        <w:pStyle w:val="13"/>
        <w:ind w:left="420" w:firstLine="0" w:firstLineChars="0"/>
        <w:rPr>
          <w:rFonts w:ascii="楷体" w:hAnsi="楷体" w:eastAsia="楷体" w:cs="楷体"/>
          <w:b/>
          <w:bCs/>
          <w:sz w:val="32"/>
          <w:szCs w:val="32"/>
        </w:rPr>
      </w:pPr>
      <w:r>
        <w:rPr>
          <w:rFonts w:hint="eastAsia" w:ascii="楷体" w:hAnsi="楷体" w:eastAsia="楷体" w:cs="楷体"/>
          <w:b/>
          <w:bCs/>
          <w:sz w:val="32"/>
          <w:szCs w:val="32"/>
        </w:rPr>
        <w:t>（一）项目经济性分析</w:t>
      </w:r>
    </w:p>
    <w:p>
      <w:pPr>
        <w:spacing w:line="360" w:lineRule="auto"/>
        <w:ind w:left="140" w:leftChars="67" w:firstLine="600" w:firstLineChars="200"/>
        <w:rPr>
          <w:rFonts w:ascii="楷体" w:hAnsi="楷体" w:eastAsia="楷体" w:cs="楷体"/>
          <w:sz w:val="30"/>
          <w:szCs w:val="30"/>
        </w:rPr>
      </w:pPr>
      <w:r>
        <w:rPr>
          <w:rFonts w:hint="eastAsia" w:ascii="楷体" w:hAnsi="楷体" w:eastAsia="楷体" w:cs="楷体"/>
          <w:sz w:val="30"/>
          <w:szCs w:val="30"/>
        </w:rPr>
        <w:t>本项目预算支出</w:t>
      </w:r>
      <w:r>
        <w:rPr>
          <w:rFonts w:hint="eastAsia" w:ascii="楷体" w:hAnsi="楷体" w:eastAsia="楷体" w:cs="楷体"/>
          <w:sz w:val="30"/>
          <w:szCs w:val="30"/>
          <w:lang w:val="en-US" w:eastAsia="zh-CN"/>
        </w:rPr>
        <w:t>60</w:t>
      </w:r>
      <w:r>
        <w:rPr>
          <w:rFonts w:hint="eastAsia" w:ascii="楷体" w:hAnsi="楷体" w:eastAsia="楷体" w:cs="楷体"/>
          <w:sz w:val="30"/>
          <w:szCs w:val="30"/>
        </w:rPr>
        <w:t>万元，项目实际支出资金</w:t>
      </w:r>
      <w:r>
        <w:rPr>
          <w:rFonts w:hint="eastAsia" w:ascii="楷体" w:hAnsi="楷体" w:eastAsia="楷体" w:cs="楷体"/>
          <w:sz w:val="30"/>
          <w:szCs w:val="30"/>
          <w:lang w:bidi="ar"/>
        </w:rPr>
        <w:t>55.06万元。其中办公、电费17.63万元，差旅费10.54万元，会议费3.6万元，公务接待费4.5万元，交通费用2.6万元，其他安全生产支出16.19万元</w:t>
      </w:r>
      <w:r>
        <w:rPr>
          <w:rFonts w:hint="eastAsia" w:ascii="楷体" w:hAnsi="楷体" w:eastAsia="楷体" w:cs="楷体"/>
          <w:sz w:val="32"/>
          <w:szCs w:val="32"/>
        </w:rPr>
        <w:t>，</w:t>
      </w:r>
      <w:r>
        <w:rPr>
          <w:rFonts w:hint="eastAsia" w:ascii="楷体" w:hAnsi="楷体" w:eastAsia="楷体" w:cs="楷体"/>
          <w:sz w:val="30"/>
          <w:szCs w:val="30"/>
        </w:rPr>
        <w:t>预算完成率为</w:t>
      </w:r>
      <w:r>
        <w:rPr>
          <w:rFonts w:hint="eastAsia" w:ascii="楷体" w:hAnsi="楷体" w:eastAsia="楷体" w:cs="楷体"/>
          <w:sz w:val="30"/>
          <w:szCs w:val="30"/>
          <w:lang w:val="en-US" w:eastAsia="zh-CN"/>
        </w:rPr>
        <w:t>91.76</w:t>
      </w:r>
      <w:r>
        <w:rPr>
          <w:rFonts w:hint="eastAsia" w:ascii="楷体" w:hAnsi="楷体" w:eastAsia="楷体" w:cs="楷体"/>
          <w:sz w:val="30"/>
          <w:szCs w:val="30"/>
        </w:rPr>
        <w:t>%。</w:t>
      </w:r>
    </w:p>
    <w:p>
      <w:pPr>
        <w:pStyle w:val="13"/>
        <w:ind w:firstLine="506" w:firstLineChars="0"/>
        <w:rPr>
          <w:rFonts w:ascii="楷体" w:hAnsi="楷体" w:eastAsia="楷体" w:cs="楷体"/>
          <w:sz w:val="30"/>
          <w:szCs w:val="30"/>
        </w:rPr>
      </w:pPr>
      <w:r>
        <w:rPr>
          <w:rFonts w:hint="eastAsia" w:ascii="楷体" w:hAnsi="楷体" w:eastAsia="楷体" w:cs="楷体"/>
          <w:b/>
          <w:bCs/>
          <w:sz w:val="30"/>
          <w:szCs w:val="30"/>
        </w:rPr>
        <w:t>（二）</w:t>
      </w:r>
      <w:r>
        <w:rPr>
          <w:rFonts w:hint="eastAsia" w:ascii="楷体" w:hAnsi="楷体" w:eastAsia="楷体" w:cs="楷体"/>
          <w:b/>
          <w:bCs/>
          <w:sz w:val="32"/>
          <w:szCs w:val="32"/>
        </w:rPr>
        <w:t>项目效率性分析</w:t>
      </w:r>
    </w:p>
    <w:p>
      <w:pPr>
        <w:ind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我们严格按照工作要求</w:t>
      </w:r>
      <w:r>
        <w:rPr>
          <w:rFonts w:hint="eastAsia" w:ascii="楷体" w:hAnsi="楷体" w:eastAsia="楷体" w:cs="楷体"/>
          <w:sz w:val="30"/>
          <w:szCs w:val="30"/>
          <w:lang w:eastAsia="zh-CN" w:bidi="ar"/>
        </w:rPr>
        <w:t>，</w:t>
      </w:r>
      <w:r>
        <w:rPr>
          <w:rFonts w:hint="eastAsia" w:ascii="楷体" w:hAnsi="楷体" w:eastAsia="楷体" w:cs="楷体"/>
          <w:sz w:val="30"/>
          <w:szCs w:val="30"/>
          <w:lang w:val="en-US" w:eastAsia="zh-CN" w:bidi="ar"/>
        </w:rPr>
        <w:t>在规定的时间内</w:t>
      </w:r>
      <w:r>
        <w:rPr>
          <w:rFonts w:hint="eastAsia" w:ascii="楷体" w:hAnsi="楷体" w:eastAsia="楷体" w:cs="楷体"/>
          <w:sz w:val="30"/>
          <w:szCs w:val="30"/>
          <w:lang w:bidi="ar"/>
        </w:rPr>
        <w:t>完成各项工作任务，按月、按季按要求开好安全工作会议，加强日常监督检查，发现问题及时整改，对上级交办的督办函及时完成，所有问题都在规定时限内完成，有效地防范和减少了交通运输业安全生产事故，保障了人民群众生命和财产的安全。</w:t>
      </w:r>
    </w:p>
    <w:p>
      <w:pPr>
        <w:pStyle w:val="13"/>
        <w:ind w:firstLineChars="0"/>
        <w:rPr>
          <w:rFonts w:ascii="楷体" w:hAnsi="楷体" w:eastAsia="楷体" w:cs="楷体"/>
          <w:b/>
          <w:bCs/>
          <w:sz w:val="32"/>
          <w:szCs w:val="32"/>
        </w:rPr>
      </w:pPr>
      <w:r>
        <w:rPr>
          <w:rFonts w:hint="eastAsia" w:ascii="楷体" w:hAnsi="楷体" w:eastAsia="楷体" w:cs="楷体"/>
          <w:b/>
          <w:bCs/>
          <w:sz w:val="32"/>
          <w:szCs w:val="32"/>
        </w:rPr>
        <w:t>（三）项目效益性分析</w:t>
      </w:r>
    </w:p>
    <w:p>
      <w:pPr>
        <w:ind w:firstLine="600" w:firstLineChars="200"/>
        <w:rPr>
          <w:rFonts w:hint="eastAsia" w:ascii="楷体" w:hAnsi="楷体" w:eastAsia="楷体" w:cs="楷体"/>
          <w:sz w:val="30"/>
          <w:szCs w:val="30"/>
          <w:lang w:bidi="ar"/>
        </w:rPr>
      </w:pPr>
      <w:r>
        <w:rPr>
          <w:rFonts w:hint="eastAsia" w:ascii="楷体" w:hAnsi="楷体" w:eastAsia="楷体" w:cs="楷体"/>
          <w:sz w:val="30"/>
          <w:szCs w:val="30"/>
          <w:lang w:bidi="ar"/>
        </w:rPr>
        <w:t>安全生产工作社会效益明显：通过开展安全生产例会，强调“安全第一、预防为主、综合治理”的方针，严格按照“党政同责、一岗双责”的要求，落实好企业的主体责任、行业的监管责任、乡镇（办）的属地管理责任，提高安全生产意识，时刻绷紧安全生产的弦；通过开展专项整治行动，进行联合执法，确保交通运输系统各领域平安有序；组织开展安全教育培训，进行安全知识宣传，使安全知识得到普及；督促做好春节、五一、十一等节假日的安全值守抓好重点时段和重点区域的安全工作，确保人民过好安全详和的节假日；按照“隐患清零”的要求，对上级交办和督办的事项及时完成，排除各种安全隐患，确保人民生命财产安全。</w:t>
      </w:r>
    </w:p>
    <w:p>
      <w:pPr>
        <w:ind w:firstLine="600" w:firstLineChars="200"/>
        <w:rPr>
          <w:rFonts w:hint="eastAsia"/>
        </w:rPr>
      </w:pPr>
      <w:r>
        <w:rPr>
          <w:rFonts w:hint="eastAsia" w:ascii="楷体" w:hAnsi="楷体" w:eastAsia="楷体" w:cs="楷体"/>
          <w:sz w:val="30"/>
          <w:szCs w:val="30"/>
          <w:lang w:bidi="ar"/>
        </w:rPr>
        <w:t>安全生产是永恒的主题，人民生命财产安全永远是第一位，交通安全生产是我们交通人的重中之重。所以我们永远强化交通安全生产工作责任目标，加强检查、考核、监督，定期开展安全生产大检查和安全专项检查，制定安全防控措施，消除事故隐患，确保人民长久治安。</w:t>
      </w:r>
    </w:p>
    <w:p>
      <w:pPr>
        <w:ind w:firstLine="600" w:firstLineChars="200"/>
        <w:rPr>
          <w:rFonts w:hint="eastAsia" w:ascii="楷体" w:hAnsi="楷体" w:eastAsia="楷体" w:cs="楷体"/>
          <w:sz w:val="30"/>
          <w:szCs w:val="30"/>
        </w:rPr>
      </w:pPr>
      <w:r>
        <w:rPr>
          <w:rFonts w:hint="eastAsia" w:ascii="楷体" w:hAnsi="楷体" w:eastAsia="楷体" w:cs="楷体"/>
          <w:sz w:val="30"/>
          <w:szCs w:val="30"/>
        </w:rPr>
        <w:t>经问卷调查和统计，社会公众对</w:t>
      </w:r>
      <w:r>
        <w:rPr>
          <w:rFonts w:hint="eastAsia" w:ascii="楷体" w:hAnsi="楷体" w:eastAsia="楷体" w:cs="楷体"/>
          <w:sz w:val="30"/>
          <w:szCs w:val="30"/>
          <w:lang w:val="en-US" w:eastAsia="zh-CN"/>
        </w:rPr>
        <w:t>交通安全生产工作</w:t>
      </w:r>
      <w:r>
        <w:rPr>
          <w:rFonts w:hint="eastAsia" w:ascii="楷体" w:hAnsi="楷体" w:eastAsia="楷体" w:cs="楷体"/>
          <w:sz w:val="30"/>
          <w:szCs w:val="30"/>
        </w:rPr>
        <w:t>项目的满意度反映好，满意度为</w:t>
      </w:r>
      <w:r>
        <w:rPr>
          <w:rFonts w:hint="eastAsia" w:ascii="楷体" w:hAnsi="楷体" w:eastAsia="楷体" w:cs="楷体"/>
          <w:sz w:val="30"/>
          <w:szCs w:val="30"/>
          <w:lang w:val="en-US" w:eastAsia="zh-CN"/>
        </w:rPr>
        <w:t>100</w:t>
      </w:r>
      <w:r>
        <w:rPr>
          <w:rFonts w:hint="eastAsia" w:ascii="楷体" w:hAnsi="楷体" w:eastAsia="楷体" w:cs="楷体"/>
          <w:sz w:val="30"/>
          <w:szCs w:val="30"/>
        </w:rPr>
        <w:t>%。</w:t>
      </w:r>
    </w:p>
    <w:p>
      <w:pPr>
        <w:pStyle w:val="7"/>
        <w:tabs>
          <w:tab w:val="left" w:pos="0"/>
          <w:tab w:val="left" w:pos="7920"/>
        </w:tabs>
        <w:spacing w:beforeAutospacing="0" w:after="120" w:afterAutospacing="0" w:line="360" w:lineRule="auto"/>
        <w:ind w:firstLine="320" w:firstLineChars="100"/>
        <w:jc w:val="both"/>
        <w:rPr>
          <w:rFonts w:hint="eastAsia" w:ascii="楷体" w:hAnsi="楷体" w:eastAsia="楷体" w:cs="楷体"/>
          <w:b/>
          <w:bCs/>
          <w:sz w:val="32"/>
          <w:szCs w:val="32"/>
        </w:rPr>
      </w:pPr>
      <w:r>
        <w:rPr>
          <w:rFonts w:hint="eastAsia" w:ascii="楷体" w:hAnsi="楷体" w:eastAsia="楷体" w:cs="楷体"/>
          <w:b/>
          <w:bCs/>
          <w:kern w:val="2"/>
          <w:sz w:val="32"/>
          <w:szCs w:val="32"/>
          <w:lang w:bidi="ar"/>
        </w:rPr>
        <w:t>（四）评价结论</w:t>
      </w:r>
    </w:p>
    <w:p>
      <w:pPr>
        <w:ind w:firstLine="600" w:firstLineChars="200"/>
        <w:rPr>
          <w:rFonts w:hint="eastAsia" w:ascii="楷体" w:hAnsi="楷体" w:eastAsia="楷体" w:cs="楷体"/>
          <w:sz w:val="30"/>
          <w:szCs w:val="30"/>
        </w:rPr>
      </w:pPr>
      <w:r>
        <w:rPr>
          <w:rFonts w:hint="eastAsia" w:ascii="楷体" w:hAnsi="楷体" w:eastAsia="楷体" w:cs="楷体"/>
          <w:sz w:val="30"/>
          <w:szCs w:val="30"/>
        </w:rPr>
        <w:t>本项目绩效评价指标体系得分</w:t>
      </w:r>
      <w:r>
        <w:rPr>
          <w:rFonts w:hint="eastAsia" w:ascii="楷体" w:hAnsi="楷体" w:eastAsia="楷体" w:cs="楷体"/>
          <w:sz w:val="30"/>
          <w:szCs w:val="30"/>
          <w:lang w:val="en-US" w:eastAsia="zh-CN"/>
        </w:rPr>
        <w:t>97</w:t>
      </w:r>
      <w:r>
        <w:rPr>
          <w:rFonts w:hint="eastAsia" w:ascii="楷体" w:hAnsi="楷体" w:eastAsia="楷体" w:cs="楷体"/>
          <w:sz w:val="30"/>
          <w:szCs w:val="30"/>
        </w:rPr>
        <w:t>分，评价结果为优。</w:t>
      </w:r>
      <w:r>
        <w:rPr>
          <w:rFonts w:hint="eastAsia" w:ascii="楷体" w:hAnsi="楷体" w:eastAsia="楷体" w:cs="楷体"/>
          <w:sz w:val="30"/>
          <w:szCs w:val="30"/>
        </w:rPr>
        <w:tab/>
      </w:r>
    </w:p>
    <w:p>
      <w:pPr>
        <w:pStyle w:val="13"/>
        <w:ind w:firstLine="777" w:firstLineChars="216"/>
        <w:jc w:val="left"/>
        <w:rPr>
          <w:rFonts w:ascii="楷体" w:hAnsi="楷体" w:eastAsia="楷体" w:cs="楷体"/>
          <w:b/>
          <w:sz w:val="36"/>
          <w:szCs w:val="36"/>
        </w:rPr>
      </w:pPr>
      <w:r>
        <w:rPr>
          <w:rFonts w:hint="eastAsia" w:ascii="楷体" w:hAnsi="楷体" w:eastAsia="楷体" w:cs="楷体"/>
          <w:b/>
          <w:sz w:val="36"/>
          <w:szCs w:val="36"/>
        </w:rPr>
        <w:t>四、存在的问题</w:t>
      </w:r>
    </w:p>
    <w:p>
      <w:pPr>
        <w:pStyle w:val="13"/>
        <w:ind w:firstLine="657" w:firstLineChars="219"/>
        <w:jc w:val="left"/>
        <w:rPr>
          <w:rFonts w:hint="eastAsia" w:ascii="楷体" w:hAnsi="楷体" w:eastAsia="楷体" w:cs="楷体"/>
          <w:bCs/>
          <w:sz w:val="30"/>
          <w:szCs w:val="30"/>
        </w:rPr>
      </w:pPr>
      <w:r>
        <w:rPr>
          <w:rFonts w:hint="eastAsia" w:ascii="楷体" w:hAnsi="楷体" w:eastAsia="楷体" w:cs="楷体"/>
          <w:bCs/>
          <w:sz w:val="30"/>
          <w:szCs w:val="30"/>
          <w:lang w:val="en-US" w:eastAsia="zh-CN"/>
        </w:rPr>
        <w:t>1</w:t>
      </w:r>
      <w:r>
        <w:rPr>
          <w:rFonts w:hint="eastAsia" w:ascii="楷体" w:hAnsi="楷体" w:eastAsia="楷体" w:cs="楷体"/>
          <w:bCs/>
          <w:sz w:val="30"/>
          <w:szCs w:val="30"/>
        </w:rPr>
        <w:t>、劳动者操作技能和安全意识仍然偏低，法纪观念淡薄；“三违”事故、农村班线节假日超员、疲劳驾驶还时有发生、非法营运等情况仍然存在，社会安全氛围不强；群众自我保护意识差，也给安全管理和监督执法带来了不利影响。</w:t>
      </w:r>
    </w:p>
    <w:p>
      <w:pPr>
        <w:pStyle w:val="13"/>
        <w:ind w:firstLine="657" w:firstLineChars="219"/>
        <w:jc w:val="left"/>
        <w:rPr>
          <w:rFonts w:hint="eastAsia" w:ascii="楷体" w:hAnsi="楷体" w:eastAsia="楷体" w:cs="楷体"/>
          <w:bCs/>
          <w:sz w:val="30"/>
          <w:szCs w:val="30"/>
        </w:rPr>
      </w:pPr>
      <w:r>
        <w:rPr>
          <w:rFonts w:hint="eastAsia" w:ascii="楷体" w:hAnsi="楷体" w:eastAsia="楷体" w:cs="楷体"/>
          <w:bCs/>
          <w:sz w:val="30"/>
          <w:szCs w:val="30"/>
        </w:rPr>
        <w:t>2、市财政困难，对交通基础设施和交通安全生产投入不足，</w:t>
      </w:r>
    </w:p>
    <w:p>
      <w:pPr>
        <w:pStyle w:val="13"/>
        <w:ind w:left="0" w:leftChars="0" w:firstLine="0" w:firstLineChars="0"/>
        <w:jc w:val="left"/>
        <w:rPr>
          <w:rFonts w:hint="eastAsia" w:ascii="楷体" w:hAnsi="楷体" w:eastAsia="楷体" w:cs="楷体"/>
          <w:bCs/>
          <w:sz w:val="30"/>
          <w:szCs w:val="30"/>
        </w:rPr>
      </w:pPr>
      <w:r>
        <w:rPr>
          <w:rFonts w:hint="eastAsia" w:ascii="楷体" w:hAnsi="楷体" w:eastAsia="楷体" w:cs="楷体"/>
          <w:bCs/>
          <w:sz w:val="30"/>
          <w:szCs w:val="30"/>
        </w:rPr>
        <w:t>与当前国家和社会对安全生产的高度关注还有差距，在一定程度上制约了安全管理工作，部分隐患整落实还不到位。</w:t>
      </w:r>
    </w:p>
    <w:p>
      <w:pPr>
        <w:pStyle w:val="13"/>
        <w:ind w:firstLine="788" w:firstLineChars="219"/>
        <w:jc w:val="left"/>
        <w:rPr>
          <w:rFonts w:hint="eastAsia" w:ascii="楷体" w:hAnsi="楷体" w:eastAsia="楷体" w:cs="楷体"/>
          <w:b/>
          <w:sz w:val="36"/>
          <w:szCs w:val="36"/>
        </w:rPr>
      </w:pPr>
      <w:r>
        <w:rPr>
          <w:rFonts w:hint="eastAsia" w:ascii="楷体" w:hAnsi="楷体" w:eastAsia="楷体" w:cs="楷体"/>
          <w:b/>
          <w:sz w:val="36"/>
          <w:szCs w:val="36"/>
        </w:rPr>
        <w:t>五、有关建议</w:t>
      </w:r>
    </w:p>
    <w:p>
      <w:pPr>
        <w:pStyle w:val="13"/>
        <w:ind w:firstLine="648" w:firstLineChars="216"/>
        <w:jc w:val="left"/>
        <w:rPr>
          <w:rFonts w:hint="default" w:ascii="楷体" w:hAnsi="楷体" w:eastAsia="楷体" w:cs="楷体"/>
          <w:bCs/>
          <w:sz w:val="30"/>
          <w:szCs w:val="30"/>
          <w:lang w:val="en-US" w:eastAsia="zh-CN"/>
        </w:rPr>
      </w:pPr>
      <w:r>
        <w:rPr>
          <w:rFonts w:hint="eastAsia" w:ascii="楷体" w:hAnsi="楷体" w:eastAsia="楷体" w:cs="楷体"/>
          <w:bCs/>
          <w:sz w:val="30"/>
          <w:szCs w:val="30"/>
          <w:lang w:val="en-US" w:eastAsia="zh-CN"/>
        </w:rPr>
        <w:t>加大安全宣传力度，增强</w:t>
      </w:r>
      <w:r>
        <w:rPr>
          <w:rFonts w:hint="eastAsia" w:ascii="楷体" w:hAnsi="楷体" w:eastAsia="楷体" w:cs="楷体"/>
          <w:bCs/>
          <w:sz w:val="30"/>
          <w:szCs w:val="30"/>
        </w:rPr>
        <w:t>群众自我保护意识</w:t>
      </w:r>
      <w:r>
        <w:rPr>
          <w:rFonts w:hint="eastAsia" w:ascii="楷体" w:hAnsi="楷体" w:eastAsia="楷体" w:cs="楷体"/>
          <w:bCs/>
          <w:sz w:val="30"/>
          <w:szCs w:val="30"/>
          <w:lang w:val="en-US" w:eastAsia="zh-CN"/>
        </w:rPr>
        <w:t>和</w:t>
      </w:r>
      <w:r>
        <w:rPr>
          <w:rFonts w:hint="eastAsia" w:ascii="楷体" w:hAnsi="楷体" w:eastAsia="楷体" w:cs="楷体"/>
          <w:bCs/>
          <w:sz w:val="30"/>
          <w:szCs w:val="30"/>
        </w:rPr>
        <w:t>法纪观念</w:t>
      </w:r>
      <w:r>
        <w:rPr>
          <w:rFonts w:hint="eastAsia" w:ascii="楷体" w:hAnsi="楷体" w:eastAsia="楷体" w:cs="楷体"/>
          <w:bCs/>
          <w:sz w:val="30"/>
          <w:szCs w:val="30"/>
          <w:lang w:eastAsia="zh-CN"/>
        </w:rPr>
        <w:t>，</w:t>
      </w:r>
      <w:r>
        <w:rPr>
          <w:rFonts w:hint="eastAsia" w:ascii="楷体" w:hAnsi="楷体" w:eastAsia="楷体" w:cs="楷体"/>
          <w:bCs/>
          <w:sz w:val="30"/>
          <w:szCs w:val="30"/>
          <w:lang w:val="en-US" w:eastAsia="zh-CN"/>
        </w:rPr>
        <w:t>财政加大对</w:t>
      </w:r>
      <w:r>
        <w:rPr>
          <w:rFonts w:hint="eastAsia" w:ascii="楷体" w:hAnsi="楷体" w:eastAsia="楷体" w:cs="楷体"/>
          <w:bCs/>
          <w:sz w:val="30"/>
          <w:szCs w:val="30"/>
        </w:rPr>
        <w:t>交通基础设施和交通安全生产</w:t>
      </w:r>
      <w:r>
        <w:rPr>
          <w:rFonts w:hint="eastAsia" w:ascii="楷体" w:hAnsi="楷体" w:eastAsia="楷体" w:cs="楷体"/>
          <w:bCs/>
          <w:sz w:val="30"/>
          <w:szCs w:val="30"/>
          <w:lang w:val="en-US" w:eastAsia="zh-CN"/>
        </w:rPr>
        <w:t>的投入。</w:t>
      </w:r>
    </w:p>
    <w:p>
      <w:pPr>
        <w:pStyle w:val="13"/>
        <w:ind w:firstLine="777" w:firstLineChars="216"/>
        <w:jc w:val="left"/>
        <w:rPr>
          <w:rFonts w:ascii="楷体" w:hAnsi="楷体" w:eastAsia="楷体" w:cs="楷体"/>
          <w:b/>
          <w:sz w:val="36"/>
          <w:szCs w:val="36"/>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p>
      <w:pPr>
        <w:pStyle w:val="2"/>
        <w:rPr>
          <w:rFonts w:cs="黑体" w:asciiTheme="minorEastAsia" w:hAnsiTheme="minorEastAsia"/>
          <w:color w:val="000000"/>
          <w:kern w:val="0"/>
          <w:sz w:val="32"/>
          <w:szCs w:val="32"/>
        </w:rPr>
      </w:pPr>
    </w:p>
    <w:sectPr>
      <w:pgSz w:w="11906" w:h="16838"/>
      <w:pgMar w:top="720" w:right="720" w:bottom="720" w:left="720" w:header="851" w:footer="992" w:gutter="0"/>
      <w:cols w:space="425" w:num="1"/>
      <w:docGrid w:type="linesAndChar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86"/>
    <w:family w:val="auto"/>
    <w:pitch w:val="default"/>
    <w:sig w:usb0="E0002EFF" w:usb1="C000785B"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楷体_GB2312">
    <w:altName w:val="楷体"/>
    <w:panose1 w:val="02010609030101010101"/>
    <w:charset w:val="86"/>
    <w:family w:val="modern"/>
    <w:pitch w:val="default"/>
    <w:sig w:usb0="00000000" w:usb1="00000000" w:usb2="00000010" w:usb3="00000000" w:csb0="00040000" w:csb1="00000000"/>
  </w:font>
  <w:font w:name="仿宋_GB2312">
    <w:altName w:val="仿宋"/>
    <w:panose1 w:val="02010609030101010101"/>
    <w:charset w:val="86"/>
    <w:family w:val="modern"/>
    <w:pitch w:val="default"/>
    <w:sig w:usb0="00000000" w:usb1="00000000" w:usb2="00000010" w:usb3="00000000" w:csb0="00040000" w:csb1="00000000"/>
  </w:font>
  <w:font w:name="方正小标宋_GBK">
    <w:altName w:val="微软雅黑"/>
    <w:panose1 w:val="00000000000000000000"/>
    <w:charset w:val="86"/>
    <w:family w:val="script"/>
    <w:pitch w:val="default"/>
    <w:sig w:usb0="00000000" w:usb1="00000000" w:usb2="00000010" w:usb3="00000000" w:csb0="00040000" w:csb1="00000000"/>
  </w:font>
  <w:font w:name="华文中宋">
    <w:altName w:val="宋体"/>
    <w:panose1 w:val="02010600040101010101"/>
    <w:charset w:val="86"/>
    <w:family w:val="auto"/>
    <w:pitch w:val="default"/>
    <w:sig w:usb0="00000000" w:usb1="00000000" w:usb2="00000000" w:usb3="00000000" w:csb0="0004009F" w:csb1="DFD70000"/>
  </w:font>
  <w:font w:name="仿宋">
    <w:panose1 w:val="02010609060101010101"/>
    <w:charset w:val="86"/>
    <w:family w:val="auto"/>
    <w:pitch w:val="default"/>
    <w:sig w:usb0="800002BF" w:usb1="38CF7CFA" w:usb2="00000016" w:usb3="00000000" w:csb0="00040001" w:csb1="00000000"/>
  </w:font>
  <w:font w:name="楷体">
    <w:panose1 w:val="02010609060101010101"/>
    <w:charset w:val="86"/>
    <w:family w:val="auto"/>
    <w:pitch w:val="default"/>
    <w:sig w:usb0="800002BF" w:usb1="38CF7CFA" w:usb2="00000016" w:usb3="00000000" w:csb0="00040001" w:csb1="00000000"/>
  </w:font>
  <w:font w:name="微软雅黑">
    <w:panose1 w:val="020B0503020204020204"/>
    <w:charset w:val="86"/>
    <w:family w:val="auto"/>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B1015AD"/>
    <w:multiLevelType w:val="singleLevel"/>
    <w:tmpl w:val="8B1015AD"/>
    <w:lvl w:ilvl="0" w:tentative="0">
      <w:start w:val="1"/>
      <w:numFmt w:val="decimal"/>
      <w:suff w:val="nothing"/>
      <w:lvlText w:val="%1、"/>
      <w:lvlJc w:val="left"/>
    </w:lvl>
  </w:abstractNum>
  <w:abstractNum w:abstractNumId="1">
    <w:nsid w:val="E27E1274"/>
    <w:multiLevelType w:val="singleLevel"/>
    <w:tmpl w:val="E27E1274"/>
    <w:lvl w:ilvl="0" w:tentative="0">
      <w:start w:val="1"/>
      <w:numFmt w:val="chineseCounting"/>
      <w:suff w:val="nothing"/>
      <w:lvlText w:val="%1、"/>
      <w:lvlJc w:val="left"/>
      <w:rPr>
        <w:rFonts w:hint="eastAsia"/>
      </w:rPr>
    </w:lvl>
  </w:abstractNum>
  <w:abstractNum w:abstractNumId="2">
    <w:nsid w:val="373518C1"/>
    <w:multiLevelType w:val="multilevel"/>
    <w:tmpl w:val="373518C1"/>
    <w:lvl w:ilvl="0" w:tentative="0">
      <w:start w:val="1"/>
      <w:numFmt w:val="none"/>
      <w:lvlText w:val="一、"/>
      <w:lvlJc w:val="left"/>
      <w:pPr>
        <w:ind w:left="720" w:hanging="72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num w:numId="1">
    <w:abstractNumId w:val="2"/>
  </w:num>
  <w:num w:numId="2">
    <w:abstractNumId w:val="1"/>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oNotDisplayPageBoundaries w:val="1"/>
  <w:bordersDoNotSurroundHeader w:val="0"/>
  <w:bordersDoNotSurroundFooter w:val="0"/>
  <w:documentProtection w:enforcement="0"/>
  <w:defaultTabStop w:val="420"/>
  <w:drawingGridHorizontalSpacing w:val="105"/>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TFkODU4NzhiODVhNmU1NDUyNzQzMjQ4MTI2M2NlNDkifQ=="/>
  </w:docVars>
  <w:rsids>
    <w:rsidRoot w:val="004506F9"/>
    <w:rsid w:val="0002229B"/>
    <w:rsid w:val="000273BD"/>
    <w:rsid w:val="000415B7"/>
    <w:rsid w:val="00041E3F"/>
    <w:rsid w:val="00055DAA"/>
    <w:rsid w:val="00061F7B"/>
    <w:rsid w:val="000658A3"/>
    <w:rsid w:val="00074155"/>
    <w:rsid w:val="000873EF"/>
    <w:rsid w:val="000A3F69"/>
    <w:rsid w:val="00103957"/>
    <w:rsid w:val="00124A1F"/>
    <w:rsid w:val="00152C6D"/>
    <w:rsid w:val="00162D39"/>
    <w:rsid w:val="001678BD"/>
    <w:rsid w:val="00182373"/>
    <w:rsid w:val="001A67DB"/>
    <w:rsid w:val="001C3C29"/>
    <w:rsid w:val="001D51E5"/>
    <w:rsid w:val="001E080D"/>
    <w:rsid w:val="001E53D0"/>
    <w:rsid w:val="001F0C3B"/>
    <w:rsid w:val="00202C14"/>
    <w:rsid w:val="00202C82"/>
    <w:rsid w:val="00214427"/>
    <w:rsid w:val="00226CB7"/>
    <w:rsid w:val="00264552"/>
    <w:rsid w:val="00264EF9"/>
    <w:rsid w:val="00265724"/>
    <w:rsid w:val="0027426B"/>
    <w:rsid w:val="002E0A30"/>
    <w:rsid w:val="003130C4"/>
    <w:rsid w:val="00316C4B"/>
    <w:rsid w:val="0032192B"/>
    <w:rsid w:val="003479BD"/>
    <w:rsid w:val="0037197D"/>
    <w:rsid w:val="003768D5"/>
    <w:rsid w:val="003C4197"/>
    <w:rsid w:val="003C47E6"/>
    <w:rsid w:val="003C4FC2"/>
    <w:rsid w:val="003E2331"/>
    <w:rsid w:val="00416E61"/>
    <w:rsid w:val="0042790C"/>
    <w:rsid w:val="004506F9"/>
    <w:rsid w:val="004717A2"/>
    <w:rsid w:val="00473DF3"/>
    <w:rsid w:val="00487911"/>
    <w:rsid w:val="00491741"/>
    <w:rsid w:val="004B0CEE"/>
    <w:rsid w:val="00500E5F"/>
    <w:rsid w:val="005122EF"/>
    <w:rsid w:val="0051441A"/>
    <w:rsid w:val="00517C33"/>
    <w:rsid w:val="00517D5F"/>
    <w:rsid w:val="00521AF2"/>
    <w:rsid w:val="00523644"/>
    <w:rsid w:val="0054069E"/>
    <w:rsid w:val="00544866"/>
    <w:rsid w:val="005767CC"/>
    <w:rsid w:val="00590D9F"/>
    <w:rsid w:val="00595D26"/>
    <w:rsid w:val="005A74E6"/>
    <w:rsid w:val="005B404E"/>
    <w:rsid w:val="005D4D55"/>
    <w:rsid w:val="005E2CFB"/>
    <w:rsid w:val="005F2103"/>
    <w:rsid w:val="005F3D1C"/>
    <w:rsid w:val="0062378F"/>
    <w:rsid w:val="00641842"/>
    <w:rsid w:val="00651EEC"/>
    <w:rsid w:val="00686673"/>
    <w:rsid w:val="00691E8C"/>
    <w:rsid w:val="006A22C4"/>
    <w:rsid w:val="006A348B"/>
    <w:rsid w:val="006A351B"/>
    <w:rsid w:val="006B0422"/>
    <w:rsid w:val="006C1B53"/>
    <w:rsid w:val="006D7730"/>
    <w:rsid w:val="006E5284"/>
    <w:rsid w:val="006F3EB5"/>
    <w:rsid w:val="00702E34"/>
    <w:rsid w:val="00704395"/>
    <w:rsid w:val="00710FE7"/>
    <w:rsid w:val="00717621"/>
    <w:rsid w:val="00720FF1"/>
    <w:rsid w:val="00727A53"/>
    <w:rsid w:val="00787B42"/>
    <w:rsid w:val="007C4539"/>
    <w:rsid w:val="007F3657"/>
    <w:rsid w:val="00812ED5"/>
    <w:rsid w:val="008277D9"/>
    <w:rsid w:val="0084478C"/>
    <w:rsid w:val="0086638C"/>
    <w:rsid w:val="008A3E8D"/>
    <w:rsid w:val="009237C4"/>
    <w:rsid w:val="00944C48"/>
    <w:rsid w:val="00950252"/>
    <w:rsid w:val="00967F5D"/>
    <w:rsid w:val="009A0F95"/>
    <w:rsid w:val="009B3ADF"/>
    <w:rsid w:val="009C3B52"/>
    <w:rsid w:val="009E6817"/>
    <w:rsid w:val="009E6E9A"/>
    <w:rsid w:val="00A01D2B"/>
    <w:rsid w:val="00A42218"/>
    <w:rsid w:val="00A70249"/>
    <w:rsid w:val="00A70B02"/>
    <w:rsid w:val="00A71D9F"/>
    <w:rsid w:val="00A75A1A"/>
    <w:rsid w:val="00A92E9F"/>
    <w:rsid w:val="00B33BEA"/>
    <w:rsid w:val="00B57C9F"/>
    <w:rsid w:val="00B63572"/>
    <w:rsid w:val="00B845B3"/>
    <w:rsid w:val="00B85D8B"/>
    <w:rsid w:val="00BB4A40"/>
    <w:rsid w:val="00BD6C3E"/>
    <w:rsid w:val="00BE3674"/>
    <w:rsid w:val="00C10681"/>
    <w:rsid w:val="00C3049A"/>
    <w:rsid w:val="00C31B1E"/>
    <w:rsid w:val="00C77645"/>
    <w:rsid w:val="00CE04C3"/>
    <w:rsid w:val="00CE76A0"/>
    <w:rsid w:val="00D148C6"/>
    <w:rsid w:val="00D17A8A"/>
    <w:rsid w:val="00D415BA"/>
    <w:rsid w:val="00D63780"/>
    <w:rsid w:val="00D644EE"/>
    <w:rsid w:val="00D75489"/>
    <w:rsid w:val="00DD06FF"/>
    <w:rsid w:val="00DD5FE9"/>
    <w:rsid w:val="00E00C7A"/>
    <w:rsid w:val="00E209CF"/>
    <w:rsid w:val="00E37D6C"/>
    <w:rsid w:val="00E55B68"/>
    <w:rsid w:val="00E67BE6"/>
    <w:rsid w:val="00E8683C"/>
    <w:rsid w:val="00EA2B72"/>
    <w:rsid w:val="00F74360"/>
    <w:rsid w:val="00FB462F"/>
    <w:rsid w:val="00FE16FA"/>
    <w:rsid w:val="00FE328A"/>
    <w:rsid w:val="00FE6269"/>
    <w:rsid w:val="00FF5CD6"/>
    <w:rsid w:val="01074165"/>
    <w:rsid w:val="021548D2"/>
    <w:rsid w:val="06334A52"/>
    <w:rsid w:val="0B27766A"/>
    <w:rsid w:val="0CE41BF4"/>
    <w:rsid w:val="0D8C48EF"/>
    <w:rsid w:val="106823F4"/>
    <w:rsid w:val="135C6D8E"/>
    <w:rsid w:val="1D0E57BA"/>
    <w:rsid w:val="1FCC0154"/>
    <w:rsid w:val="249D30E9"/>
    <w:rsid w:val="24ED41CB"/>
    <w:rsid w:val="286E46CF"/>
    <w:rsid w:val="43D40839"/>
    <w:rsid w:val="45FE72BB"/>
    <w:rsid w:val="46185E65"/>
    <w:rsid w:val="49221F42"/>
    <w:rsid w:val="4DA26793"/>
    <w:rsid w:val="4DAE5A6A"/>
    <w:rsid w:val="539A7207"/>
    <w:rsid w:val="5AF12972"/>
    <w:rsid w:val="5CC7697D"/>
    <w:rsid w:val="66860F22"/>
    <w:rsid w:val="66ED7B8E"/>
    <w:rsid w:val="68476668"/>
    <w:rsid w:val="6CA762D8"/>
    <w:rsid w:val="6DFE572C"/>
    <w:rsid w:val="7DBF07C5"/>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Calibri" w:hAnsi="Calibri"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qFormat="1" w:unhideWhenUsed="0" w:uiPriority="0" w:semiHidden="0"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qFormat="1" w:uiPriority="99" w:semiHidden="0"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9">
    <w:name w:val="Default Paragraph Font"/>
    <w:semiHidden/>
    <w:unhideWhenUsed/>
    <w:qFormat/>
    <w:uiPriority w:val="1"/>
  </w:style>
  <w:style w:type="table" w:default="1" w:styleId="8">
    <w:name w:val="Normal Table"/>
    <w:semiHidden/>
    <w:unhideWhenUsed/>
    <w:qFormat/>
    <w:uiPriority w:val="99"/>
    <w:tblPr>
      <w:tblCellMar>
        <w:top w:w="0" w:type="dxa"/>
        <w:left w:w="108" w:type="dxa"/>
        <w:bottom w:w="0" w:type="dxa"/>
        <w:right w:w="108" w:type="dxa"/>
      </w:tblCellMar>
    </w:tblPr>
  </w:style>
  <w:style w:type="paragraph" w:styleId="2">
    <w:name w:val="Body Text First Indent 2"/>
    <w:basedOn w:val="3"/>
    <w:unhideWhenUsed/>
    <w:qFormat/>
    <w:uiPriority w:val="99"/>
    <w:pPr>
      <w:tabs>
        <w:tab w:val="left" w:pos="0"/>
        <w:tab w:val="left" w:pos="7920"/>
      </w:tabs>
      <w:ind w:firstLine="420" w:firstLineChars="200"/>
    </w:pPr>
  </w:style>
  <w:style w:type="paragraph" w:styleId="3">
    <w:name w:val="Body Text Indent"/>
    <w:basedOn w:val="1"/>
    <w:qFormat/>
    <w:uiPriority w:val="0"/>
    <w:pPr>
      <w:tabs>
        <w:tab w:val="left" w:pos="0"/>
        <w:tab w:val="left" w:pos="7920"/>
      </w:tabs>
      <w:spacing w:line="490" w:lineRule="exact"/>
      <w:ind w:right="-277" w:rightChars="-132" w:firstLine="901" w:firstLineChars="374"/>
    </w:pPr>
    <w:rPr>
      <w:rFonts w:eastAsia="楷体_GB2312"/>
      <w:b/>
      <w:bCs/>
      <w:sz w:val="24"/>
    </w:rPr>
  </w:style>
  <w:style w:type="paragraph" w:styleId="4">
    <w:name w:val="Balloon Text"/>
    <w:basedOn w:val="1"/>
    <w:link w:val="14"/>
    <w:semiHidden/>
    <w:unhideWhenUsed/>
    <w:qFormat/>
    <w:uiPriority w:val="99"/>
    <w:rPr>
      <w:sz w:val="18"/>
      <w:szCs w:val="18"/>
    </w:rPr>
  </w:style>
  <w:style w:type="paragraph" w:styleId="5">
    <w:name w:val="footer"/>
    <w:basedOn w:val="1"/>
    <w:link w:val="11"/>
    <w:unhideWhenUsed/>
    <w:qFormat/>
    <w:uiPriority w:val="99"/>
    <w:pPr>
      <w:tabs>
        <w:tab w:val="center" w:pos="4153"/>
        <w:tab w:val="right" w:pos="8306"/>
      </w:tabs>
      <w:snapToGrid w:val="0"/>
      <w:jc w:val="left"/>
    </w:pPr>
    <w:rPr>
      <w:sz w:val="18"/>
      <w:szCs w:val="18"/>
    </w:rPr>
  </w:style>
  <w:style w:type="paragraph" w:styleId="6">
    <w:name w:val="header"/>
    <w:basedOn w:val="1"/>
    <w:link w:val="10"/>
    <w:unhideWhenUsed/>
    <w:qFormat/>
    <w:uiPriority w:val="99"/>
    <w:pPr>
      <w:pBdr>
        <w:bottom w:val="single" w:color="auto" w:sz="6" w:space="1"/>
      </w:pBdr>
      <w:tabs>
        <w:tab w:val="center" w:pos="4153"/>
        <w:tab w:val="right" w:pos="8306"/>
      </w:tabs>
      <w:snapToGrid w:val="0"/>
      <w:jc w:val="center"/>
    </w:pPr>
    <w:rPr>
      <w:sz w:val="18"/>
      <w:szCs w:val="18"/>
    </w:rPr>
  </w:style>
  <w:style w:type="paragraph" w:styleId="7">
    <w:name w:val="Normal (Web)"/>
    <w:basedOn w:val="1"/>
    <w:qFormat/>
    <w:uiPriority w:val="0"/>
    <w:pPr>
      <w:spacing w:beforeAutospacing="1" w:afterAutospacing="1"/>
      <w:jc w:val="left"/>
    </w:pPr>
    <w:rPr>
      <w:kern w:val="0"/>
      <w:sz w:val="24"/>
    </w:rPr>
  </w:style>
  <w:style w:type="character" w:customStyle="1" w:styleId="10">
    <w:name w:val="页眉 Char"/>
    <w:basedOn w:val="9"/>
    <w:link w:val="6"/>
    <w:qFormat/>
    <w:uiPriority w:val="99"/>
    <w:rPr>
      <w:sz w:val="18"/>
      <w:szCs w:val="18"/>
    </w:rPr>
  </w:style>
  <w:style w:type="character" w:customStyle="1" w:styleId="11">
    <w:name w:val="页脚 Char"/>
    <w:basedOn w:val="9"/>
    <w:link w:val="5"/>
    <w:qFormat/>
    <w:uiPriority w:val="99"/>
    <w:rPr>
      <w:sz w:val="18"/>
      <w:szCs w:val="18"/>
    </w:rPr>
  </w:style>
  <w:style w:type="paragraph" w:customStyle="1" w:styleId="12">
    <w:name w:val="Default"/>
    <w:qFormat/>
    <w:uiPriority w:val="0"/>
    <w:pPr>
      <w:widowControl w:val="0"/>
      <w:autoSpaceDE w:val="0"/>
      <w:autoSpaceDN w:val="0"/>
      <w:adjustRightInd w:val="0"/>
    </w:pPr>
    <w:rPr>
      <w:rFonts w:ascii="黑体" w:eastAsia="黑体" w:cs="黑体" w:hAnsiTheme="minorHAnsi"/>
      <w:color w:val="000000"/>
      <w:kern w:val="0"/>
      <w:sz w:val="24"/>
      <w:szCs w:val="24"/>
      <w:lang w:val="en-US" w:eastAsia="zh-CN" w:bidi="ar-SA"/>
    </w:rPr>
  </w:style>
  <w:style w:type="paragraph" w:styleId="13">
    <w:name w:val="List Paragraph"/>
    <w:basedOn w:val="1"/>
    <w:qFormat/>
    <w:uiPriority w:val="34"/>
    <w:pPr>
      <w:ind w:firstLine="420" w:firstLineChars="200"/>
    </w:pPr>
  </w:style>
  <w:style w:type="character" w:customStyle="1" w:styleId="14">
    <w:name w:val="批注框文本 Char"/>
    <w:basedOn w:val="9"/>
    <w:link w:val="4"/>
    <w:semiHidden/>
    <w:qFormat/>
    <w:uiPriority w:val="99"/>
    <w:rPr>
      <w:sz w:val="18"/>
      <w:szCs w:val="18"/>
    </w:rPr>
  </w:style>
  <w:style w:type="paragraph" w:customStyle="1" w:styleId="15">
    <w:name w:val="样式1"/>
    <w:basedOn w:val="1"/>
    <w:qFormat/>
    <w:uiPriority w:val="0"/>
    <w:rPr>
      <w:rFonts w:ascii="宋体" w:hAnsi="宋体"/>
      <w:sz w:val="28"/>
      <w:szCs w:val="28"/>
    </w:rPr>
  </w:style>
  <w:style w:type="character" w:customStyle="1" w:styleId="16">
    <w:name w:val="NormalCharacter"/>
    <w:qFormat/>
    <w:uiPriority w:val="0"/>
    <w:rPr>
      <w:rFonts w:ascii="Calibri" w:hAnsi="Calibri" w:eastAsia="宋体"/>
    </w:rPr>
  </w:style>
  <w:style w:type="paragraph" w:customStyle="1" w:styleId="17">
    <w:name w:val="179"/>
    <w:basedOn w:val="1"/>
    <w:qFormat/>
    <w:uiPriority w:val="0"/>
    <w:pPr>
      <w:ind w:firstLine="420" w:firstLineChars="200"/>
      <w:textAlignment w:val="baseline"/>
    </w:pPr>
    <w:rPr>
      <w:rFonts w:ascii="Times New Roman" w:hAnsi="Times New Roman"/>
      <w:szCs w:val="21"/>
    </w:rPr>
  </w:style>
  <w:style w:type="paragraph" w:customStyle="1" w:styleId="18">
    <w:name w:val="msolistparagraph"/>
    <w:basedOn w:val="1"/>
    <w:qFormat/>
    <w:uiPriority w:val="0"/>
    <w:pPr>
      <w:keepNext w:val="0"/>
      <w:keepLines w:val="0"/>
      <w:widowControl w:val="0"/>
      <w:suppressLineNumbers w:val="0"/>
      <w:spacing w:before="0" w:beforeAutospacing="0" w:after="0" w:afterAutospacing="0"/>
      <w:ind w:left="0" w:right="0" w:firstLine="420" w:firstLineChars="200"/>
      <w:jc w:val="both"/>
    </w:pPr>
    <w:rPr>
      <w:rFonts w:hint="default" w:ascii="Calibri" w:hAnsi="Calibri" w:eastAsia="宋体" w:cs="Times New Roman"/>
      <w:kern w:val="2"/>
      <w:sz w:val="21"/>
      <w:szCs w:val="24"/>
      <w:lang w:val="en-US" w:eastAsia="zh-CN" w:bidi="ar"/>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numbering" Target="numbering.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8C480904-B2FB-4FE3-894F-42F14B17BC59}">
  <ds:schemaRefs/>
</ds:datastoreItem>
</file>

<file path=docProps/app.xml><?xml version="1.0" encoding="utf-8"?>
<Properties xmlns="http://schemas.openxmlformats.org/officeDocument/2006/extended-properties" xmlns:vt="http://schemas.openxmlformats.org/officeDocument/2006/docPropsVTypes">
  <Template>Normal</Template>
  <Company>Microsoft</Company>
  <Pages>52</Pages>
  <Words>22294</Words>
  <Characters>26372</Characters>
  <Lines>69</Lines>
  <Paragraphs>19</Paragraphs>
  <TotalTime>36</TotalTime>
  <ScaleCrop>false</ScaleCrop>
  <LinksUpToDate>false</LinksUpToDate>
  <CharactersWithSpaces>27316</CharactersWithSpaces>
  <Application>WPS Office_12.1.0.15712_F1E327BC-269C-435d-A152-05C5408002CA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2020-07-02T02:32:00Z</dcterms:created>
  <dc:creator>李航 null</dc:creator>
  <cp:lastModifiedBy>燕娇</cp:lastModifiedBy>
  <cp:lastPrinted>2022-09-02T08:38:00Z</cp:lastPrinted>
  <dcterms:modified xsi:type="dcterms:W3CDTF">2024-09-26T02:28:47Z</dcterms:modified>
  <cp:revision>67</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2052-12.1.0.15712</vt:lpwstr>
  </property>
  <property fmtid="{D5CDD505-2E9C-101B-9397-08002B2CF9AE}" pid="3" name="ICV">
    <vt:lpwstr>FC5CC09DC23F451AB3AC12DBE3C11DC8_13</vt:lpwstr>
  </property>
</Properties>
</file>