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jc w:val="center"/>
        <w:rPr>
          <w:rFonts w:hint="eastAsia"/>
          <w:sz w:val="56"/>
          <w:szCs w:val="56"/>
          <w:highlight w:val="none"/>
        </w:rPr>
      </w:pPr>
    </w:p>
    <w:p>
      <w:pPr>
        <w:pStyle w:val="15"/>
        <w:jc w:val="center"/>
        <w:rPr>
          <w:sz w:val="56"/>
          <w:szCs w:val="56"/>
          <w:highlight w:val="none"/>
        </w:rPr>
      </w:pPr>
    </w:p>
    <w:p>
      <w:pPr>
        <w:pStyle w:val="15"/>
        <w:jc w:val="center"/>
        <w:rPr>
          <w:sz w:val="84"/>
          <w:szCs w:val="84"/>
          <w:highlight w:val="none"/>
        </w:rPr>
      </w:pPr>
    </w:p>
    <w:p>
      <w:pPr>
        <w:pStyle w:val="15"/>
        <w:jc w:val="center"/>
        <w:rPr>
          <w:sz w:val="84"/>
          <w:szCs w:val="84"/>
          <w:highlight w:val="none"/>
        </w:rPr>
      </w:pPr>
    </w:p>
    <w:p>
      <w:pPr>
        <w:pStyle w:val="15"/>
        <w:jc w:val="center"/>
        <w:rPr>
          <w:sz w:val="84"/>
          <w:szCs w:val="84"/>
          <w:highlight w:val="none"/>
        </w:rPr>
      </w:pPr>
      <w:r>
        <w:rPr>
          <w:rFonts w:hint="eastAsia"/>
          <w:sz w:val="84"/>
          <w:szCs w:val="84"/>
          <w:highlight w:val="none"/>
        </w:rPr>
        <w:t>2021年度</w:t>
      </w:r>
    </w:p>
    <w:p>
      <w:pPr>
        <w:pStyle w:val="15"/>
        <w:jc w:val="center"/>
        <w:rPr>
          <w:rFonts w:hint="eastAsia"/>
          <w:sz w:val="84"/>
          <w:szCs w:val="84"/>
          <w:highlight w:val="none"/>
          <w:lang w:eastAsia="zh-CN"/>
        </w:rPr>
      </w:pPr>
      <w:r>
        <w:rPr>
          <w:rFonts w:hint="eastAsia"/>
          <w:sz w:val="84"/>
          <w:szCs w:val="84"/>
          <w:highlight w:val="none"/>
          <w:lang w:eastAsia="zh-CN"/>
        </w:rPr>
        <w:t>湘乡市住房和</w:t>
      </w:r>
    </w:p>
    <w:p>
      <w:pPr>
        <w:pStyle w:val="15"/>
        <w:jc w:val="center"/>
        <w:rPr>
          <w:rFonts w:hint="eastAsia"/>
          <w:sz w:val="84"/>
          <w:szCs w:val="84"/>
          <w:highlight w:val="none"/>
          <w:lang w:val="en-US" w:eastAsia="zh-CN"/>
        </w:rPr>
      </w:pPr>
      <w:r>
        <w:rPr>
          <w:rFonts w:hint="eastAsia"/>
          <w:sz w:val="84"/>
          <w:szCs w:val="84"/>
          <w:highlight w:val="none"/>
          <w:lang w:eastAsia="zh-CN"/>
        </w:rPr>
        <w:t>城乡建设局</w:t>
      </w:r>
      <w:r>
        <w:rPr>
          <w:rFonts w:hint="eastAsia"/>
          <w:sz w:val="84"/>
          <w:szCs w:val="84"/>
          <w:highlight w:val="none"/>
          <w:lang w:val="en-US" w:eastAsia="zh-CN"/>
        </w:rPr>
        <w:t>本级</w:t>
      </w:r>
    </w:p>
    <w:p>
      <w:pPr>
        <w:pStyle w:val="15"/>
        <w:jc w:val="center"/>
        <w:rPr>
          <w:sz w:val="84"/>
          <w:szCs w:val="84"/>
          <w:highlight w:val="none"/>
        </w:rPr>
      </w:pPr>
      <w:r>
        <w:rPr>
          <w:rFonts w:hint="eastAsia"/>
          <w:sz w:val="84"/>
          <w:szCs w:val="84"/>
          <w:highlight w:val="none"/>
        </w:rPr>
        <w:t>部门决算</w:t>
      </w:r>
    </w:p>
    <w:p>
      <w:pPr>
        <w:pStyle w:val="15"/>
        <w:jc w:val="center"/>
        <w:rPr>
          <w:sz w:val="56"/>
          <w:szCs w:val="56"/>
          <w:highlight w:val="none"/>
        </w:rPr>
      </w:pPr>
    </w:p>
    <w:p>
      <w:pPr>
        <w:pStyle w:val="15"/>
        <w:jc w:val="center"/>
        <w:rPr>
          <w:sz w:val="56"/>
          <w:szCs w:val="56"/>
          <w:highlight w:val="none"/>
        </w:rPr>
      </w:pPr>
    </w:p>
    <w:p>
      <w:pPr>
        <w:pStyle w:val="15"/>
        <w:jc w:val="center"/>
        <w:rPr>
          <w:sz w:val="56"/>
          <w:szCs w:val="56"/>
          <w:highlight w:val="none"/>
        </w:rPr>
      </w:pPr>
    </w:p>
    <w:p>
      <w:pPr>
        <w:pStyle w:val="15"/>
        <w:jc w:val="center"/>
        <w:rPr>
          <w:sz w:val="56"/>
          <w:szCs w:val="56"/>
          <w:highlight w:val="none"/>
        </w:rPr>
      </w:pPr>
    </w:p>
    <w:p>
      <w:pPr>
        <w:pStyle w:val="15"/>
        <w:spacing w:line="500" w:lineRule="exact"/>
        <w:jc w:val="both"/>
        <w:rPr>
          <w:b/>
          <w:sz w:val="36"/>
          <w:szCs w:val="28"/>
          <w:highlight w:val="none"/>
        </w:rPr>
      </w:pPr>
    </w:p>
    <w:p>
      <w:pPr>
        <w:pStyle w:val="15"/>
        <w:spacing w:line="500" w:lineRule="exact"/>
        <w:jc w:val="center"/>
        <w:rPr>
          <w:b/>
          <w:sz w:val="36"/>
          <w:szCs w:val="28"/>
          <w:highlight w:val="none"/>
        </w:rPr>
      </w:pPr>
      <w:r>
        <w:rPr>
          <w:rFonts w:hint="eastAsia"/>
          <w:b/>
          <w:sz w:val="36"/>
          <w:szCs w:val="28"/>
          <w:highlight w:val="none"/>
        </w:rPr>
        <w:t>目录</w:t>
      </w:r>
    </w:p>
    <w:p>
      <w:pPr>
        <w:pStyle w:val="15"/>
        <w:spacing w:line="500" w:lineRule="exact"/>
        <w:rPr>
          <w:rFonts w:ascii="仿宋_GB2312" w:hAnsi="仿宋_GB2312" w:cs="仿宋_GB2312"/>
          <w:b/>
          <w:sz w:val="28"/>
          <w:szCs w:val="28"/>
          <w:highlight w:val="none"/>
        </w:rPr>
      </w:pPr>
      <w:r>
        <w:rPr>
          <w:rFonts w:hint="eastAsia"/>
          <w:b/>
          <w:sz w:val="28"/>
          <w:szCs w:val="28"/>
          <w:highlight w:val="none"/>
        </w:rPr>
        <w:t>第一部分</w:t>
      </w:r>
      <w:r>
        <w:rPr>
          <w:rFonts w:hint="eastAsia"/>
          <w:b/>
          <w:sz w:val="28"/>
          <w:szCs w:val="28"/>
          <w:highlight w:val="none"/>
          <w:lang w:val="en-US" w:eastAsia="zh-CN"/>
        </w:rPr>
        <w:t xml:space="preserve">  </w:t>
      </w:r>
      <w:r>
        <w:rPr>
          <w:rFonts w:hint="eastAsia"/>
          <w:b/>
          <w:sz w:val="28"/>
          <w:szCs w:val="28"/>
          <w:highlight w:val="none"/>
        </w:rPr>
        <w:t>单位概况</w:t>
      </w:r>
    </w:p>
    <w:p>
      <w:pPr>
        <w:pStyle w:val="15"/>
        <w:spacing w:line="500" w:lineRule="exact"/>
        <w:ind w:firstLine="700" w:firstLineChars="250"/>
        <w:rPr>
          <w:rFonts w:cs="仿宋_GB2312" w:asciiTheme="minorEastAsia" w:hAnsiTheme="minorEastAsia" w:eastAsiaTheme="minorEastAsia"/>
          <w:sz w:val="28"/>
          <w:szCs w:val="28"/>
          <w:highlight w:val="none"/>
        </w:rPr>
      </w:pPr>
      <w:r>
        <w:rPr>
          <w:rFonts w:cs="仿宋_GB2312" w:asciiTheme="minorEastAsia" w:hAnsiTheme="minorEastAsia" w:eastAsiaTheme="minorEastAsia"/>
          <w:sz w:val="28"/>
          <w:szCs w:val="28"/>
          <w:highlight w:val="none"/>
        </w:rPr>
        <w:t>一、部门职责</w:t>
      </w:r>
    </w:p>
    <w:p>
      <w:pPr>
        <w:pStyle w:val="15"/>
        <w:spacing w:line="500" w:lineRule="exact"/>
        <w:ind w:firstLine="700" w:firstLineChars="250"/>
        <w:rPr>
          <w:rFonts w:cs="仿宋_GB2312" w:asciiTheme="minorEastAsia" w:hAnsiTheme="minorEastAsia" w:eastAsiaTheme="minorEastAsia"/>
          <w:sz w:val="28"/>
          <w:szCs w:val="28"/>
          <w:highlight w:val="none"/>
        </w:rPr>
      </w:pPr>
      <w:r>
        <w:rPr>
          <w:rFonts w:cs="仿宋_GB2312" w:asciiTheme="minorEastAsia" w:hAnsiTheme="minorEastAsia" w:eastAsiaTheme="minorEastAsia"/>
          <w:sz w:val="28"/>
          <w:szCs w:val="28"/>
          <w:highlight w:val="none"/>
        </w:rPr>
        <w:t>二、机构设置</w:t>
      </w:r>
    </w:p>
    <w:p>
      <w:pPr>
        <w:pStyle w:val="15"/>
        <w:spacing w:line="500" w:lineRule="exact"/>
        <w:rPr>
          <w:rFonts w:ascii="仿宋_GB2312" w:hAnsi="仿宋_GB2312" w:cs="仿宋_GB2312"/>
          <w:b/>
          <w:sz w:val="28"/>
          <w:szCs w:val="28"/>
          <w:highlight w:val="none"/>
        </w:rPr>
      </w:pPr>
      <w:r>
        <w:rPr>
          <w:rFonts w:hint="eastAsia" w:hAnsi="仿宋_GB2312"/>
          <w:b/>
          <w:sz w:val="28"/>
          <w:szCs w:val="28"/>
          <w:highlight w:val="none"/>
        </w:rPr>
        <w:t>第二部分</w:t>
      </w:r>
      <w:r>
        <w:rPr>
          <w:rFonts w:hint="eastAsia" w:hAnsi="仿宋_GB2312"/>
          <w:b/>
          <w:sz w:val="28"/>
          <w:szCs w:val="28"/>
          <w:highlight w:val="none"/>
          <w:lang w:val="en-US" w:eastAsia="zh-CN"/>
        </w:rPr>
        <w:t xml:space="preserve">  </w:t>
      </w:r>
      <w:r>
        <w:rPr>
          <w:rFonts w:hAnsi="仿宋_GB2312"/>
          <w:b/>
          <w:sz w:val="28"/>
          <w:szCs w:val="28"/>
          <w:highlight w:val="none"/>
        </w:rPr>
        <w:t>20</w:t>
      </w:r>
      <w:r>
        <w:rPr>
          <w:rFonts w:hint="eastAsia" w:hAnsi="仿宋_GB2312"/>
          <w:b/>
          <w:sz w:val="28"/>
          <w:szCs w:val="28"/>
          <w:highlight w:val="none"/>
        </w:rPr>
        <w:t>21年度部门决算表</w:t>
      </w:r>
    </w:p>
    <w:p>
      <w:pPr>
        <w:pStyle w:val="15"/>
        <w:spacing w:line="500" w:lineRule="exact"/>
        <w:ind w:firstLine="700" w:firstLineChars="250"/>
        <w:rPr>
          <w:rFonts w:cs="仿宋_GB2312" w:asciiTheme="minorEastAsia" w:hAnsiTheme="minorEastAsia" w:eastAsiaTheme="minorEastAsia"/>
          <w:sz w:val="28"/>
          <w:szCs w:val="28"/>
          <w:highlight w:val="none"/>
        </w:rPr>
      </w:pPr>
      <w:r>
        <w:rPr>
          <w:rFonts w:cs="仿宋_GB2312" w:asciiTheme="minorEastAsia" w:hAnsiTheme="minorEastAsia" w:eastAsiaTheme="minorEastAsia"/>
          <w:sz w:val="28"/>
          <w:szCs w:val="28"/>
          <w:highlight w:val="none"/>
        </w:rPr>
        <w:t>一、收入支出决算总表</w:t>
      </w:r>
    </w:p>
    <w:p>
      <w:pPr>
        <w:pStyle w:val="15"/>
        <w:spacing w:line="500" w:lineRule="exact"/>
        <w:ind w:firstLine="700" w:firstLineChars="250"/>
        <w:rPr>
          <w:rFonts w:cs="仿宋_GB2312" w:asciiTheme="minorEastAsia" w:hAnsiTheme="minorEastAsia" w:eastAsiaTheme="minorEastAsia"/>
          <w:sz w:val="28"/>
          <w:szCs w:val="28"/>
          <w:highlight w:val="none"/>
        </w:rPr>
      </w:pPr>
      <w:r>
        <w:rPr>
          <w:rFonts w:cs="仿宋_GB2312" w:asciiTheme="minorEastAsia" w:hAnsiTheme="minorEastAsia" w:eastAsiaTheme="minorEastAsia"/>
          <w:sz w:val="28"/>
          <w:szCs w:val="28"/>
          <w:highlight w:val="none"/>
        </w:rPr>
        <w:t>二、收入决算表</w:t>
      </w:r>
    </w:p>
    <w:p>
      <w:pPr>
        <w:pStyle w:val="15"/>
        <w:spacing w:line="500" w:lineRule="exact"/>
        <w:ind w:firstLine="700" w:firstLineChars="250"/>
        <w:rPr>
          <w:rFonts w:cs="仿宋_GB2312" w:asciiTheme="minorEastAsia" w:hAnsiTheme="minorEastAsia" w:eastAsiaTheme="minorEastAsia"/>
          <w:sz w:val="28"/>
          <w:szCs w:val="28"/>
          <w:highlight w:val="none"/>
        </w:rPr>
      </w:pPr>
      <w:r>
        <w:rPr>
          <w:rFonts w:cs="仿宋_GB2312" w:asciiTheme="minorEastAsia" w:hAnsiTheme="minorEastAsia" w:eastAsiaTheme="minorEastAsia"/>
          <w:sz w:val="28"/>
          <w:szCs w:val="28"/>
          <w:highlight w:val="none"/>
        </w:rPr>
        <w:t>三、支出决算表</w:t>
      </w:r>
    </w:p>
    <w:p>
      <w:pPr>
        <w:pStyle w:val="15"/>
        <w:spacing w:line="500" w:lineRule="exact"/>
        <w:ind w:firstLine="700" w:firstLineChars="250"/>
        <w:rPr>
          <w:rFonts w:cs="仿宋_GB2312" w:asciiTheme="minorEastAsia" w:hAnsiTheme="minorEastAsia" w:eastAsiaTheme="minorEastAsia"/>
          <w:sz w:val="28"/>
          <w:szCs w:val="28"/>
          <w:highlight w:val="none"/>
        </w:rPr>
      </w:pPr>
      <w:r>
        <w:rPr>
          <w:rFonts w:cs="仿宋_GB2312" w:asciiTheme="minorEastAsia" w:hAnsiTheme="minorEastAsia" w:eastAsiaTheme="minorEastAsia"/>
          <w:sz w:val="28"/>
          <w:szCs w:val="28"/>
          <w:highlight w:val="none"/>
        </w:rPr>
        <w:t>四、财政拨款收入支出决算总表</w:t>
      </w:r>
    </w:p>
    <w:p>
      <w:pPr>
        <w:pStyle w:val="15"/>
        <w:spacing w:line="500" w:lineRule="exact"/>
        <w:ind w:firstLine="700" w:firstLineChars="250"/>
        <w:rPr>
          <w:rFonts w:cs="仿宋_GB2312" w:asciiTheme="minorEastAsia" w:hAnsiTheme="minorEastAsia" w:eastAsiaTheme="minorEastAsia"/>
          <w:sz w:val="28"/>
          <w:szCs w:val="28"/>
          <w:highlight w:val="none"/>
        </w:rPr>
      </w:pPr>
      <w:r>
        <w:rPr>
          <w:rFonts w:cs="仿宋_GB2312" w:asciiTheme="minorEastAsia" w:hAnsiTheme="minorEastAsia" w:eastAsiaTheme="minorEastAsia"/>
          <w:sz w:val="28"/>
          <w:szCs w:val="28"/>
          <w:highlight w:val="none"/>
        </w:rPr>
        <w:t>五、一般公共预算财政拨款支出决算表</w:t>
      </w:r>
    </w:p>
    <w:p>
      <w:pPr>
        <w:pStyle w:val="15"/>
        <w:spacing w:line="500" w:lineRule="exact"/>
        <w:ind w:firstLine="700" w:firstLineChars="250"/>
        <w:rPr>
          <w:rFonts w:cs="仿宋_GB2312" w:asciiTheme="minorEastAsia" w:hAnsiTheme="minorEastAsia" w:eastAsiaTheme="minorEastAsia"/>
          <w:sz w:val="28"/>
          <w:szCs w:val="28"/>
          <w:highlight w:val="none"/>
        </w:rPr>
      </w:pPr>
      <w:r>
        <w:rPr>
          <w:rFonts w:cs="仿宋_GB2312" w:asciiTheme="minorEastAsia" w:hAnsiTheme="minorEastAsia" w:eastAsiaTheme="minorEastAsia"/>
          <w:sz w:val="28"/>
          <w:szCs w:val="28"/>
          <w:highlight w:val="none"/>
        </w:rPr>
        <w:t>六、一般公共预算财政拨款基本支出决算</w:t>
      </w:r>
      <w:r>
        <w:rPr>
          <w:rFonts w:hint="eastAsia" w:cs="仿宋_GB2312" w:asciiTheme="minorEastAsia" w:hAnsiTheme="minorEastAsia" w:eastAsiaTheme="minorEastAsia"/>
          <w:sz w:val="28"/>
          <w:szCs w:val="28"/>
          <w:highlight w:val="none"/>
        </w:rPr>
        <w:t>明细</w:t>
      </w:r>
      <w:r>
        <w:rPr>
          <w:rFonts w:cs="仿宋_GB2312" w:asciiTheme="minorEastAsia" w:hAnsiTheme="minorEastAsia" w:eastAsiaTheme="minorEastAsia"/>
          <w:sz w:val="28"/>
          <w:szCs w:val="28"/>
          <w:highlight w:val="none"/>
        </w:rPr>
        <w:t>表</w:t>
      </w:r>
    </w:p>
    <w:p>
      <w:pPr>
        <w:pStyle w:val="15"/>
        <w:spacing w:line="500" w:lineRule="exact"/>
        <w:ind w:firstLine="700" w:firstLineChars="250"/>
        <w:rPr>
          <w:rFonts w:cs="仿宋_GB2312" w:asciiTheme="minorEastAsia" w:hAnsiTheme="minorEastAsia" w:eastAsiaTheme="minorEastAsia"/>
          <w:sz w:val="28"/>
          <w:szCs w:val="28"/>
          <w:highlight w:val="none"/>
        </w:rPr>
      </w:pPr>
      <w:r>
        <w:rPr>
          <w:rFonts w:cs="仿宋_GB2312" w:asciiTheme="minorEastAsia" w:hAnsiTheme="minorEastAsia" w:eastAsiaTheme="minorEastAsia"/>
          <w:sz w:val="28"/>
          <w:szCs w:val="28"/>
          <w:highlight w:val="none"/>
        </w:rPr>
        <w:t>七、一般公共预算财政拨款“三公”经费支出决算表</w:t>
      </w:r>
    </w:p>
    <w:p>
      <w:pPr>
        <w:pStyle w:val="15"/>
        <w:spacing w:line="500" w:lineRule="exact"/>
        <w:ind w:firstLine="700" w:firstLineChars="250"/>
        <w:rPr>
          <w:rFonts w:cs="仿宋_GB2312" w:asciiTheme="minorEastAsia" w:hAnsiTheme="minorEastAsia" w:eastAsiaTheme="minorEastAsia"/>
          <w:sz w:val="28"/>
          <w:szCs w:val="28"/>
          <w:highlight w:val="none"/>
        </w:rPr>
      </w:pPr>
      <w:r>
        <w:rPr>
          <w:rFonts w:cs="仿宋_GB2312" w:asciiTheme="minorEastAsia" w:hAnsiTheme="minorEastAsia" w:eastAsiaTheme="minorEastAsia"/>
          <w:sz w:val="28"/>
          <w:szCs w:val="28"/>
          <w:highlight w:val="none"/>
        </w:rPr>
        <w:t>八、政府性基金预算财政拨款收入支出决算表</w:t>
      </w:r>
    </w:p>
    <w:p>
      <w:pPr>
        <w:pStyle w:val="15"/>
        <w:spacing w:line="500" w:lineRule="exact"/>
        <w:ind w:firstLine="700" w:firstLineChars="250"/>
        <w:rPr>
          <w:rFonts w:cs="仿宋_GB2312" w:asciiTheme="minorEastAsia" w:hAnsiTheme="minorEastAsia" w:eastAsiaTheme="minorEastAsia"/>
          <w:sz w:val="28"/>
          <w:szCs w:val="28"/>
          <w:highlight w:val="none"/>
        </w:rPr>
      </w:pPr>
      <w:r>
        <w:rPr>
          <w:rFonts w:hint="eastAsia" w:cs="仿宋_GB2312" w:asciiTheme="minorEastAsia" w:hAnsiTheme="minorEastAsia" w:eastAsiaTheme="minorEastAsia"/>
          <w:sz w:val="28"/>
          <w:szCs w:val="28"/>
          <w:highlight w:val="none"/>
        </w:rPr>
        <w:t>九、国有资本经营预算财政拨款支出决算表</w:t>
      </w:r>
    </w:p>
    <w:p>
      <w:pPr>
        <w:pStyle w:val="15"/>
        <w:spacing w:line="500" w:lineRule="exact"/>
        <w:rPr>
          <w:rFonts w:ascii="仿宋_GB2312" w:hAnsi="仿宋_GB2312" w:cs="仿宋_GB2312"/>
          <w:b/>
          <w:sz w:val="28"/>
          <w:szCs w:val="28"/>
          <w:highlight w:val="none"/>
        </w:rPr>
      </w:pPr>
      <w:r>
        <w:rPr>
          <w:rFonts w:hint="eastAsia" w:hAnsi="仿宋_GB2312"/>
          <w:b/>
          <w:sz w:val="28"/>
          <w:szCs w:val="28"/>
          <w:highlight w:val="none"/>
        </w:rPr>
        <w:t>第三部分</w:t>
      </w:r>
      <w:r>
        <w:rPr>
          <w:rFonts w:hint="eastAsia" w:hAnsi="仿宋_GB2312"/>
          <w:b/>
          <w:sz w:val="28"/>
          <w:szCs w:val="28"/>
          <w:highlight w:val="none"/>
          <w:lang w:val="en-US" w:eastAsia="zh-CN"/>
        </w:rPr>
        <w:t xml:space="preserve">  </w:t>
      </w:r>
      <w:r>
        <w:rPr>
          <w:rFonts w:hAnsi="仿宋_GB2312"/>
          <w:b/>
          <w:sz w:val="28"/>
          <w:szCs w:val="28"/>
          <w:highlight w:val="none"/>
        </w:rPr>
        <w:t>20</w:t>
      </w:r>
      <w:r>
        <w:rPr>
          <w:rFonts w:hint="eastAsia" w:hAnsi="仿宋_GB2312"/>
          <w:b/>
          <w:sz w:val="28"/>
          <w:szCs w:val="28"/>
          <w:highlight w:val="none"/>
        </w:rPr>
        <w:t>21年度部门决算情况说明</w:t>
      </w:r>
    </w:p>
    <w:p>
      <w:pPr>
        <w:pStyle w:val="15"/>
        <w:spacing w:line="500" w:lineRule="exact"/>
        <w:ind w:firstLine="700" w:firstLineChars="250"/>
        <w:rPr>
          <w:rFonts w:cs="仿宋_GB2312" w:asciiTheme="minorEastAsia" w:hAnsiTheme="minorEastAsia" w:eastAsiaTheme="minorEastAsia"/>
          <w:sz w:val="28"/>
          <w:szCs w:val="28"/>
          <w:highlight w:val="none"/>
        </w:rPr>
      </w:pPr>
      <w:r>
        <w:rPr>
          <w:rFonts w:cs="仿宋_GB2312" w:asciiTheme="minorEastAsia" w:hAnsiTheme="minorEastAsia" w:eastAsiaTheme="minorEastAsia"/>
          <w:sz w:val="28"/>
          <w:szCs w:val="28"/>
          <w:highlight w:val="none"/>
        </w:rPr>
        <w:t>一、收入支出决算总体情况说明</w:t>
      </w:r>
    </w:p>
    <w:p>
      <w:pPr>
        <w:spacing w:line="500" w:lineRule="exact"/>
        <w:ind w:firstLine="700" w:firstLineChars="250"/>
        <w:jc w:val="left"/>
        <w:rPr>
          <w:rFonts w:ascii="仿宋_GB2312" w:hAnsi="仿宋_GB2312" w:cs="仿宋_GB2312"/>
          <w:sz w:val="28"/>
          <w:szCs w:val="28"/>
          <w:highlight w:val="none"/>
        </w:rPr>
      </w:pPr>
      <w:r>
        <w:rPr>
          <w:rFonts w:ascii="仿宋_GB2312" w:hAnsi="仿宋_GB2312" w:cs="仿宋_GB2312"/>
          <w:sz w:val="28"/>
          <w:szCs w:val="28"/>
          <w:highlight w:val="none"/>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highlight w:val="none"/>
        </w:rPr>
      </w:pPr>
      <w:r>
        <w:rPr>
          <w:rFonts w:ascii="仿宋_GB2312" w:hAnsi="仿宋_GB2312" w:cs="仿宋_GB2312"/>
          <w:color w:val="000000"/>
          <w:kern w:val="0"/>
          <w:sz w:val="28"/>
          <w:szCs w:val="28"/>
          <w:highlight w:val="none"/>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highlight w:val="none"/>
        </w:rPr>
      </w:pPr>
      <w:r>
        <w:rPr>
          <w:rFonts w:ascii="仿宋_GB2312" w:hAnsi="仿宋_GB2312" w:cs="仿宋_GB2312"/>
          <w:color w:val="000000"/>
          <w:kern w:val="0"/>
          <w:sz w:val="28"/>
          <w:szCs w:val="28"/>
          <w:highlight w:val="none"/>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highlight w:val="none"/>
        </w:rPr>
      </w:pPr>
      <w:r>
        <w:rPr>
          <w:rFonts w:ascii="仿宋_GB2312" w:hAnsi="仿宋_GB2312" w:cs="仿宋_GB2312"/>
          <w:color w:val="000000"/>
          <w:kern w:val="0"/>
          <w:sz w:val="28"/>
          <w:szCs w:val="28"/>
          <w:highlight w:val="none"/>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highlight w:val="none"/>
        </w:rPr>
      </w:pPr>
      <w:r>
        <w:rPr>
          <w:rFonts w:ascii="仿宋_GB2312" w:hAnsi="仿宋_GB2312" w:cs="仿宋_GB2312"/>
          <w:color w:val="000000"/>
          <w:kern w:val="0"/>
          <w:sz w:val="28"/>
          <w:szCs w:val="28"/>
          <w:highlight w:val="none"/>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highlight w:val="none"/>
        </w:rPr>
      </w:pPr>
      <w:r>
        <w:rPr>
          <w:rFonts w:ascii="仿宋_GB2312" w:hAnsi="仿宋_GB2312" w:cs="仿宋_GB2312"/>
          <w:color w:val="000000"/>
          <w:kern w:val="0"/>
          <w:sz w:val="28"/>
          <w:szCs w:val="28"/>
          <w:highlight w:val="none"/>
        </w:rPr>
        <w:t>七、一般公共预算财政拨款</w:t>
      </w:r>
      <w:r>
        <w:rPr>
          <w:rFonts w:hint="eastAsia" w:ascii="仿宋_GB2312" w:hAnsi="仿宋_GB2312" w:cs="仿宋_GB2312"/>
          <w:color w:val="000000"/>
          <w:kern w:val="0"/>
          <w:sz w:val="28"/>
          <w:szCs w:val="28"/>
          <w:highlight w:val="none"/>
        </w:rPr>
        <w:t>“</w:t>
      </w:r>
      <w:r>
        <w:rPr>
          <w:rFonts w:ascii="仿宋_GB2312" w:hAnsi="仿宋_GB2312" w:cs="仿宋_GB2312"/>
          <w:color w:val="000000"/>
          <w:kern w:val="0"/>
          <w:sz w:val="28"/>
          <w:szCs w:val="28"/>
          <w:highlight w:val="none"/>
        </w:rPr>
        <w:t>三公</w:t>
      </w:r>
      <w:r>
        <w:rPr>
          <w:rFonts w:hint="eastAsia" w:ascii="仿宋_GB2312" w:hAnsi="仿宋_GB2312" w:cs="仿宋_GB2312"/>
          <w:color w:val="000000"/>
          <w:kern w:val="0"/>
          <w:sz w:val="28"/>
          <w:szCs w:val="28"/>
          <w:highlight w:val="none"/>
        </w:rPr>
        <w:t>”</w:t>
      </w:r>
      <w:r>
        <w:rPr>
          <w:rFonts w:ascii="仿宋_GB2312" w:hAnsi="仿宋_GB2312" w:cs="仿宋_GB2312"/>
          <w:color w:val="000000"/>
          <w:kern w:val="0"/>
          <w:sz w:val="28"/>
          <w:szCs w:val="28"/>
          <w:highlight w:val="none"/>
        </w:rPr>
        <w:t>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highlight w:val="none"/>
        </w:rPr>
      </w:pPr>
      <w:r>
        <w:rPr>
          <w:rFonts w:hint="eastAsia" w:ascii="仿宋_GB2312" w:hAnsi="仿宋_GB2312" w:cs="仿宋_GB2312"/>
          <w:color w:val="000000"/>
          <w:kern w:val="0"/>
          <w:sz w:val="28"/>
          <w:szCs w:val="28"/>
          <w:highlight w:val="none"/>
        </w:rPr>
        <w:t>八</w:t>
      </w:r>
      <w:r>
        <w:rPr>
          <w:rFonts w:ascii="仿宋_GB2312" w:hAnsi="仿宋_GB2312" w:cs="仿宋_GB2312"/>
          <w:color w:val="000000"/>
          <w:kern w:val="0"/>
          <w:sz w:val="28"/>
          <w:szCs w:val="28"/>
          <w:highlight w:val="none"/>
        </w:rPr>
        <w:t>、</w:t>
      </w:r>
      <w:r>
        <w:rPr>
          <w:rFonts w:hint="eastAsia" w:ascii="仿宋_GB2312" w:hAnsi="仿宋_GB2312" w:cs="仿宋_GB2312"/>
          <w:color w:val="000000"/>
          <w:kern w:val="0"/>
          <w:sz w:val="28"/>
          <w:szCs w:val="28"/>
          <w:highlight w:val="none"/>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highlight w:val="none"/>
        </w:rPr>
      </w:pPr>
      <w:r>
        <w:rPr>
          <w:rFonts w:hint="eastAsia" w:ascii="仿宋_GB2312" w:hAnsi="仿宋_GB2312" w:cs="仿宋_GB2312"/>
          <w:color w:val="000000"/>
          <w:kern w:val="0"/>
          <w:sz w:val="28"/>
          <w:szCs w:val="28"/>
          <w:highlight w:val="none"/>
        </w:rPr>
        <w:t>九</w:t>
      </w:r>
      <w:r>
        <w:rPr>
          <w:rFonts w:ascii="仿宋_GB2312" w:hAnsi="仿宋_GB2312" w:cs="仿宋_GB2312"/>
          <w:color w:val="000000"/>
          <w:kern w:val="0"/>
          <w:sz w:val="28"/>
          <w:szCs w:val="28"/>
          <w:highlight w:val="none"/>
        </w:rPr>
        <w:t>、</w:t>
      </w:r>
      <w:r>
        <w:rPr>
          <w:rFonts w:hint="eastAsia" w:ascii="仿宋_GB2312" w:hAnsi="仿宋_GB2312" w:cs="仿宋_GB2312"/>
          <w:color w:val="000000"/>
          <w:kern w:val="0"/>
          <w:sz w:val="28"/>
          <w:szCs w:val="28"/>
          <w:highlight w:val="none"/>
        </w:rPr>
        <w:t>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highlight w:val="none"/>
        </w:rPr>
      </w:pPr>
      <w:r>
        <w:rPr>
          <w:rFonts w:hint="eastAsia" w:ascii="仿宋_GB2312" w:hAnsi="仿宋_GB2312" w:cs="仿宋_GB2312"/>
          <w:color w:val="000000"/>
          <w:kern w:val="0"/>
          <w:sz w:val="28"/>
          <w:szCs w:val="28"/>
          <w:highlight w:val="none"/>
        </w:rPr>
        <w:t>十、一般性支出情况说明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highlight w:val="none"/>
        </w:rPr>
      </w:pPr>
      <w:r>
        <w:rPr>
          <w:rFonts w:hint="eastAsia" w:ascii="仿宋_GB2312" w:hAnsi="仿宋_GB2312" w:cs="仿宋_GB2312"/>
          <w:color w:val="000000"/>
          <w:kern w:val="0"/>
          <w:sz w:val="28"/>
          <w:szCs w:val="28"/>
          <w:highlight w:val="none"/>
        </w:rPr>
        <w:t>十一、政府采购支出说明</w:t>
      </w:r>
    </w:p>
    <w:p>
      <w:pPr>
        <w:pStyle w:val="15"/>
        <w:spacing w:line="500" w:lineRule="exact"/>
        <w:ind w:firstLine="700" w:firstLineChars="250"/>
        <w:rPr>
          <w:rFonts w:ascii="仿宋_GB2312" w:hAnsi="仿宋_GB2312" w:cs="仿宋_GB2312" w:eastAsiaTheme="minorEastAsia"/>
          <w:sz w:val="28"/>
          <w:szCs w:val="28"/>
          <w:highlight w:val="none"/>
        </w:rPr>
      </w:pPr>
      <w:r>
        <w:rPr>
          <w:rFonts w:hint="eastAsia" w:ascii="仿宋_GB2312" w:hAnsi="仿宋_GB2312" w:cs="仿宋_GB2312" w:eastAsiaTheme="minorEastAsia"/>
          <w:sz w:val="28"/>
          <w:szCs w:val="28"/>
          <w:highlight w:val="none"/>
        </w:rPr>
        <w:t>十二、国有资产占用情况说明</w:t>
      </w:r>
    </w:p>
    <w:p>
      <w:pPr>
        <w:pStyle w:val="15"/>
        <w:spacing w:line="500" w:lineRule="exact"/>
        <w:ind w:firstLine="700" w:firstLineChars="250"/>
        <w:rPr>
          <w:rFonts w:ascii="仿宋_GB2312" w:hAnsi="仿宋_GB2312" w:cs="仿宋_GB2312" w:eastAsiaTheme="minorEastAsia"/>
          <w:sz w:val="28"/>
          <w:szCs w:val="28"/>
          <w:highlight w:val="none"/>
        </w:rPr>
      </w:pPr>
      <w:r>
        <w:rPr>
          <w:rFonts w:hint="eastAsia" w:ascii="仿宋_GB2312" w:hAnsi="仿宋_GB2312" w:cs="仿宋_GB2312" w:eastAsiaTheme="minorEastAsia"/>
          <w:sz w:val="28"/>
          <w:szCs w:val="28"/>
          <w:highlight w:val="none"/>
        </w:rPr>
        <w:t>十三、</w:t>
      </w:r>
      <w:r>
        <w:rPr>
          <w:rFonts w:hint="eastAsia" w:cs="仿宋_GB2312" w:asciiTheme="minorEastAsia" w:hAnsiTheme="minorEastAsia" w:eastAsiaTheme="minorEastAsia"/>
          <w:sz w:val="28"/>
          <w:szCs w:val="28"/>
          <w:highlight w:val="none"/>
        </w:rPr>
        <w:t>2021年</w:t>
      </w:r>
      <w:r>
        <w:rPr>
          <w:rFonts w:hint="eastAsia" w:ascii="仿宋_GB2312" w:hAnsi="仿宋_GB2312" w:cs="仿宋_GB2312" w:eastAsiaTheme="minorEastAsia"/>
          <w:sz w:val="28"/>
          <w:szCs w:val="28"/>
          <w:highlight w:val="none"/>
        </w:rPr>
        <w:t>度预算绩效情况说明</w:t>
      </w:r>
    </w:p>
    <w:p>
      <w:pPr>
        <w:autoSpaceDE w:val="0"/>
        <w:autoSpaceDN w:val="0"/>
        <w:adjustRightInd w:val="0"/>
        <w:spacing w:line="500" w:lineRule="exact"/>
        <w:jc w:val="left"/>
        <w:rPr>
          <w:rFonts w:ascii="黑体" w:hAnsi="黑体" w:eastAsia="黑体" w:cs="黑体"/>
          <w:b/>
          <w:color w:val="000000"/>
          <w:kern w:val="0"/>
          <w:sz w:val="28"/>
          <w:szCs w:val="28"/>
          <w:highlight w:val="none"/>
        </w:rPr>
      </w:pPr>
      <w:r>
        <w:rPr>
          <w:rFonts w:ascii="黑体" w:hAnsi="黑体" w:eastAsia="黑体" w:cs="黑体"/>
          <w:b/>
          <w:color w:val="000000"/>
          <w:kern w:val="0"/>
          <w:sz w:val="28"/>
          <w:szCs w:val="28"/>
          <w:highlight w:val="none"/>
        </w:rPr>
        <w:t>第四部分</w:t>
      </w:r>
      <w:r>
        <w:rPr>
          <w:rFonts w:hint="eastAsia" w:ascii="黑体" w:hAnsi="黑体" w:eastAsia="黑体" w:cs="黑体"/>
          <w:b/>
          <w:color w:val="000000"/>
          <w:kern w:val="0"/>
          <w:sz w:val="28"/>
          <w:szCs w:val="28"/>
          <w:highlight w:val="none"/>
          <w:lang w:val="en-US" w:eastAsia="zh-CN"/>
        </w:rPr>
        <w:t xml:space="preserve">  </w:t>
      </w:r>
      <w:r>
        <w:rPr>
          <w:rFonts w:ascii="黑体" w:hAnsi="黑体" w:eastAsia="黑体" w:cs="黑体"/>
          <w:b/>
          <w:color w:val="000000"/>
          <w:kern w:val="0"/>
          <w:sz w:val="28"/>
          <w:szCs w:val="28"/>
          <w:highlight w:val="none"/>
        </w:rPr>
        <w:t>名词解释</w:t>
      </w:r>
    </w:p>
    <w:p>
      <w:pPr>
        <w:autoSpaceDE w:val="0"/>
        <w:autoSpaceDN w:val="0"/>
        <w:adjustRightInd w:val="0"/>
        <w:spacing w:line="500" w:lineRule="exact"/>
        <w:jc w:val="left"/>
        <w:rPr>
          <w:rFonts w:ascii="黑体" w:hAnsi="黑体" w:eastAsia="黑体" w:cs="仿宋_GB2312"/>
          <w:b/>
          <w:color w:val="000000"/>
          <w:kern w:val="0"/>
          <w:sz w:val="28"/>
          <w:szCs w:val="28"/>
          <w:highlight w:val="none"/>
        </w:rPr>
      </w:pPr>
      <w:r>
        <w:rPr>
          <w:rFonts w:hint="eastAsia" w:ascii="黑体" w:hAnsi="黑体" w:eastAsia="黑体" w:cs="黑体"/>
          <w:b/>
          <w:color w:val="000000"/>
          <w:kern w:val="0"/>
          <w:sz w:val="28"/>
          <w:szCs w:val="28"/>
          <w:highlight w:val="none"/>
        </w:rPr>
        <w:t>第五部分</w:t>
      </w:r>
      <w:r>
        <w:rPr>
          <w:rFonts w:hint="eastAsia" w:ascii="黑体" w:hAnsi="黑体" w:eastAsia="黑体" w:cs="黑体"/>
          <w:b/>
          <w:color w:val="000000"/>
          <w:kern w:val="0"/>
          <w:sz w:val="28"/>
          <w:szCs w:val="28"/>
          <w:highlight w:val="none"/>
          <w:lang w:val="en-US" w:eastAsia="zh-CN"/>
        </w:rPr>
        <w:t xml:space="preserve">  </w:t>
      </w:r>
      <w:r>
        <w:rPr>
          <w:rFonts w:hint="eastAsia" w:ascii="黑体" w:hAnsi="黑体" w:eastAsia="黑体" w:cs="黑体"/>
          <w:b/>
          <w:color w:val="000000"/>
          <w:kern w:val="0"/>
          <w:sz w:val="28"/>
          <w:szCs w:val="28"/>
          <w:highlight w:val="none"/>
        </w:rPr>
        <w:t>附件</w:t>
      </w:r>
    </w:p>
    <w:p>
      <w:pPr>
        <w:jc w:val="center"/>
        <w:rPr>
          <w:sz w:val="72"/>
          <w:szCs w:val="72"/>
          <w:highlight w:val="none"/>
        </w:rPr>
      </w:pPr>
    </w:p>
    <w:p>
      <w:pPr>
        <w:rPr>
          <w:sz w:val="72"/>
          <w:szCs w:val="72"/>
          <w:highlight w:val="none"/>
        </w:rPr>
      </w:pPr>
    </w:p>
    <w:p>
      <w:pPr>
        <w:rPr>
          <w:sz w:val="72"/>
          <w:szCs w:val="72"/>
          <w:highlight w:val="none"/>
        </w:rPr>
      </w:pPr>
    </w:p>
    <w:p>
      <w:pPr>
        <w:rPr>
          <w:sz w:val="72"/>
          <w:szCs w:val="72"/>
          <w:highlight w:val="none"/>
        </w:rPr>
      </w:pPr>
    </w:p>
    <w:p>
      <w:pPr>
        <w:rPr>
          <w:sz w:val="72"/>
          <w:szCs w:val="72"/>
          <w:highlight w:val="none"/>
        </w:rPr>
      </w:pPr>
    </w:p>
    <w:p>
      <w:pPr>
        <w:rPr>
          <w:sz w:val="72"/>
          <w:szCs w:val="72"/>
          <w:highlight w:val="none"/>
        </w:rPr>
      </w:pPr>
    </w:p>
    <w:p>
      <w:pPr>
        <w:rPr>
          <w:sz w:val="72"/>
          <w:szCs w:val="72"/>
          <w:highlight w:val="none"/>
        </w:rPr>
      </w:pPr>
    </w:p>
    <w:p>
      <w:pPr>
        <w:rPr>
          <w:sz w:val="72"/>
          <w:szCs w:val="72"/>
          <w:highlight w:val="none"/>
        </w:rPr>
      </w:pPr>
    </w:p>
    <w:p>
      <w:pPr>
        <w:rPr>
          <w:sz w:val="72"/>
          <w:szCs w:val="72"/>
          <w:highlight w:val="none"/>
        </w:rPr>
      </w:pPr>
    </w:p>
    <w:p>
      <w:pPr>
        <w:rPr>
          <w:sz w:val="72"/>
          <w:szCs w:val="72"/>
          <w:highlight w:val="none"/>
        </w:rPr>
      </w:pPr>
    </w:p>
    <w:p>
      <w:pPr>
        <w:rPr>
          <w:sz w:val="72"/>
          <w:szCs w:val="72"/>
          <w:highlight w:val="none"/>
        </w:rPr>
      </w:pPr>
    </w:p>
    <w:p>
      <w:pPr>
        <w:pStyle w:val="2"/>
        <w:rPr>
          <w:sz w:val="72"/>
          <w:szCs w:val="72"/>
          <w:highlight w:val="none"/>
        </w:rPr>
      </w:pPr>
    </w:p>
    <w:p>
      <w:pPr>
        <w:pStyle w:val="3"/>
        <w:rPr>
          <w:sz w:val="72"/>
          <w:szCs w:val="72"/>
          <w:highlight w:val="none"/>
        </w:rPr>
      </w:pPr>
    </w:p>
    <w:p>
      <w:pPr>
        <w:rPr>
          <w:sz w:val="72"/>
          <w:szCs w:val="72"/>
          <w:highlight w:val="none"/>
        </w:rPr>
      </w:pPr>
    </w:p>
    <w:p>
      <w:pPr>
        <w:pStyle w:val="2"/>
        <w:rPr>
          <w:sz w:val="72"/>
          <w:szCs w:val="72"/>
          <w:highlight w:val="none"/>
        </w:rPr>
      </w:pPr>
    </w:p>
    <w:p>
      <w:pPr>
        <w:pStyle w:val="3"/>
        <w:rPr>
          <w:sz w:val="72"/>
          <w:szCs w:val="72"/>
          <w:highlight w:val="none"/>
        </w:rPr>
      </w:pPr>
    </w:p>
    <w:p/>
    <w:p>
      <w:pPr>
        <w:rPr>
          <w:sz w:val="72"/>
          <w:szCs w:val="72"/>
          <w:highlight w:val="none"/>
        </w:rPr>
      </w:pPr>
    </w:p>
    <w:p>
      <w:pPr>
        <w:pStyle w:val="15"/>
        <w:jc w:val="center"/>
        <w:rPr>
          <w:sz w:val="84"/>
          <w:szCs w:val="84"/>
          <w:highlight w:val="none"/>
        </w:rPr>
      </w:pPr>
      <w:r>
        <w:rPr>
          <w:rFonts w:hint="eastAsia"/>
          <w:sz w:val="84"/>
          <w:szCs w:val="84"/>
          <w:highlight w:val="none"/>
        </w:rPr>
        <w:t>第一部分</w:t>
      </w:r>
      <w:r>
        <w:rPr>
          <w:sz w:val="84"/>
          <w:szCs w:val="84"/>
          <w:highlight w:val="none"/>
        </w:rPr>
        <w:t xml:space="preserve"> </w:t>
      </w:r>
    </w:p>
    <w:p>
      <w:pPr>
        <w:pStyle w:val="15"/>
        <w:jc w:val="center"/>
        <w:rPr>
          <w:sz w:val="84"/>
          <w:szCs w:val="84"/>
          <w:highlight w:val="none"/>
        </w:rPr>
      </w:pPr>
    </w:p>
    <w:p>
      <w:pPr>
        <w:pStyle w:val="15"/>
        <w:jc w:val="center"/>
        <w:rPr>
          <w:sz w:val="84"/>
          <w:szCs w:val="84"/>
          <w:highlight w:val="none"/>
        </w:rPr>
      </w:pPr>
      <w:r>
        <w:rPr>
          <w:rFonts w:hint="eastAsia"/>
          <w:sz w:val="84"/>
          <w:szCs w:val="84"/>
          <w:highlight w:val="none"/>
        </w:rPr>
        <w:t>单位概况</w:t>
      </w:r>
    </w:p>
    <w:p>
      <w:pPr>
        <w:jc w:val="center"/>
        <w:rPr>
          <w:sz w:val="72"/>
          <w:szCs w:val="72"/>
          <w:highlight w:val="none"/>
        </w:rPr>
      </w:pPr>
    </w:p>
    <w:p>
      <w:pPr>
        <w:pStyle w:val="16"/>
        <w:numPr>
          <w:ilvl w:val="0"/>
          <w:numId w:val="0"/>
        </w:numPr>
        <w:ind w:leftChars="0"/>
        <w:jc w:val="left"/>
        <w:rPr>
          <w:rFonts w:hint="eastAsia" w:ascii="黑体" w:hAnsi="黑体" w:eastAsia="黑体"/>
          <w:sz w:val="32"/>
          <w:szCs w:val="32"/>
          <w:highlight w:val="none"/>
          <w:lang w:eastAsia="zh-CN"/>
        </w:rPr>
      </w:pPr>
    </w:p>
    <w:p>
      <w:pPr>
        <w:pStyle w:val="16"/>
        <w:numPr>
          <w:ilvl w:val="0"/>
          <w:numId w:val="0"/>
        </w:numPr>
        <w:ind w:leftChars="0"/>
        <w:jc w:val="left"/>
        <w:rPr>
          <w:rFonts w:hint="eastAsia" w:ascii="黑体" w:hAnsi="黑体" w:eastAsia="黑体"/>
          <w:sz w:val="32"/>
          <w:szCs w:val="32"/>
          <w:highlight w:val="none"/>
          <w:lang w:eastAsia="zh-CN"/>
        </w:rPr>
      </w:pPr>
    </w:p>
    <w:p>
      <w:pPr>
        <w:pStyle w:val="16"/>
        <w:numPr>
          <w:ilvl w:val="0"/>
          <w:numId w:val="0"/>
        </w:numPr>
        <w:ind w:leftChars="0"/>
        <w:jc w:val="left"/>
        <w:rPr>
          <w:rFonts w:hint="eastAsia" w:ascii="黑体" w:hAnsi="黑体" w:eastAsia="黑体"/>
          <w:sz w:val="32"/>
          <w:szCs w:val="32"/>
          <w:highlight w:val="none"/>
          <w:lang w:eastAsia="zh-CN"/>
        </w:rPr>
      </w:pPr>
    </w:p>
    <w:p>
      <w:pPr>
        <w:pStyle w:val="16"/>
        <w:numPr>
          <w:ilvl w:val="0"/>
          <w:numId w:val="0"/>
        </w:numPr>
        <w:ind w:leftChars="0"/>
        <w:jc w:val="left"/>
        <w:rPr>
          <w:rFonts w:hint="eastAsia" w:ascii="黑体" w:hAnsi="黑体" w:eastAsia="黑体"/>
          <w:sz w:val="32"/>
          <w:szCs w:val="32"/>
          <w:highlight w:val="none"/>
          <w:lang w:eastAsia="zh-CN"/>
        </w:rPr>
      </w:pPr>
    </w:p>
    <w:p>
      <w:pPr>
        <w:pStyle w:val="16"/>
        <w:numPr>
          <w:ilvl w:val="0"/>
          <w:numId w:val="0"/>
        </w:numPr>
        <w:ind w:leftChars="0"/>
        <w:jc w:val="left"/>
        <w:rPr>
          <w:rFonts w:hint="eastAsia" w:ascii="黑体" w:hAnsi="黑体" w:eastAsia="黑体"/>
          <w:sz w:val="32"/>
          <w:szCs w:val="32"/>
          <w:highlight w:val="none"/>
          <w:lang w:eastAsia="zh-CN"/>
        </w:rPr>
      </w:pPr>
    </w:p>
    <w:p>
      <w:pPr>
        <w:pStyle w:val="16"/>
        <w:numPr>
          <w:ilvl w:val="0"/>
          <w:numId w:val="0"/>
        </w:numPr>
        <w:ind w:leftChars="0"/>
        <w:jc w:val="left"/>
        <w:rPr>
          <w:rFonts w:hint="eastAsia" w:ascii="黑体" w:hAnsi="黑体" w:eastAsia="黑体"/>
          <w:sz w:val="32"/>
          <w:szCs w:val="32"/>
          <w:highlight w:val="none"/>
          <w:lang w:eastAsia="zh-CN"/>
        </w:rPr>
      </w:pPr>
    </w:p>
    <w:p>
      <w:pPr>
        <w:pStyle w:val="16"/>
        <w:numPr>
          <w:ilvl w:val="0"/>
          <w:numId w:val="0"/>
        </w:numPr>
        <w:ind w:leftChars="0"/>
        <w:jc w:val="left"/>
        <w:rPr>
          <w:rFonts w:hint="eastAsia" w:ascii="黑体" w:hAnsi="黑体" w:eastAsia="黑体"/>
          <w:sz w:val="32"/>
          <w:szCs w:val="32"/>
          <w:highlight w:val="none"/>
          <w:lang w:eastAsia="zh-CN"/>
        </w:rPr>
      </w:pPr>
    </w:p>
    <w:p>
      <w:pPr>
        <w:pStyle w:val="16"/>
        <w:numPr>
          <w:ilvl w:val="0"/>
          <w:numId w:val="0"/>
        </w:numPr>
        <w:ind w:leftChars="0"/>
        <w:jc w:val="left"/>
        <w:rPr>
          <w:rFonts w:hint="eastAsia" w:ascii="黑体" w:hAnsi="黑体" w:eastAsia="黑体"/>
          <w:sz w:val="32"/>
          <w:szCs w:val="32"/>
          <w:highlight w:val="none"/>
          <w:lang w:eastAsia="zh-CN"/>
        </w:rPr>
      </w:pPr>
    </w:p>
    <w:p>
      <w:pPr>
        <w:pStyle w:val="16"/>
        <w:numPr>
          <w:ilvl w:val="0"/>
          <w:numId w:val="0"/>
        </w:numPr>
        <w:ind w:leftChars="0" w:firstLine="640" w:firstLineChars="200"/>
        <w:jc w:val="left"/>
        <w:rPr>
          <w:rFonts w:ascii="黑体" w:hAnsi="黑体" w:eastAsia="黑体"/>
          <w:sz w:val="32"/>
          <w:szCs w:val="32"/>
          <w:highlight w:val="none"/>
        </w:rPr>
      </w:pPr>
      <w:r>
        <w:rPr>
          <w:rFonts w:hint="eastAsia" w:ascii="黑体" w:hAnsi="黑体" w:eastAsia="黑体"/>
          <w:sz w:val="32"/>
          <w:szCs w:val="32"/>
          <w:highlight w:val="none"/>
          <w:lang w:eastAsia="zh-CN"/>
        </w:rPr>
        <w:t>一、</w:t>
      </w:r>
      <w:r>
        <w:rPr>
          <w:rFonts w:ascii="黑体" w:hAnsi="黑体" w:eastAsia="黑体"/>
          <w:sz w:val="32"/>
          <w:szCs w:val="32"/>
          <w:highlight w:val="none"/>
        </w:rPr>
        <w:t>部门职责</w:t>
      </w:r>
    </w:p>
    <w:p>
      <w:pPr>
        <w:ind w:firstLine="640" w:firstLineChars="20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一）承担牵头推进新型城镇化战略工作。贯彻执行国家、省、湘潭、市关于推进新型城镇化、住房保障、城市建设（含城市雕塑）、村镇建设、工程建设、建筑业、勘察设计的方针政策和法律法规，研究制定实施办法、相关发展战略和相应监督管理办法，并组织实施。</w:t>
      </w:r>
    </w:p>
    <w:p>
      <w:pPr>
        <w:ind w:firstLine="640" w:firstLineChars="20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（二）加快建立全市多主体供给、多渠道保障、租购并举的住房制度，拟订全市住房建设规划并指导实施，培育和完善房产市场。</w:t>
      </w:r>
    </w:p>
    <w:p>
      <w:pPr>
        <w:ind w:firstLine="640" w:firstLineChars="20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三）拟订全市房产管理的具体实施办法并监督执行；贯彻执行国家、省有关房产管理工作的方针政策和法律法规，负责整顿、规范房产市场，查处全市房产违法违规行为，规范房产市场管理；承担全市房产信息管理工作；负责指导全市公有住房的管理工作；负责全市商品房预（销）售许可、预（销）售合同备案和预售资金的监管；负责房地产经纪、评估、咨询等中介机构管理和从业人员资格管理；指导、监督、规范全市房产行业协会工作；负责处理全市房屋落实政策遗留问题。</w:t>
      </w:r>
    </w:p>
    <w:p>
      <w:pPr>
        <w:ind w:firstLine="800" w:firstLineChars="25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四）拟订全市住房保障政策措施，编制全市城镇保障性住房的建设规划及相关的管理办法并监督实施；负责全市保障性安居工程整体规划，并组织、指导、监督实施；负责市城镇住房保障对象审核登记，实施公共住房租赁补贴。负责市城区保障性住房的建设、储备、分配、交易管理工作；负责全市旧城改造管理工作。</w:t>
      </w:r>
    </w:p>
    <w:p>
      <w:pPr>
        <w:ind w:firstLine="800" w:firstLineChars="25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五）负责全市物业管理活动的指导和监督管理；负责全市住宅物业单位前期物业管理活动中不采用招投标方式选聘物业管理企业许可；负责指导、监督全市物业管理招投标活动。负责全市住宅物业专项维修资金的归集管理和监督使用工作；承担全市城镇房屋安全鉴定管理工作；负责全市房产开发项目备案管理工作；负责全市城镇住宅室内装饰装修活动的管理工作；负责全市房屋白蚁防治管理工作。</w:t>
      </w:r>
    </w:p>
    <w:p>
      <w:pPr>
        <w:ind w:firstLine="800" w:firstLineChars="25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六）承担建立科学规范的工程建设标准体系的工作。组织实施工程建设实施阶段的国家标准、全国统一定额和行业标准定额；研究制定具体实施办法、管理规程和地方标准；组织制定和发布全市造价信息；监督指导各类工程建设计价规范的实施。</w:t>
      </w:r>
    </w:p>
    <w:p>
      <w:pPr>
        <w:ind w:firstLine="640" w:firstLineChars="20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七）指导和管理全市建筑活动，规范建筑市场。贯彻执行建设施工、监理和相关社会中介组织管理的法规和规章；研究拟订建筑业中长期发展规划及年度计划并组织实施；负责全市建筑市场管理、建筑业发展、建筑市场准入、建设工程招投标、建筑勘察设计、工程监理以及工程质量和安全、劳务培训基地建设、技能培训及劳务培训等工作；负责全市房地产开发企业、建筑施工企业等各类专业企业及从业人员的资质资格管理工作，指导监督住宅建设、城市综合开发；协调全市工程建设领域工程款及农民工工资清欠工作；协助搞好全市建设领域专项治理工作；指导、协调全市施工队伍开拓对外建筑市场，开发对外工程承包和劳务合作业务；负责施工企业劳动保障的统筹工作。</w:t>
      </w:r>
    </w:p>
    <w:p>
      <w:pPr>
        <w:ind w:firstLine="800" w:firstLineChars="25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（八）承担全市建设工程勘察设计、建筑设计市场管理的工作。负责全市建设工程勘察、设计及建筑装饰设计等行业资质管理工作；负责各类建设项目初步设计审批；指导、检查全市勘察设计行业的工作。</w:t>
      </w:r>
    </w:p>
    <w:p>
      <w:pPr>
        <w:ind w:firstLine="800" w:firstLineChars="25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九）承担村镇建设的指导和管理工作。指导全市各乡镇的建设；拟订小城镇建设的政策建议并组织实施；指导农村住房建设及农村危房改造；指导小城镇和农村人居生态环境的改善工作；组织特色景观旅游名镇（村）的申报和管理工作；负责小城镇建设统计工作；负责城市建设项目管理；制定村镇建设年度计划，对各镇基础设施建设进行监督管理；负责村镇建设适用技术的推广应用及组织村镇管理人员的技术培训工作；组织指导各乡镇农村垃圾治理、黑臭水体治理、污水处理、厕所革命等工作。</w:t>
      </w:r>
    </w:p>
    <w:p>
      <w:pPr>
        <w:ind w:firstLine="800" w:firstLineChars="25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十）承担全市房屋建筑、市政工程、人防及装饰装修质量安全监督的工作。负责依法对全市受监工程的质量和施工安全进行监督管理；制定工程质量、安全生产和竣工验收备案的制度并监督执行；组织或参与工程重大质量、安全事故的调查处理；负责建设工程抗震设防管理；指导城市地下空间勘察设计、工程质量安全及其开发利用；负责全市房屋建筑工程和市政基础设施及人防工程的竣工验收备案；负责预制构件和商品砼监督管理工作；负责全市建筑企业安全生产许可证的预审及申报工作。根据国家批准的防护类别、防护标准，会同有关部门编制全市人民防空建设和城市地下空间开发利用规划。负责城市地下空间开发利用兼顾人民防空要求的管理和监督检查，依法对城市和重要经济目标的人民防空建设进行监督检查。组织管理人民防空工程建设。根据国家制定的防护标准和质量标准，对人民防空工程（含结合民用建筑修建的防空地下室）建设实施计划、技术和质量管理；组织指导和监督检查人民防空工程维护管理及平时开发利用工作。</w:t>
      </w:r>
    </w:p>
    <w:p>
      <w:pPr>
        <w:ind w:firstLine="800" w:firstLineChars="25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（十一）承担推进全市建筑节能与建设科技进步的工作。拟订全市建筑节能政策建议及组织实施；制定建设行业科技发展规划；组织重大科技项目攻关和新技术开发利用；管理行业科技成果。</w:t>
      </w:r>
    </w:p>
    <w:p>
      <w:pPr>
        <w:ind w:firstLine="800" w:firstLineChars="25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（十二）负责指导全市城建档案的管理指导监督、管理全市建设工程竣工档案工作；审查、认证、验收工程竣工档案，负责城市建设档案的收集、整理及城建档案信息的开发、利用。</w:t>
      </w:r>
    </w:p>
    <w:p>
      <w:pPr>
        <w:ind w:firstLine="800" w:firstLineChars="25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十三）会同有关部门编制和执行城乡社区事务建设维护专项支出预算、村镇基础设施建设资金补助的分配方案；负责小城镇建设资金的预决算使用计划安排；负责项目资本金的收取和管理；负责物业保修金收取、使用和管理。</w:t>
      </w:r>
    </w:p>
    <w:p>
      <w:pPr>
        <w:ind w:firstLine="800" w:firstLineChars="25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十四）负责城市排水管理工作。负责城市排水及其附属设施的规划建设工作；负责城市排水设施建设审批验收、排水管网日常维护管理、排水许可证核发、污水处理厂运营行政管理及资产设施监管、污水处理费征收监管和协调拨付。</w:t>
      </w:r>
    </w:p>
    <w:p>
      <w:pPr>
        <w:ind w:firstLine="800" w:firstLineChars="25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十五）负责全市墙体材料、散装水泥的推广应用工作，编制我市推广应用新墙材、散装水泥的中长期规划和年度计划并监督实施；负责墙体改革和散装水泥推广应用方面的信息交流、职工培训、宣传教育和统计工作。</w:t>
      </w:r>
    </w:p>
    <w:p>
      <w:pPr>
        <w:ind w:firstLine="800" w:firstLineChars="25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（十六）贯彻执行国家、省、湘潭市关于人民防空工作的方针政策和法律法规，组织拟订全市人民防空工作的基本战备方案，组织编制全市人民防空建设中长期发展规划和年度工作计划，经批准后组织实施。</w:t>
      </w:r>
    </w:p>
    <w:p>
      <w:pPr>
        <w:ind w:firstLine="800" w:firstLineChars="25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（十七）制定和组织实施城市防空袭方案和各项保障方案、群众防空组织（人民防空专业队）建设和训练、防空防灾演习演练、疏散体系建设，协助军事部门组织指导城市防卫建设。</w:t>
      </w:r>
    </w:p>
    <w:p>
      <w:pPr>
        <w:ind w:firstLine="800" w:firstLineChars="25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（十八）战时组织开展城市人民防空袭斗争，组织指挥人民防空疏散和隐蔽，依法组织实施灯火管制和发放防空袭警报，配合要地防空和城市防卫作战，组织有关部门恢复生产和生活秩序，消除空袭后果。</w:t>
      </w:r>
    </w:p>
    <w:p>
      <w:pPr>
        <w:ind w:firstLine="800" w:firstLineChars="25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（十九）组织管理人民防空通信警报和信息化建设。对人民防空通信警报网和信息化建设实施计划、技术和质量管理，负责保障全市人民防空通信警报畅通。负责对全市人民防空无线电进行管理。</w:t>
      </w:r>
    </w:p>
    <w:p>
      <w:pPr>
        <w:ind w:firstLine="800" w:firstLineChars="25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（二十）会同有关部门组织开展人民防空宣传教育工作，普及人民防空知识和技能。</w:t>
      </w:r>
    </w:p>
    <w:p>
      <w:pPr>
        <w:ind w:firstLine="800" w:firstLineChars="25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（二十一）管理人民防空经费和资产，负责编制市本级人民防空经费预决算，并对使用情况实施监督检查。</w:t>
      </w:r>
    </w:p>
    <w:p>
      <w:pPr>
        <w:ind w:firstLine="800" w:firstLineChars="25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（二十二）承担市人民政府赋予的应急救援任务，利用人防设施和人民防空专业队伍为应急救援服务。</w:t>
      </w:r>
    </w:p>
    <w:p>
      <w:pPr>
        <w:ind w:firstLine="800" w:firstLineChars="25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（二十三）指导相关行业协会的工作。</w:t>
      </w:r>
    </w:p>
    <w:p>
      <w:pPr>
        <w:ind w:firstLine="800" w:firstLineChars="25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（二十四）负责国有土地上房屋征收管理行政职能。</w:t>
      </w:r>
    </w:p>
    <w:p>
      <w:pPr>
        <w:ind w:firstLine="800" w:firstLineChars="25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（二十五）负责全市建设工程消防设计审查验收工作。</w:t>
      </w:r>
    </w:p>
    <w:p>
      <w:pPr>
        <w:ind w:firstLine="800" w:firstLineChars="25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（二十六）负责全市在建工程项目起重机械设备监管工作。</w:t>
      </w:r>
    </w:p>
    <w:p>
      <w:pPr>
        <w:ind w:firstLine="800" w:firstLineChars="25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（二十七）承办上级交办的其他事项。</w:t>
      </w:r>
    </w:p>
    <w:p>
      <w:pPr>
        <w:widowControl/>
        <w:spacing w:line="600" w:lineRule="exact"/>
        <w:ind w:firstLine="640" w:firstLineChars="200"/>
        <w:rPr>
          <w:rFonts w:ascii="黑体" w:hAnsi="黑体" w:eastAsia="黑体"/>
          <w:bCs/>
          <w:kern w:val="0"/>
          <w:sz w:val="32"/>
          <w:szCs w:val="32"/>
          <w:highlight w:val="none"/>
        </w:rPr>
      </w:pPr>
      <w:r>
        <w:rPr>
          <w:rFonts w:hint="eastAsia" w:ascii="黑体" w:hAnsi="黑体" w:eastAsia="黑体"/>
          <w:bCs/>
          <w:kern w:val="0"/>
          <w:sz w:val="32"/>
          <w:szCs w:val="32"/>
          <w:highlight w:val="none"/>
        </w:rPr>
        <w:t>二、机构设置及决算单位构成</w:t>
      </w:r>
    </w:p>
    <w:p>
      <w:pPr>
        <w:numPr>
          <w:ilvl w:val="0"/>
          <w:numId w:val="0"/>
        </w:numPr>
        <w:ind w:firstLine="643" w:firstLineChars="200"/>
        <w:jc w:val="left"/>
        <w:rPr>
          <w:rFonts w:ascii="仿宋_GB2312" w:eastAsia="仿宋_GB2312" w:hAnsiTheme="minorEastAsia"/>
          <w:sz w:val="28"/>
          <w:szCs w:val="32"/>
          <w:highlight w:val="none"/>
        </w:rPr>
      </w:pPr>
      <w:r>
        <w:rPr>
          <w:rFonts w:hint="eastAsia" w:ascii="楷体" w:hAnsi="楷体" w:eastAsia="楷体" w:cs="楷体"/>
          <w:b/>
          <w:bCs/>
          <w:sz w:val="32"/>
          <w:szCs w:val="32"/>
          <w:highlight w:val="none"/>
          <w:lang w:eastAsia="zh-CN"/>
        </w:rPr>
        <w:t>（一）内设机构设置。</w:t>
      </w:r>
      <w:r>
        <w:rPr>
          <w:rFonts w:hint="eastAsia" w:ascii="仿宋" w:hAnsi="仿宋" w:eastAsia="仿宋" w:cs="仿宋"/>
          <w:sz w:val="32"/>
          <w:szCs w:val="32"/>
          <w:highlight w:val="none"/>
        </w:rPr>
        <w:t>现</w:t>
      </w:r>
      <w:r>
        <w:rPr>
          <w:rFonts w:hint="eastAsia" w:ascii="仿宋" w:hAnsi="仿宋" w:eastAsia="仿宋" w:cs="仿宋"/>
          <w:sz w:val="32"/>
          <w:szCs w:val="32"/>
          <w:highlight w:val="none"/>
          <w:lang w:eastAsia="zh-CN"/>
        </w:rPr>
        <w:t>内</w:t>
      </w:r>
      <w:r>
        <w:rPr>
          <w:rFonts w:hint="eastAsia" w:ascii="仿宋" w:hAnsi="仿宋" w:eastAsia="仿宋" w:cs="仿宋"/>
          <w:sz w:val="32"/>
          <w:szCs w:val="32"/>
          <w:highlight w:val="none"/>
        </w:rPr>
        <w:t>设机构有办公室、法规股、审批服务股、住房保障股城市排水管理股、建筑工程管理股房产综合开发管理股、质量安全管理股城市村镇建设管理股、人防工程建设管理股、指挥通信股物业管理股、建设工程招标投标管理股、科技设计管理股（造价管理站）财务股、党建办公室、人事股。</w:t>
      </w:r>
    </w:p>
    <w:p>
      <w:pPr>
        <w:widowControl/>
        <w:spacing w:line="600" w:lineRule="exact"/>
        <w:ind w:firstLine="643" w:firstLineChars="200"/>
        <w:rPr>
          <w:rFonts w:hint="eastAsia" w:ascii="仿宋" w:hAnsi="仿宋" w:eastAsia="仿宋" w:cs="仿宋"/>
          <w:bCs/>
          <w:kern w:val="0"/>
          <w:sz w:val="32"/>
          <w:szCs w:val="32"/>
          <w:highlight w:val="none"/>
        </w:rPr>
      </w:pPr>
      <w:r>
        <w:rPr>
          <w:rFonts w:hint="eastAsia" w:ascii="楷体" w:hAnsi="楷体" w:eastAsia="楷体" w:cs="楷体"/>
          <w:b/>
          <w:bCs w:val="0"/>
          <w:kern w:val="0"/>
          <w:sz w:val="32"/>
          <w:szCs w:val="32"/>
          <w:highlight w:val="none"/>
        </w:rPr>
        <w:t>（二）决算单位构成。</w:t>
      </w:r>
      <w:r>
        <w:rPr>
          <w:rFonts w:hint="eastAsia" w:ascii="仿宋" w:hAnsi="仿宋" w:eastAsia="仿宋" w:cs="仿宋"/>
          <w:bCs/>
          <w:kern w:val="0"/>
          <w:sz w:val="32"/>
          <w:szCs w:val="32"/>
          <w:highlight w:val="none"/>
          <w:lang w:eastAsia="zh-CN"/>
        </w:rPr>
        <w:t>湘乡市住房和城乡建设局（本级）</w:t>
      </w:r>
      <w:r>
        <w:rPr>
          <w:rFonts w:hint="eastAsia" w:ascii="仿宋" w:hAnsi="仿宋" w:eastAsia="仿宋" w:cs="仿宋"/>
          <w:bCs/>
          <w:kern w:val="0"/>
          <w:sz w:val="32"/>
          <w:szCs w:val="32"/>
          <w:highlight w:val="none"/>
        </w:rPr>
        <w:t>为湘乡市住房和城乡建设局所属2级预算单位，单位性质为行政单位，决算编报类型为单户表，按照政府会计制度填报决算数据。</w:t>
      </w:r>
    </w:p>
    <w:p>
      <w:pPr>
        <w:widowControl/>
        <w:spacing w:line="600" w:lineRule="exact"/>
        <w:ind w:firstLine="640" w:firstLineChars="200"/>
        <w:rPr>
          <w:rFonts w:hint="eastAsia" w:ascii="黑体" w:hAnsi="黑体" w:eastAsia="黑体" w:cs="黑体"/>
          <w:sz w:val="32"/>
          <w:szCs w:val="32"/>
          <w:highlight w:val="none"/>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Cs/>
          <w:kern w:val="0"/>
          <w:sz w:val="32"/>
          <w:szCs w:val="32"/>
          <w:highlight w:val="none"/>
        </w:rPr>
        <w:t>纳入本套决算编制范围的独立核算单位共1个，比上年增减0个。</w:t>
      </w:r>
    </w:p>
    <w:p>
      <w:pPr>
        <w:jc w:val="both"/>
        <w:rPr>
          <w:sz w:val="72"/>
          <w:szCs w:val="72"/>
          <w:highlight w:val="none"/>
        </w:rPr>
      </w:pPr>
    </w:p>
    <w:p>
      <w:pPr>
        <w:jc w:val="both"/>
        <w:rPr>
          <w:sz w:val="72"/>
          <w:szCs w:val="72"/>
          <w:highlight w:val="none"/>
        </w:rPr>
      </w:pPr>
    </w:p>
    <w:p>
      <w:pPr>
        <w:jc w:val="both"/>
        <w:rPr>
          <w:sz w:val="72"/>
          <w:szCs w:val="72"/>
          <w:highlight w:val="none"/>
        </w:rPr>
      </w:pPr>
    </w:p>
    <w:p>
      <w:pPr>
        <w:jc w:val="both"/>
        <w:rPr>
          <w:sz w:val="72"/>
          <w:szCs w:val="72"/>
          <w:highlight w:val="none"/>
        </w:rPr>
      </w:pPr>
    </w:p>
    <w:p>
      <w:pPr>
        <w:pStyle w:val="15"/>
        <w:jc w:val="center"/>
        <w:rPr>
          <w:rFonts w:hint="eastAsia"/>
          <w:sz w:val="84"/>
          <w:szCs w:val="84"/>
          <w:highlight w:val="none"/>
        </w:rPr>
      </w:pPr>
      <w:r>
        <w:rPr>
          <w:rFonts w:hint="eastAsia"/>
          <w:sz w:val="84"/>
          <w:szCs w:val="84"/>
          <w:highlight w:val="none"/>
        </w:rPr>
        <w:t>第二部分</w:t>
      </w:r>
    </w:p>
    <w:p>
      <w:pPr>
        <w:pStyle w:val="15"/>
        <w:jc w:val="center"/>
        <w:rPr>
          <w:rFonts w:hint="eastAsia"/>
          <w:sz w:val="84"/>
          <w:szCs w:val="84"/>
          <w:highlight w:val="none"/>
        </w:rPr>
      </w:pPr>
    </w:p>
    <w:p>
      <w:pPr>
        <w:pStyle w:val="15"/>
        <w:jc w:val="center"/>
        <w:rPr>
          <w:rFonts w:hint="eastAsia"/>
          <w:sz w:val="84"/>
          <w:szCs w:val="84"/>
          <w:highlight w:val="none"/>
        </w:rPr>
      </w:pPr>
      <w:r>
        <w:rPr>
          <w:rFonts w:hint="eastAsia"/>
          <w:sz w:val="84"/>
          <w:szCs w:val="84"/>
          <w:highlight w:val="none"/>
        </w:rPr>
        <w:t>部门决算表</w:t>
      </w:r>
    </w:p>
    <w:p>
      <w:pPr>
        <w:jc w:val="center"/>
        <w:rPr>
          <w:sz w:val="72"/>
          <w:szCs w:val="72"/>
          <w:highlight w:val="none"/>
        </w:rPr>
      </w:pPr>
    </w:p>
    <w:p>
      <w:pPr>
        <w:jc w:val="center"/>
        <w:rPr>
          <w:sz w:val="72"/>
          <w:szCs w:val="72"/>
          <w:highlight w:val="none"/>
        </w:rPr>
      </w:pPr>
    </w:p>
    <w:p>
      <w:pPr>
        <w:jc w:val="center"/>
        <w:rPr>
          <w:sz w:val="72"/>
          <w:szCs w:val="72"/>
          <w:highlight w:val="none"/>
        </w:rPr>
      </w:pPr>
    </w:p>
    <w:p>
      <w:pPr>
        <w:jc w:val="center"/>
        <w:rPr>
          <w:sz w:val="72"/>
          <w:szCs w:val="72"/>
          <w:highlight w:val="none"/>
        </w:rPr>
      </w:pPr>
    </w:p>
    <w:p>
      <w:pPr>
        <w:jc w:val="center"/>
        <w:rPr>
          <w:sz w:val="72"/>
          <w:szCs w:val="72"/>
          <w:highlight w:val="none"/>
        </w:rPr>
      </w:pPr>
    </w:p>
    <w:p>
      <w:pPr>
        <w:jc w:val="center"/>
        <w:rPr>
          <w:sz w:val="72"/>
          <w:szCs w:val="72"/>
          <w:highlight w:val="none"/>
        </w:rPr>
      </w:pPr>
    </w:p>
    <w:p>
      <w:pPr>
        <w:jc w:val="left"/>
        <w:rPr>
          <w:sz w:val="32"/>
          <w:szCs w:val="32"/>
          <w:highlight w:val="none"/>
        </w:rPr>
      </w:pPr>
    </w:p>
    <w:p>
      <w:pPr>
        <w:jc w:val="left"/>
        <w:rPr>
          <w:rFonts w:asciiTheme="minorEastAsia" w:hAnsiTheme="minorEastAsia"/>
          <w:sz w:val="32"/>
          <w:szCs w:val="32"/>
          <w:highlight w:val="none"/>
        </w:rPr>
        <w:sectPr>
          <w:pgSz w:w="11906" w:h="16838"/>
          <w:pgMar w:top="720" w:right="720" w:bottom="720" w:left="720" w:header="851" w:footer="992" w:gutter="0"/>
          <w:cols w:space="425" w:num="1"/>
          <w:docGrid w:type="lines" w:linePitch="312" w:charSpace="0"/>
        </w:sectPr>
      </w:pPr>
    </w:p>
    <w:tbl>
      <w:tblPr>
        <w:tblStyle w:val="11"/>
        <w:tblW w:w="14081" w:type="dxa"/>
        <w:tblInd w:w="93" w:type="dxa"/>
        <w:tblLayout w:type="fixed"/>
        <w:tblCellMar>
          <w:top w:w="0" w:type="dxa"/>
          <w:left w:w="108" w:type="dxa"/>
          <w:bottom w:w="0" w:type="dxa"/>
          <w:right w:w="108" w:type="dxa"/>
        </w:tblCellMar>
      </w:tblPr>
      <w:tblGrid>
        <w:gridCol w:w="4000"/>
        <w:gridCol w:w="442"/>
        <w:gridCol w:w="817"/>
        <w:gridCol w:w="879"/>
        <w:gridCol w:w="231"/>
        <w:gridCol w:w="3357"/>
        <w:gridCol w:w="825"/>
        <w:gridCol w:w="1413"/>
        <w:gridCol w:w="643"/>
        <w:gridCol w:w="1474"/>
      </w:tblGrid>
      <w:tr>
        <w:tblPrEx>
          <w:tblCellMar>
            <w:top w:w="0" w:type="dxa"/>
            <w:left w:w="108" w:type="dxa"/>
            <w:bottom w:w="0" w:type="dxa"/>
            <w:right w:w="108" w:type="dxa"/>
          </w:tblCellMar>
        </w:tblPrEx>
        <w:trPr>
          <w:trHeight w:val="360" w:hRule="atLeast"/>
        </w:trPr>
        <w:tc>
          <w:tcPr>
            <w:tcW w:w="14081" w:type="dxa"/>
            <w:gridSpan w:val="10"/>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highlight w:val="none"/>
              </w:rPr>
            </w:pPr>
            <w:r>
              <w:rPr>
                <w:rFonts w:hint="eastAsia" w:ascii="华文中宋" w:hAnsi="华文中宋" w:eastAsia="华文中宋" w:cs="宋体"/>
                <w:color w:val="000000"/>
                <w:kern w:val="0"/>
                <w:sz w:val="32"/>
                <w:szCs w:val="32"/>
                <w:highlight w:val="none"/>
              </w:rPr>
              <w:t>收入支出决算总表</w:t>
            </w:r>
          </w:p>
        </w:tc>
      </w:tr>
      <w:tr>
        <w:tblPrEx>
          <w:tblCellMar>
            <w:top w:w="0" w:type="dxa"/>
            <w:left w:w="108" w:type="dxa"/>
            <w:bottom w:w="0" w:type="dxa"/>
            <w:right w:w="108" w:type="dxa"/>
          </w:tblCellMar>
        </w:tblPrEx>
        <w:trPr>
          <w:trHeight w:val="199" w:hRule="atLeast"/>
        </w:trPr>
        <w:tc>
          <w:tcPr>
            <w:tcW w:w="5259"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8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23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5595"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64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474"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公开01表</w:t>
            </w:r>
          </w:p>
        </w:tc>
      </w:tr>
      <w:tr>
        <w:tblPrEx>
          <w:tblCellMar>
            <w:top w:w="0" w:type="dxa"/>
            <w:left w:w="108" w:type="dxa"/>
            <w:bottom w:w="0" w:type="dxa"/>
            <w:right w:w="108" w:type="dxa"/>
          </w:tblCellMar>
        </w:tblPrEx>
        <w:trPr>
          <w:trHeight w:val="300" w:hRule="atLeast"/>
        </w:trPr>
        <w:tc>
          <w:tcPr>
            <w:tcW w:w="5259"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部门：</w:t>
            </w:r>
            <w:r>
              <w:rPr>
                <w:rFonts w:hint="eastAsia" w:ascii="宋体" w:hAnsi="宋体" w:eastAsia="宋体" w:cs="宋体"/>
                <w:color w:val="000000"/>
                <w:kern w:val="0"/>
                <w:sz w:val="20"/>
                <w:szCs w:val="20"/>
                <w:highlight w:val="none"/>
                <w:lang w:eastAsia="zh-CN"/>
              </w:rPr>
              <w:t>湘乡市住房和城乡建设局</w:t>
            </w:r>
            <w:r>
              <w:rPr>
                <w:rFonts w:ascii="宋体" w:hAnsi="宋体" w:eastAsia="宋体" w:cs="宋体"/>
                <w:color w:val="000000"/>
                <w:kern w:val="0"/>
                <w:sz w:val="20"/>
                <w:szCs w:val="20"/>
                <w:highlight w:val="none"/>
              </w:rPr>
              <w:t xml:space="preserve"> </w:t>
            </w:r>
          </w:p>
        </w:tc>
        <w:tc>
          <w:tcPr>
            <w:tcW w:w="8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23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5595"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64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474"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单位：万元</w:t>
            </w:r>
          </w:p>
        </w:tc>
      </w:tr>
      <w:tr>
        <w:tblPrEx>
          <w:tblCellMar>
            <w:top w:w="0" w:type="dxa"/>
            <w:left w:w="108" w:type="dxa"/>
            <w:bottom w:w="0" w:type="dxa"/>
            <w:right w:w="108" w:type="dxa"/>
          </w:tblCellMar>
        </w:tblPrEx>
        <w:trPr>
          <w:trHeight w:val="340" w:hRule="atLeast"/>
        </w:trPr>
        <w:tc>
          <w:tcPr>
            <w:tcW w:w="613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收入</w:t>
            </w:r>
          </w:p>
        </w:tc>
        <w:tc>
          <w:tcPr>
            <w:tcW w:w="7943" w:type="dxa"/>
            <w:gridSpan w:val="6"/>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支出</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项    目</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行次</w:t>
            </w:r>
          </w:p>
        </w:tc>
        <w:tc>
          <w:tcPr>
            <w:tcW w:w="1696"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决算数</w:t>
            </w:r>
          </w:p>
        </w:tc>
        <w:tc>
          <w:tcPr>
            <w:tcW w:w="3588"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项    目</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行次</w:t>
            </w:r>
          </w:p>
        </w:tc>
        <w:tc>
          <w:tcPr>
            <w:tcW w:w="3530"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决算数</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栏    次</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696"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1</w:t>
            </w:r>
          </w:p>
        </w:tc>
        <w:tc>
          <w:tcPr>
            <w:tcW w:w="3588"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栏    次</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3530"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2</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一、一般公共预算财政拨款收入</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1</w:t>
            </w:r>
          </w:p>
        </w:tc>
        <w:tc>
          <w:tcPr>
            <w:tcW w:w="169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29,073,791.62</w:t>
            </w:r>
          </w:p>
        </w:tc>
        <w:tc>
          <w:tcPr>
            <w:tcW w:w="3588"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一、一般公共服务支出</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14</w:t>
            </w:r>
          </w:p>
        </w:tc>
        <w:tc>
          <w:tcPr>
            <w:tcW w:w="353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kern w:val="0"/>
                <w:sz w:val="22"/>
                <w:highlight w:val="none"/>
              </w:rPr>
              <w:t>304273</w:t>
            </w:r>
            <w:r>
              <w:rPr>
                <w:rFonts w:hint="eastAsia" w:ascii="宋体" w:hAnsi="宋体" w:eastAsia="宋体" w:cs="宋体"/>
                <w:kern w:val="0"/>
                <w:sz w:val="22"/>
                <w:highlight w:val="none"/>
                <w:lang w:val="en-US" w:eastAsia="zh-CN"/>
              </w:rPr>
              <w:t>.00</w:t>
            </w:r>
            <w:r>
              <w:rPr>
                <w:rFonts w:hint="eastAsia" w:ascii="宋体" w:hAnsi="宋体" w:eastAsia="宋体" w:cs="宋体"/>
                <w:kern w:val="0"/>
                <w:sz w:val="22"/>
                <w:highlight w:val="none"/>
              </w:rPr>
              <w:t>　</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二、政府性基金预算财政拨款收入</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2</w:t>
            </w:r>
          </w:p>
        </w:tc>
        <w:tc>
          <w:tcPr>
            <w:tcW w:w="169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3588"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二、社会保障和就业支出</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15</w:t>
            </w:r>
          </w:p>
        </w:tc>
        <w:tc>
          <w:tcPr>
            <w:tcW w:w="353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1,944,831.50</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三、国有资本经营预算财政拨款收入</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3</w:t>
            </w:r>
          </w:p>
        </w:tc>
        <w:tc>
          <w:tcPr>
            <w:tcW w:w="169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3588"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三、卫生健康支出</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16</w:t>
            </w:r>
          </w:p>
        </w:tc>
        <w:tc>
          <w:tcPr>
            <w:tcW w:w="353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601,390.98</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四、上级补助收入</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4</w:t>
            </w:r>
          </w:p>
        </w:tc>
        <w:tc>
          <w:tcPr>
            <w:tcW w:w="169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3588"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四、节能环保支出</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17</w:t>
            </w:r>
          </w:p>
        </w:tc>
        <w:tc>
          <w:tcPr>
            <w:tcW w:w="353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2,000,000.00</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五、事业收入</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5</w:t>
            </w:r>
          </w:p>
        </w:tc>
        <w:tc>
          <w:tcPr>
            <w:tcW w:w="169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3588"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五、城乡社区支出</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18</w:t>
            </w:r>
          </w:p>
        </w:tc>
        <w:tc>
          <w:tcPr>
            <w:tcW w:w="353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24,433,615.44</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六、经营收入</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6</w:t>
            </w:r>
          </w:p>
        </w:tc>
        <w:tc>
          <w:tcPr>
            <w:tcW w:w="169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3588"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六、住房保障支出</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19</w:t>
            </w:r>
          </w:p>
        </w:tc>
        <w:tc>
          <w:tcPr>
            <w:tcW w:w="353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1,014,855.96</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七、附属单位上缴收入</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7</w:t>
            </w:r>
          </w:p>
        </w:tc>
        <w:tc>
          <w:tcPr>
            <w:tcW w:w="169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35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20</w:t>
            </w:r>
          </w:p>
        </w:tc>
        <w:tc>
          <w:tcPr>
            <w:tcW w:w="353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kern w:val="0"/>
                <w:sz w:val="22"/>
                <w:highlight w:val="none"/>
              </w:rPr>
              <w:t>　</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八、其他收入</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8</w:t>
            </w:r>
          </w:p>
        </w:tc>
        <w:tc>
          <w:tcPr>
            <w:tcW w:w="169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35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21</w:t>
            </w:r>
          </w:p>
        </w:tc>
        <w:tc>
          <w:tcPr>
            <w:tcW w:w="3530"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9</w:t>
            </w:r>
          </w:p>
        </w:tc>
        <w:tc>
          <w:tcPr>
            <w:tcW w:w="169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358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22</w:t>
            </w:r>
          </w:p>
        </w:tc>
        <w:tc>
          <w:tcPr>
            <w:tcW w:w="353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highlight w:val="none"/>
              </w:rPr>
            </w:pPr>
            <w:r>
              <w:rPr>
                <w:rFonts w:hint="eastAsia" w:ascii="宋体" w:hAnsi="宋体" w:eastAsia="宋体" w:cs="宋体"/>
                <w:b/>
                <w:bCs/>
                <w:kern w:val="0"/>
                <w:sz w:val="22"/>
                <w:highlight w:val="none"/>
              </w:rPr>
              <w:t>　</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highlight w:val="none"/>
              </w:rPr>
            </w:pPr>
            <w:r>
              <w:rPr>
                <w:rFonts w:hint="eastAsia" w:ascii="宋体" w:hAnsi="宋体" w:eastAsia="宋体" w:cs="宋体"/>
                <w:b/>
                <w:bCs/>
                <w:kern w:val="0"/>
                <w:sz w:val="22"/>
                <w:highlight w:val="none"/>
              </w:rPr>
              <w:t>本年收入合计</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10</w:t>
            </w:r>
          </w:p>
        </w:tc>
        <w:tc>
          <w:tcPr>
            <w:tcW w:w="169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29,073,791.62</w:t>
            </w:r>
            <w:r>
              <w:rPr>
                <w:rFonts w:hint="eastAsia" w:ascii="宋体" w:hAnsi="宋体" w:eastAsia="宋体" w:cs="宋体"/>
                <w:kern w:val="0"/>
                <w:sz w:val="22"/>
                <w:highlight w:val="none"/>
              </w:rPr>
              <w:t>　</w:t>
            </w:r>
          </w:p>
        </w:tc>
        <w:tc>
          <w:tcPr>
            <w:tcW w:w="358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highlight w:val="none"/>
              </w:rPr>
            </w:pPr>
            <w:r>
              <w:rPr>
                <w:rFonts w:hint="eastAsia" w:ascii="宋体" w:hAnsi="宋体" w:eastAsia="宋体" w:cs="宋体"/>
                <w:b/>
                <w:bCs/>
                <w:kern w:val="0"/>
                <w:sz w:val="22"/>
                <w:highlight w:val="none"/>
              </w:rPr>
              <w:t>本年支出合计</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23</w:t>
            </w:r>
          </w:p>
        </w:tc>
        <w:tc>
          <w:tcPr>
            <w:tcW w:w="353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30,298,966.88</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 xml:space="preserve">         使用非财政拨款结余</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11</w:t>
            </w:r>
          </w:p>
        </w:tc>
        <w:tc>
          <w:tcPr>
            <w:tcW w:w="169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35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 xml:space="preserve">                结余分配</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24</w:t>
            </w:r>
          </w:p>
        </w:tc>
        <w:tc>
          <w:tcPr>
            <w:tcW w:w="353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　</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 xml:space="preserve">         年初结转和结余</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12</w:t>
            </w:r>
          </w:p>
        </w:tc>
        <w:tc>
          <w:tcPr>
            <w:tcW w:w="169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kern w:val="0"/>
                <w:sz w:val="22"/>
                <w:highlight w:val="none"/>
              </w:rPr>
              <w:t>5426860.1</w:t>
            </w:r>
            <w:r>
              <w:rPr>
                <w:rFonts w:hint="eastAsia" w:ascii="宋体" w:hAnsi="宋体" w:eastAsia="宋体" w:cs="宋体"/>
                <w:kern w:val="0"/>
                <w:sz w:val="22"/>
                <w:highlight w:val="none"/>
                <w:lang w:val="en-US" w:eastAsia="zh-CN"/>
              </w:rPr>
              <w:t>0</w:t>
            </w:r>
            <w:r>
              <w:rPr>
                <w:rFonts w:hint="eastAsia" w:ascii="宋体" w:hAnsi="宋体" w:eastAsia="宋体" w:cs="宋体"/>
                <w:kern w:val="0"/>
                <w:sz w:val="22"/>
                <w:highlight w:val="none"/>
              </w:rPr>
              <w:t>　</w:t>
            </w:r>
          </w:p>
        </w:tc>
        <w:tc>
          <w:tcPr>
            <w:tcW w:w="35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 xml:space="preserve">                年末结转和结余</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25</w:t>
            </w:r>
          </w:p>
        </w:tc>
        <w:tc>
          <w:tcPr>
            <w:tcW w:w="353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4,201,684.84</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highlight w:val="none"/>
              </w:rPr>
            </w:pPr>
            <w:r>
              <w:rPr>
                <w:rFonts w:hint="eastAsia" w:ascii="宋体" w:hAnsi="宋体" w:eastAsia="宋体" w:cs="宋体"/>
                <w:b/>
                <w:bCs/>
                <w:kern w:val="0"/>
                <w:sz w:val="22"/>
                <w:highlight w:val="none"/>
              </w:rPr>
              <w:t>总计</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13</w:t>
            </w:r>
          </w:p>
        </w:tc>
        <w:tc>
          <w:tcPr>
            <w:tcW w:w="169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34,500,651.72</w:t>
            </w:r>
          </w:p>
        </w:tc>
        <w:tc>
          <w:tcPr>
            <w:tcW w:w="3588"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highlight w:val="none"/>
              </w:rPr>
            </w:pPr>
            <w:r>
              <w:rPr>
                <w:rFonts w:hint="eastAsia" w:ascii="宋体" w:hAnsi="宋体" w:eastAsia="宋体" w:cs="宋体"/>
                <w:b/>
                <w:bCs/>
                <w:kern w:val="0"/>
                <w:sz w:val="22"/>
                <w:highlight w:val="none"/>
              </w:rPr>
              <w:t>总计</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26</w:t>
            </w:r>
          </w:p>
        </w:tc>
        <w:tc>
          <w:tcPr>
            <w:tcW w:w="353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34,500,651.72</w:t>
            </w:r>
          </w:p>
        </w:tc>
      </w:tr>
      <w:tr>
        <w:tblPrEx>
          <w:tblCellMar>
            <w:top w:w="0" w:type="dxa"/>
            <w:left w:w="108" w:type="dxa"/>
            <w:bottom w:w="0" w:type="dxa"/>
            <w:right w:w="108" w:type="dxa"/>
          </w:tblCellMar>
        </w:tblPrEx>
        <w:trPr>
          <w:trHeight w:val="1020" w:hRule="atLeast"/>
        </w:trPr>
        <w:tc>
          <w:tcPr>
            <w:tcW w:w="14081" w:type="dxa"/>
            <w:gridSpan w:val="10"/>
            <w:tcBorders>
              <w:top w:val="nil"/>
              <w:left w:val="nil"/>
              <w:bottom w:val="nil"/>
              <w:right w:val="nil"/>
            </w:tcBorders>
            <w:shd w:val="clear" w:color="auto" w:fill="auto"/>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注：1.本表反映部门本年度的总收支和年末结转结余情况。</w:t>
            </w:r>
            <w:r>
              <w:rPr>
                <w:rFonts w:hint="eastAsia" w:ascii="宋体" w:hAnsi="宋体" w:eastAsia="宋体" w:cs="宋体"/>
                <w:kern w:val="0"/>
                <w:sz w:val="24"/>
                <w:szCs w:val="24"/>
                <w:highlight w:val="none"/>
              </w:rPr>
              <w:br w:type="textWrapping"/>
            </w:r>
            <w:r>
              <w:rPr>
                <w:rFonts w:hint="eastAsia" w:ascii="宋体" w:hAnsi="宋体" w:eastAsia="宋体" w:cs="宋体"/>
                <w:kern w:val="0"/>
                <w:sz w:val="24"/>
                <w:szCs w:val="24"/>
                <w:highlight w:val="none"/>
              </w:rPr>
              <w:t xml:space="preserve"> 2.本套报表金额单位转换时可能存在尾数误差。</w:t>
            </w:r>
          </w:p>
        </w:tc>
      </w:tr>
    </w:tbl>
    <w:p>
      <w:pPr>
        <w:jc w:val="center"/>
        <w:rPr>
          <w:rFonts w:ascii="黑体" w:hAnsi="黑体" w:eastAsia="黑体"/>
          <w:sz w:val="28"/>
          <w:szCs w:val="28"/>
          <w:highlight w:val="none"/>
        </w:rPr>
        <w:sectPr>
          <w:pgSz w:w="16838" w:h="11906" w:orient="landscape"/>
          <w:pgMar w:top="1797" w:right="1440" w:bottom="1797" w:left="1440" w:header="851" w:footer="992" w:gutter="0"/>
          <w:cols w:space="425" w:num="1"/>
          <w:docGrid w:type="linesAndChars" w:linePitch="312" w:charSpace="0"/>
        </w:sectPr>
      </w:pPr>
    </w:p>
    <w:tbl>
      <w:tblPr>
        <w:tblStyle w:val="11"/>
        <w:tblW w:w="15428" w:type="dxa"/>
        <w:tblInd w:w="0" w:type="dxa"/>
        <w:tblLayout w:type="fixed"/>
        <w:tblCellMar>
          <w:top w:w="0" w:type="dxa"/>
          <w:left w:w="0" w:type="dxa"/>
          <w:bottom w:w="0" w:type="dxa"/>
          <w:right w:w="0" w:type="dxa"/>
        </w:tblCellMar>
      </w:tblPr>
      <w:tblGrid>
        <w:gridCol w:w="384"/>
        <w:gridCol w:w="572"/>
        <w:gridCol w:w="3480"/>
        <w:gridCol w:w="2148"/>
        <w:gridCol w:w="1860"/>
        <w:gridCol w:w="1392"/>
        <w:gridCol w:w="1596"/>
        <w:gridCol w:w="1132"/>
        <w:gridCol w:w="1235"/>
        <w:gridCol w:w="1629"/>
      </w:tblGrid>
      <w:tr>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highlight w:val="none"/>
              </w:rPr>
            </w:pPr>
            <w:r>
              <w:rPr>
                <w:rFonts w:hint="eastAsia" w:ascii="华文中宋" w:hAnsi="华文中宋" w:eastAsia="华文中宋"/>
                <w:color w:val="000000"/>
                <w:sz w:val="32"/>
                <w:szCs w:val="32"/>
                <w:highlight w:val="none"/>
              </w:rPr>
              <w:t>收入决算表</w:t>
            </w:r>
          </w:p>
        </w:tc>
      </w:tr>
      <w:tr>
        <w:tblPrEx>
          <w:tblCellMar>
            <w:top w:w="0" w:type="dxa"/>
            <w:left w:w="0" w:type="dxa"/>
            <w:bottom w:w="0" w:type="dxa"/>
            <w:right w:w="0" w:type="dxa"/>
          </w:tblCellMar>
        </w:tblPrEx>
        <w:trPr>
          <w:trHeight w:val="285" w:hRule="atLeast"/>
        </w:trPr>
        <w:tc>
          <w:tcPr>
            <w:tcW w:w="38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57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348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214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86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39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59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13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23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62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highlight w:val="none"/>
              </w:rPr>
            </w:pPr>
            <w:r>
              <w:rPr>
                <w:rFonts w:hint="eastAsia"/>
                <w:color w:val="000000"/>
                <w:sz w:val="20"/>
                <w:szCs w:val="20"/>
                <w:highlight w:val="none"/>
              </w:rPr>
              <w:t>公开02表</w:t>
            </w:r>
          </w:p>
        </w:tc>
      </w:tr>
      <w:tr>
        <w:tblPrEx>
          <w:tblCellMar>
            <w:top w:w="0" w:type="dxa"/>
            <w:left w:w="0" w:type="dxa"/>
            <w:bottom w:w="0" w:type="dxa"/>
            <w:right w:w="0" w:type="dxa"/>
          </w:tblCellMar>
        </w:tblPrEx>
        <w:trPr>
          <w:trHeight w:val="285" w:hRule="atLeast"/>
        </w:trPr>
        <w:tc>
          <w:tcPr>
            <w:tcW w:w="956"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highlight w:val="none"/>
              </w:rPr>
            </w:pPr>
            <w:r>
              <w:rPr>
                <w:rFonts w:hint="eastAsia"/>
                <w:color w:val="000000"/>
                <w:sz w:val="20"/>
                <w:szCs w:val="20"/>
                <w:highlight w:val="none"/>
              </w:rPr>
              <w:t>部门：</w:t>
            </w:r>
          </w:p>
        </w:tc>
        <w:tc>
          <w:tcPr>
            <w:tcW w:w="3480" w:type="dxa"/>
            <w:tcBorders>
              <w:top w:val="nil"/>
              <w:left w:val="nil"/>
              <w:bottom w:val="nil"/>
              <w:right w:val="nil"/>
            </w:tcBorders>
            <w:shd w:val="clear" w:color="000000" w:fill="FFFFFF"/>
            <w:noWrap/>
            <w:tcMar>
              <w:top w:w="15" w:type="dxa"/>
              <w:left w:w="15" w:type="dxa"/>
              <w:bottom w:w="0" w:type="dxa"/>
              <w:right w:w="15" w:type="dxa"/>
            </w:tcMar>
            <w:vAlign w:val="center"/>
          </w:tcPr>
          <w:p>
            <w:pPr>
              <w:jc w:val="left"/>
              <w:rPr>
                <w:rFonts w:ascii="宋体" w:hAnsi="宋体" w:eastAsia="宋体" w:cs="宋体"/>
                <w:sz w:val="24"/>
                <w:szCs w:val="24"/>
                <w:highlight w:val="none"/>
              </w:rPr>
            </w:pPr>
            <w:r>
              <w:rPr>
                <w:rFonts w:hint="eastAsia"/>
                <w:highlight w:val="none"/>
                <w:lang w:eastAsia="zh-CN"/>
              </w:rPr>
              <w:t>湘乡市住房和城乡建设局</w:t>
            </w:r>
            <w:r>
              <w:rPr>
                <w:rFonts w:hint="eastAsia"/>
                <w:highlight w:val="none"/>
              </w:rPr>
              <w:t>　</w:t>
            </w:r>
          </w:p>
        </w:tc>
        <w:tc>
          <w:tcPr>
            <w:tcW w:w="214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86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392"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highlight w:val="none"/>
              </w:rPr>
            </w:pPr>
            <w:r>
              <w:rPr>
                <w:rFonts w:hint="eastAsia"/>
                <w:color w:val="000000"/>
                <w:sz w:val="20"/>
                <w:szCs w:val="20"/>
                <w:highlight w:val="none"/>
              </w:rPr>
              <w:t>　</w:t>
            </w:r>
          </w:p>
        </w:tc>
        <w:tc>
          <w:tcPr>
            <w:tcW w:w="159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13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23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62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highlight w:val="none"/>
              </w:rPr>
            </w:pPr>
            <w:r>
              <w:rPr>
                <w:rFonts w:hint="eastAsia"/>
                <w:color w:val="000000"/>
                <w:sz w:val="20"/>
                <w:szCs w:val="20"/>
                <w:highlight w:val="none"/>
              </w:rPr>
              <w:t>单位：万元</w:t>
            </w:r>
          </w:p>
        </w:tc>
      </w:tr>
      <w:tr>
        <w:tblPrEx>
          <w:tblCellMar>
            <w:top w:w="0" w:type="dxa"/>
            <w:left w:w="0" w:type="dxa"/>
            <w:bottom w:w="0" w:type="dxa"/>
            <w:right w:w="0" w:type="dxa"/>
          </w:tblCellMar>
        </w:tblPrEx>
        <w:trPr>
          <w:trHeight w:val="347" w:hRule="atLeast"/>
        </w:trPr>
        <w:tc>
          <w:tcPr>
            <w:tcW w:w="4436"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项    目</w:t>
            </w:r>
          </w:p>
        </w:tc>
        <w:tc>
          <w:tcPr>
            <w:tcW w:w="214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本年收入合计</w:t>
            </w:r>
          </w:p>
        </w:tc>
        <w:tc>
          <w:tcPr>
            <w:tcW w:w="186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财政拨款收入</w:t>
            </w:r>
          </w:p>
        </w:tc>
        <w:tc>
          <w:tcPr>
            <w:tcW w:w="139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上级补助收入</w:t>
            </w:r>
          </w:p>
        </w:tc>
        <w:tc>
          <w:tcPr>
            <w:tcW w:w="159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事业收入</w:t>
            </w:r>
          </w:p>
        </w:tc>
        <w:tc>
          <w:tcPr>
            <w:tcW w:w="113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经营收入</w:t>
            </w:r>
          </w:p>
        </w:tc>
        <w:tc>
          <w:tcPr>
            <w:tcW w:w="123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附属单位上缴收入</w:t>
            </w:r>
          </w:p>
        </w:tc>
        <w:tc>
          <w:tcPr>
            <w:tcW w:w="162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其他收入</w:t>
            </w:r>
          </w:p>
        </w:tc>
      </w:tr>
      <w:tr>
        <w:tblPrEx>
          <w:tblCellMar>
            <w:top w:w="0" w:type="dxa"/>
            <w:left w:w="0" w:type="dxa"/>
            <w:bottom w:w="0" w:type="dxa"/>
            <w:right w:w="0" w:type="dxa"/>
          </w:tblCellMar>
        </w:tblPrEx>
        <w:trPr>
          <w:trHeight w:val="450" w:hRule="atLeast"/>
        </w:trPr>
        <w:tc>
          <w:tcPr>
            <w:tcW w:w="956"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功能分类科目编码</w:t>
            </w:r>
          </w:p>
        </w:tc>
        <w:tc>
          <w:tcPr>
            <w:tcW w:w="3480"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科目名称</w:t>
            </w:r>
          </w:p>
        </w:tc>
        <w:tc>
          <w:tcPr>
            <w:tcW w:w="214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c>
          <w:tcPr>
            <w:tcW w:w="186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c>
          <w:tcPr>
            <w:tcW w:w="139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c>
          <w:tcPr>
            <w:tcW w:w="159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c>
          <w:tcPr>
            <w:tcW w:w="113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c>
          <w:tcPr>
            <w:tcW w:w="123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c>
          <w:tcPr>
            <w:tcW w:w="162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r>
      <w:tr>
        <w:tblPrEx>
          <w:tblCellMar>
            <w:top w:w="0" w:type="dxa"/>
            <w:left w:w="0" w:type="dxa"/>
            <w:bottom w:w="0" w:type="dxa"/>
            <w:right w:w="0" w:type="dxa"/>
          </w:tblCellMar>
        </w:tblPrEx>
        <w:trPr>
          <w:trHeight w:val="312" w:hRule="atLeast"/>
        </w:trPr>
        <w:tc>
          <w:tcPr>
            <w:tcW w:w="956"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c>
          <w:tcPr>
            <w:tcW w:w="3480"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c>
          <w:tcPr>
            <w:tcW w:w="214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c>
          <w:tcPr>
            <w:tcW w:w="186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c>
          <w:tcPr>
            <w:tcW w:w="139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c>
          <w:tcPr>
            <w:tcW w:w="159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c>
          <w:tcPr>
            <w:tcW w:w="113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c>
          <w:tcPr>
            <w:tcW w:w="123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c>
          <w:tcPr>
            <w:tcW w:w="162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r>
      <w:tr>
        <w:tblPrEx>
          <w:tblCellMar>
            <w:top w:w="0" w:type="dxa"/>
            <w:left w:w="0" w:type="dxa"/>
            <w:bottom w:w="0" w:type="dxa"/>
            <w:right w:w="0" w:type="dxa"/>
          </w:tblCellMar>
        </w:tblPrEx>
        <w:trPr>
          <w:trHeight w:val="369" w:hRule="atLeast"/>
        </w:trPr>
        <w:tc>
          <w:tcPr>
            <w:tcW w:w="4436"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栏次</w:t>
            </w:r>
          </w:p>
        </w:tc>
        <w:tc>
          <w:tcPr>
            <w:tcW w:w="214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1</w:t>
            </w:r>
          </w:p>
        </w:tc>
        <w:tc>
          <w:tcPr>
            <w:tcW w:w="186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2</w:t>
            </w:r>
          </w:p>
        </w:tc>
        <w:tc>
          <w:tcPr>
            <w:tcW w:w="139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3</w:t>
            </w:r>
          </w:p>
        </w:tc>
        <w:tc>
          <w:tcPr>
            <w:tcW w:w="159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4</w:t>
            </w:r>
          </w:p>
        </w:tc>
        <w:tc>
          <w:tcPr>
            <w:tcW w:w="113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5</w:t>
            </w:r>
          </w:p>
        </w:tc>
        <w:tc>
          <w:tcPr>
            <w:tcW w:w="123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6</w:t>
            </w:r>
          </w:p>
        </w:tc>
        <w:tc>
          <w:tcPr>
            <w:tcW w:w="162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7</w:t>
            </w:r>
          </w:p>
        </w:tc>
      </w:tr>
      <w:tr>
        <w:tblPrEx>
          <w:tblCellMar>
            <w:top w:w="0" w:type="dxa"/>
            <w:left w:w="0" w:type="dxa"/>
            <w:bottom w:w="0" w:type="dxa"/>
            <w:right w:w="0" w:type="dxa"/>
          </w:tblCellMar>
        </w:tblPrEx>
        <w:trPr>
          <w:trHeight w:val="333" w:hRule="atLeast"/>
        </w:trPr>
        <w:tc>
          <w:tcPr>
            <w:tcW w:w="4436"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合计</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highlight w:val="none"/>
              </w:rPr>
            </w:pPr>
            <w:r>
              <w:rPr>
                <w:rFonts w:hint="eastAsia" w:ascii="宋体" w:hAnsi="宋体" w:eastAsia="宋体" w:cs="宋体"/>
                <w:b/>
                <w:bCs/>
                <w:i w:val="0"/>
                <w:iCs w:val="0"/>
                <w:color w:val="000000"/>
                <w:kern w:val="0"/>
                <w:sz w:val="22"/>
                <w:szCs w:val="22"/>
                <w:highlight w:val="none"/>
                <w:u w:val="none"/>
                <w:lang w:val="en-US" w:eastAsia="zh-CN" w:bidi="ar"/>
              </w:rPr>
              <w:t>29,073,791.62</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highlight w:val="none"/>
              </w:rPr>
            </w:pPr>
            <w:r>
              <w:rPr>
                <w:rFonts w:hint="eastAsia" w:ascii="宋体" w:hAnsi="宋体" w:eastAsia="宋体" w:cs="宋体"/>
                <w:b/>
                <w:bCs/>
                <w:i w:val="0"/>
                <w:iCs w:val="0"/>
                <w:color w:val="000000"/>
                <w:kern w:val="0"/>
                <w:sz w:val="22"/>
                <w:szCs w:val="22"/>
                <w:highlight w:val="none"/>
                <w:u w:val="none"/>
                <w:lang w:val="en-US" w:eastAsia="zh-CN" w:bidi="ar"/>
              </w:rPr>
              <w:t>29,073,791.62</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201</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一般公共服务支出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304,273.00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304,273.00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20103</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政府办公厅（室）及相关机构事务</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华文中宋" w:hAnsi="华文中宋" w:eastAsia="华文中宋"/>
                <w:highlight w:val="none"/>
              </w:rPr>
            </w:pPr>
            <w:r>
              <w:rPr>
                <w:rFonts w:hint="eastAsia" w:ascii="宋体" w:hAnsi="宋体" w:eastAsia="宋体" w:cs="宋体"/>
                <w:i w:val="0"/>
                <w:iCs w:val="0"/>
                <w:color w:val="000000"/>
                <w:kern w:val="0"/>
                <w:sz w:val="22"/>
                <w:szCs w:val="22"/>
                <w:highlight w:val="none"/>
                <w:u w:val="none"/>
                <w:lang w:val="en-US" w:eastAsia="zh-CN" w:bidi="ar"/>
              </w:rPr>
              <w:t>304,273.00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304,273.00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2010308</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信访事务</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华文中宋" w:hAnsi="华文中宋" w:eastAsia="华文中宋"/>
                <w:highlight w:val="none"/>
              </w:rPr>
            </w:pPr>
            <w:r>
              <w:rPr>
                <w:rFonts w:hint="eastAsia" w:ascii="宋体" w:hAnsi="宋体" w:eastAsia="宋体" w:cs="宋体"/>
                <w:i w:val="0"/>
                <w:iCs w:val="0"/>
                <w:color w:val="000000"/>
                <w:kern w:val="0"/>
                <w:sz w:val="22"/>
                <w:szCs w:val="22"/>
                <w:highlight w:val="none"/>
                <w:u w:val="none"/>
                <w:lang w:val="en-US" w:eastAsia="zh-CN" w:bidi="ar"/>
              </w:rPr>
              <w:t>304,273.00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304,273.00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208</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社会保障和就业支出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华文中宋" w:hAnsi="华文中宋" w:eastAsia="华文中宋"/>
                <w:highlight w:val="none"/>
              </w:rPr>
            </w:pPr>
            <w:r>
              <w:rPr>
                <w:rFonts w:hint="eastAsia" w:ascii="宋体" w:hAnsi="宋体" w:eastAsia="宋体" w:cs="宋体"/>
                <w:i w:val="0"/>
                <w:iCs w:val="0"/>
                <w:color w:val="000000"/>
                <w:kern w:val="0"/>
                <w:sz w:val="22"/>
                <w:szCs w:val="22"/>
                <w:highlight w:val="none"/>
                <w:u w:val="none"/>
                <w:lang w:val="en-US" w:eastAsia="zh-CN" w:bidi="ar"/>
              </w:rPr>
              <w:t>1,944,831.50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1,944,831.50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20805</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行政事业单位养老支出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华文中宋" w:hAnsi="华文中宋" w:eastAsia="华文中宋"/>
                <w:highlight w:val="none"/>
              </w:rPr>
            </w:pPr>
            <w:r>
              <w:rPr>
                <w:rFonts w:hint="eastAsia" w:ascii="宋体" w:hAnsi="宋体" w:eastAsia="宋体" w:cs="宋体"/>
                <w:i w:val="0"/>
                <w:iCs w:val="0"/>
                <w:color w:val="000000"/>
                <w:kern w:val="0"/>
                <w:sz w:val="22"/>
                <w:szCs w:val="22"/>
                <w:highlight w:val="none"/>
                <w:u w:val="none"/>
                <w:lang w:val="en-US" w:eastAsia="zh-CN" w:bidi="ar"/>
              </w:rPr>
              <w:t>1,213,453.91</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1,213,453.91</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2080501</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行政单位离退休</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华文中宋" w:hAnsi="华文中宋" w:eastAsia="华文中宋"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81,423.83</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81,423.83</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2080505</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机关事业单位基本养老保险缴费支出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1,132,030.08</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1,132,030.08</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20808</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抚恤</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447,886.00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447,886.00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2080801</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死亡抚恤</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447,886.00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447,886.00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20825</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其他生活救助</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40,000.00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40,000.00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2082501</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其他城市生活救助</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40,000.00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40,000.00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20899</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其他社会保障和就业支出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243,491.59</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243,491.59</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2089999</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其他社会保障和就业支出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243,491.59</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243,491.59</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210</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卫生健康支出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601,390.98</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eastAsiaTheme="minorEastAsia"/>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601,390.98</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21011</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行政事业单位医疗</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601,390.98</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601,390.98</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2101101</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行政单位医疗</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601,390.98</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601,390.98</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211</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节能环保支出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2,000,000.00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2,000,000.00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21103</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污染防治</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2,000,000.00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2,000,000.00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2110302</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水体</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2,000,000.00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2,000,000.00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212</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城乡社区支出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23,208,440.18</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23,208,440.18</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21201</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城乡社区管理事务</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16,251,127.39</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16,251,127.39</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2120101</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行政运行</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9,894,918.36</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9,894,918.36</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2120106</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工程建设管理</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685,542.00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685,542.00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2120109</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住宅建设与房地产市场监管</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487,545.50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487,545.50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2120199</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其他城乡社区管理事务支出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5,183,121.53</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5,183,121.53</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21203</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城乡社区公共设施</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6,103,000.00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6,103,000.00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2120303</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小城镇基础设施建设</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6,103,000.00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6,103,000.00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21206</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建设市场管理与监督</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841,255.71</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841,255.71</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2120601</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建设市场管理与监督</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841,255.71</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841,255.71</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21299</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其他城乡社区支出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13,057.08</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13,057.08</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2129999</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其他城乡社区支出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13,057.08</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13,057.08</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221</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住房保障支出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1,014,855.96</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1,014,855.96</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22102</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住房改革支出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1,014,855.96</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1,014,855.96</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2210201</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住房公积金</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1,014,855.96</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highlight w:val="none"/>
              </w:rPr>
            </w:pPr>
            <w:r>
              <w:rPr>
                <w:rFonts w:hint="eastAsia" w:ascii="宋体" w:hAnsi="宋体" w:eastAsia="宋体" w:cs="宋体"/>
                <w:i w:val="0"/>
                <w:iCs w:val="0"/>
                <w:color w:val="000000"/>
                <w:kern w:val="0"/>
                <w:sz w:val="22"/>
                <w:szCs w:val="22"/>
                <w:highlight w:val="none"/>
                <w:u w:val="none"/>
                <w:lang w:val="en-US" w:eastAsia="zh-CN" w:bidi="ar"/>
              </w:rPr>
              <w:t>1,014,855.96</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highlight w:val="none"/>
              </w:rPr>
            </w:pPr>
          </w:p>
        </w:tc>
      </w:tr>
      <w:tr>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highlight w:val="none"/>
              </w:rPr>
            </w:pPr>
            <w:r>
              <w:rPr>
                <w:rFonts w:hint="eastAsia"/>
                <w:highlight w:val="none"/>
              </w:rPr>
              <w:t>注：本表反映部门本年度取得的各项收入情况。</w:t>
            </w:r>
          </w:p>
        </w:tc>
      </w:tr>
    </w:tbl>
    <w:p>
      <w:pPr>
        <w:widowControl/>
        <w:jc w:val="left"/>
        <w:rPr>
          <w:rFonts w:ascii="Times New Roman" w:hAnsi="Times New Roman" w:eastAsia="方正小标宋_GBK" w:cs="Times New Roman"/>
          <w:color w:val="000000"/>
          <w:kern w:val="0"/>
          <w:sz w:val="36"/>
          <w:szCs w:val="36"/>
          <w:highlight w:val="none"/>
        </w:rPr>
      </w:pPr>
    </w:p>
    <w:tbl>
      <w:tblPr>
        <w:tblStyle w:val="11"/>
        <w:tblW w:w="15236" w:type="dxa"/>
        <w:tblInd w:w="93" w:type="dxa"/>
        <w:tblLayout w:type="fixed"/>
        <w:tblCellMar>
          <w:top w:w="0" w:type="dxa"/>
          <w:left w:w="108" w:type="dxa"/>
          <w:bottom w:w="0" w:type="dxa"/>
          <w:right w:w="108" w:type="dxa"/>
        </w:tblCellMar>
      </w:tblPr>
      <w:tblGrid>
        <w:gridCol w:w="1042"/>
        <w:gridCol w:w="222"/>
        <w:gridCol w:w="3532"/>
        <w:gridCol w:w="1836"/>
        <w:gridCol w:w="2100"/>
        <w:gridCol w:w="1740"/>
        <w:gridCol w:w="1800"/>
        <w:gridCol w:w="1260"/>
        <w:gridCol w:w="1704"/>
      </w:tblGrid>
      <w:tr>
        <w:tblPrEx>
          <w:tblCellMar>
            <w:top w:w="0" w:type="dxa"/>
            <w:left w:w="108" w:type="dxa"/>
            <w:bottom w:w="0" w:type="dxa"/>
            <w:right w:w="108" w:type="dxa"/>
          </w:tblCellMar>
        </w:tblPrEx>
        <w:trPr>
          <w:trHeight w:val="435" w:hRule="atLeast"/>
        </w:trPr>
        <w:tc>
          <w:tcPr>
            <w:tcW w:w="15236"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highlight w:val="none"/>
              </w:rPr>
            </w:pPr>
            <w:r>
              <w:rPr>
                <w:rFonts w:hint="eastAsia" w:ascii="华文中宋" w:hAnsi="华文中宋" w:eastAsia="华文中宋" w:cs="宋体"/>
                <w:color w:val="000000"/>
                <w:kern w:val="0"/>
                <w:sz w:val="32"/>
                <w:szCs w:val="32"/>
                <w:highlight w:val="none"/>
              </w:rPr>
              <w:t>支出决算表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22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35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8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210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7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80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26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704"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公开03表</w:t>
            </w:r>
          </w:p>
        </w:tc>
      </w:tr>
      <w:tr>
        <w:tblPrEx>
          <w:tblCellMar>
            <w:top w:w="0" w:type="dxa"/>
            <w:left w:w="108" w:type="dxa"/>
            <w:bottom w:w="0" w:type="dxa"/>
            <w:right w:w="108" w:type="dxa"/>
          </w:tblCellMar>
        </w:tblPrEx>
        <w:trPr>
          <w:trHeight w:val="708" w:hRule="atLeast"/>
        </w:trPr>
        <w:tc>
          <w:tcPr>
            <w:tcW w:w="1042"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部门：</w:t>
            </w:r>
          </w:p>
        </w:tc>
        <w:tc>
          <w:tcPr>
            <w:tcW w:w="5590" w:type="dxa"/>
            <w:gridSpan w:val="3"/>
            <w:tcBorders>
              <w:top w:val="nil"/>
              <w:left w:val="nil"/>
              <w:bottom w:val="nil"/>
              <w:right w:val="nil"/>
            </w:tcBorders>
            <w:shd w:val="clear" w:color="000000" w:fill="FFFFFF"/>
            <w:noWrap/>
            <w:vAlign w:val="top"/>
          </w:tcPr>
          <w:p>
            <w:pPr>
              <w:widowControl/>
              <w:jc w:val="both"/>
              <w:rPr>
                <w:rFonts w:hint="eastAsia"/>
                <w:highlight w:val="none"/>
                <w:lang w:eastAsia="zh-CN"/>
              </w:rPr>
            </w:pPr>
          </w:p>
          <w:p>
            <w:pPr>
              <w:widowControl/>
              <w:jc w:val="both"/>
              <w:rPr>
                <w:rFonts w:ascii="宋体" w:hAnsi="宋体" w:eastAsia="宋体" w:cs="宋体"/>
                <w:kern w:val="0"/>
                <w:sz w:val="24"/>
                <w:szCs w:val="24"/>
                <w:highlight w:val="none"/>
              </w:rPr>
            </w:pPr>
            <w:r>
              <w:rPr>
                <w:rFonts w:hint="eastAsia"/>
                <w:highlight w:val="none"/>
                <w:lang w:eastAsia="zh-CN"/>
              </w:rPr>
              <w:t>湘乡市住房和城乡建设局</w:t>
            </w:r>
          </w:p>
        </w:tc>
        <w:tc>
          <w:tcPr>
            <w:tcW w:w="210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740"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c>
          <w:tcPr>
            <w:tcW w:w="180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26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704"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单位：万元</w:t>
            </w:r>
          </w:p>
        </w:tc>
      </w:tr>
      <w:tr>
        <w:tblPrEx>
          <w:tblCellMar>
            <w:top w:w="0" w:type="dxa"/>
            <w:left w:w="108" w:type="dxa"/>
            <w:bottom w:w="0" w:type="dxa"/>
            <w:right w:w="108" w:type="dxa"/>
          </w:tblCellMar>
        </w:tblPrEx>
        <w:trPr>
          <w:trHeight w:val="450" w:hRule="atLeast"/>
        </w:trPr>
        <w:tc>
          <w:tcPr>
            <w:tcW w:w="479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项    目</w:t>
            </w:r>
          </w:p>
        </w:tc>
        <w:tc>
          <w:tcPr>
            <w:tcW w:w="183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本年支出合计</w:t>
            </w:r>
          </w:p>
        </w:tc>
        <w:tc>
          <w:tcPr>
            <w:tcW w:w="21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基本支出</w:t>
            </w:r>
          </w:p>
        </w:tc>
        <w:tc>
          <w:tcPr>
            <w:tcW w:w="174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项目支出</w:t>
            </w:r>
          </w:p>
        </w:tc>
        <w:tc>
          <w:tcPr>
            <w:tcW w:w="18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上缴上级支出</w:t>
            </w:r>
          </w:p>
        </w:tc>
        <w:tc>
          <w:tcPr>
            <w:tcW w:w="126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经营支出</w:t>
            </w:r>
          </w:p>
        </w:tc>
        <w:tc>
          <w:tcPr>
            <w:tcW w:w="170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对附属单位补助支出</w:t>
            </w:r>
          </w:p>
        </w:tc>
      </w:tr>
      <w:tr>
        <w:tblPrEx>
          <w:tblCellMar>
            <w:top w:w="0" w:type="dxa"/>
            <w:left w:w="108" w:type="dxa"/>
            <w:bottom w:w="0" w:type="dxa"/>
            <w:right w:w="108" w:type="dxa"/>
          </w:tblCellMar>
        </w:tblPrEx>
        <w:trPr>
          <w:trHeight w:val="450" w:hRule="atLeast"/>
        </w:trPr>
        <w:tc>
          <w:tcPr>
            <w:tcW w:w="1264"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功能分类科目编码</w:t>
            </w:r>
          </w:p>
        </w:tc>
        <w:tc>
          <w:tcPr>
            <w:tcW w:w="3532"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科目名称</w:t>
            </w:r>
          </w:p>
        </w:tc>
        <w:tc>
          <w:tcPr>
            <w:tcW w:w="18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highlight w:val="none"/>
              </w:rPr>
            </w:pPr>
          </w:p>
        </w:tc>
        <w:tc>
          <w:tcPr>
            <w:tcW w:w="21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highlight w:val="none"/>
              </w:rPr>
            </w:pPr>
          </w:p>
        </w:tc>
        <w:tc>
          <w:tcPr>
            <w:tcW w:w="17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highlight w:val="none"/>
              </w:rPr>
            </w:pPr>
          </w:p>
        </w:tc>
        <w:tc>
          <w:tcPr>
            <w:tcW w:w="1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highlight w:val="none"/>
              </w:rPr>
            </w:pPr>
          </w:p>
        </w:tc>
        <w:tc>
          <w:tcPr>
            <w:tcW w:w="12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highlight w:val="none"/>
              </w:rPr>
            </w:pPr>
          </w:p>
        </w:tc>
        <w:tc>
          <w:tcPr>
            <w:tcW w:w="170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highlight w:val="none"/>
              </w:rPr>
            </w:pPr>
          </w:p>
        </w:tc>
      </w:tr>
      <w:tr>
        <w:tblPrEx>
          <w:tblCellMar>
            <w:top w:w="0" w:type="dxa"/>
            <w:left w:w="108" w:type="dxa"/>
            <w:bottom w:w="0" w:type="dxa"/>
            <w:right w:w="108" w:type="dxa"/>
          </w:tblCellMar>
        </w:tblPrEx>
        <w:trPr>
          <w:trHeight w:val="312" w:hRule="atLeast"/>
        </w:trPr>
        <w:tc>
          <w:tcPr>
            <w:tcW w:w="126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highlight w:val="none"/>
              </w:rPr>
            </w:pPr>
          </w:p>
        </w:tc>
        <w:tc>
          <w:tcPr>
            <w:tcW w:w="3532"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highlight w:val="none"/>
              </w:rPr>
            </w:pPr>
          </w:p>
        </w:tc>
        <w:tc>
          <w:tcPr>
            <w:tcW w:w="18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highlight w:val="none"/>
              </w:rPr>
            </w:pPr>
          </w:p>
        </w:tc>
        <w:tc>
          <w:tcPr>
            <w:tcW w:w="21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highlight w:val="none"/>
              </w:rPr>
            </w:pPr>
          </w:p>
        </w:tc>
        <w:tc>
          <w:tcPr>
            <w:tcW w:w="17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highlight w:val="none"/>
              </w:rPr>
            </w:pPr>
          </w:p>
        </w:tc>
        <w:tc>
          <w:tcPr>
            <w:tcW w:w="1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highlight w:val="none"/>
              </w:rPr>
            </w:pPr>
          </w:p>
        </w:tc>
        <w:tc>
          <w:tcPr>
            <w:tcW w:w="12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highlight w:val="none"/>
              </w:rPr>
            </w:pPr>
          </w:p>
        </w:tc>
        <w:tc>
          <w:tcPr>
            <w:tcW w:w="170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highlight w:val="none"/>
              </w:rPr>
            </w:pPr>
          </w:p>
        </w:tc>
      </w:tr>
      <w:tr>
        <w:tblPrEx>
          <w:tblCellMar>
            <w:top w:w="0" w:type="dxa"/>
            <w:left w:w="108" w:type="dxa"/>
            <w:bottom w:w="0" w:type="dxa"/>
            <w:right w:w="108" w:type="dxa"/>
          </w:tblCellMar>
        </w:tblPrEx>
        <w:trPr>
          <w:trHeight w:val="318" w:hRule="atLeast"/>
        </w:trPr>
        <w:tc>
          <w:tcPr>
            <w:tcW w:w="4796"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栏次</w:t>
            </w:r>
          </w:p>
        </w:tc>
        <w:tc>
          <w:tcPr>
            <w:tcW w:w="18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1</w:t>
            </w:r>
          </w:p>
        </w:tc>
        <w:tc>
          <w:tcPr>
            <w:tcW w:w="210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2</w:t>
            </w:r>
          </w:p>
        </w:tc>
        <w:tc>
          <w:tcPr>
            <w:tcW w:w="174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3</w:t>
            </w:r>
          </w:p>
        </w:tc>
        <w:tc>
          <w:tcPr>
            <w:tcW w:w="180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4</w:t>
            </w:r>
          </w:p>
        </w:tc>
        <w:tc>
          <w:tcPr>
            <w:tcW w:w="126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5</w:t>
            </w:r>
          </w:p>
        </w:tc>
        <w:tc>
          <w:tcPr>
            <w:tcW w:w="170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6</w:t>
            </w:r>
          </w:p>
        </w:tc>
      </w:tr>
      <w:tr>
        <w:tblPrEx>
          <w:tblCellMar>
            <w:top w:w="0" w:type="dxa"/>
            <w:left w:w="108" w:type="dxa"/>
            <w:bottom w:w="0" w:type="dxa"/>
            <w:right w:w="108" w:type="dxa"/>
          </w:tblCellMar>
        </w:tblPrEx>
        <w:trPr>
          <w:trHeight w:val="366" w:hRule="atLeast"/>
        </w:trPr>
        <w:tc>
          <w:tcPr>
            <w:tcW w:w="4796"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合计</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highlight w:val="none"/>
              </w:rPr>
            </w:pPr>
            <w:r>
              <w:rPr>
                <w:rFonts w:hint="eastAsia" w:ascii="宋体" w:hAnsi="宋体" w:eastAsia="宋体" w:cs="宋体"/>
                <w:b/>
                <w:bCs/>
                <w:i w:val="0"/>
                <w:iCs w:val="0"/>
                <w:color w:val="000000"/>
                <w:kern w:val="0"/>
                <w:sz w:val="22"/>
                <w:szCs w:val="22"/>
                <w:highlight w:val="none"/>
                <w:u w:val="none"/>
                <w:lang w:val="en-US" w:eastAsia="zh-CN" w:bidi="ar"/>
              </w:rPr>
              <w:t>30,298,966.88</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highlight w:val="none"/>
              </w:rPr>
            </w:pPr>
            <w:r>
              <w:rPr>
                <w:rFonts w:hint="eastAsia" w:ascii="宋体" w:hAnsi="宋体" w:eastAsia="宋体" w:cs="宋体"/>
                <w:b/>
                <w:bCs/>
                <w:i w:val="0"/>
                <w:iCs w:val="0"/>
                <w:color w:val="000000"/>
                <w:kern w:val="0"/>
                <w:sz w:val="22"/>
                <w:szCs w:val="22"/>
                <w:highlight w:val="none"/>
                <w:u w:val="none"/>
                <w:lang w:val="en-US" w:eastAsia="zh-CN" w:bidi="ar"/>
              </w:rPr>
              <w:t>16,803,198.49</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highlight w:val="none"/>
              </w:rPr>
            </w:pPr>
            <w:r>
              <w:rPr>
                <w:rFonts w:hint="eastAsia" w:ascii="宋体" w:hAnsi="宋体" w:eastAsia="宋体" w:cs="宋体"/>
                <w:b/>
                <w:bCs/>
                <w:i w:val="0"/>
                <w:iCs w:val="0"/>
                <w:color w:val="000000"/>
                <w:kern w:val="0"/>
                <w:sz w:val="22"/>
                <w:szCs w:val="22"/>
                <w:highlight w:val="none"/>
                <w:u w:val="none"/>
                <w:lang w:val="en-US" w:eastAsia="zh-CN" w:bidi="ar"/>
              </w:rPr>
              <w:t>13,495,768.39</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201</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一般公共服务支出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304,273.00</w:t>
            </w:r>
          </w:p>
        </w:tc>
        <w:tc>
          <w:tcPr>
            <w:tcW w:w="21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highlight w:val="none"/>
              </w:rPr>
            </w:pP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304,273.00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20103</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政府办公厅（室）及相关机构事务</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304,273.00</w:t>
            </w:r>
          </w:p>
        </w:tc>
        <w:tc>
          <w:tcPr>
            <w:tcW w:w="21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highlight w:val="none"/>
              </w:rPr>
            </w:pP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304,273.00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2010308</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信访事务</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304,273.00</w:t>
            </w:r>
          </w:p>
        </w:tc>
        <w:tc>
          <w:tcPr>
            <w:tcW w:w="21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highlight w:val="none"/>
              </w:rPr>
            </w:pP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304,273.00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208</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社会保障和就业支出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1,944,831.50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1,944,831.50</w:t>
            </w:r>
          </w:p>
        </w:tc>
        <w:tc>
          <w:tcPr>
            <w:tcW w:w="174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highlight w:val="none"/>
              </w:rPr>
            </w:pP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20805</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行政事业单位养老支出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1,213,453.91</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1,213,453.91</w:t>
            </w:r>
          </w:p>
        </w:tc>
        <w:tc>
          <w:tcPr>
            <w:tcW w:w="174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highlight w:val="none"/>
              </w:rPr>
            </w:pP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2080501</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行政单位离退休</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81,423.83</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81,423.83</w:t>
            </w:r>
          </w:p>
        </w:tc>
        <w:tc>
          <w:tcPr>
            <w:tcW w:w="174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highlight w:val="none"/>
              </w:rPr>
            </w:pP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2080505</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机关事业单位基本养老保险缴费支出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1,132,030.08</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1,132,030.08</w:t>
            </w:r>
          </w:p>
        </w:tc>
        <w:tc>
          <w:tcPr>
            <w:tcW w:w="174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highlight w:val="none"/>
              </w:rPr>
            </w:pP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20808</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抚恤</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447,886.00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447,886.00</w:t>
            </w:r>
          </w:p>
        </w:tc>
        <w:tc>
          <w:tcPr>
            <w:tcW w:w="174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highlight w:val="none"/>
              </w:rPr>
            </w:pP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2080801</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死亡抚恤</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447,886.00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447,886.00</w:t>
            </w:r>
          </w:p>
        </w:tc>
        <w:tc>
          <w:tcPr>
            <w:tcW w:w="174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highlight w:val="none"/>
              </w:rPr>
            </w:pP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20825</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其他生活救助</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40,000.00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40,000.00</w:t>
            </w:r>
          </w:p>
        </w:tc>
        <w:tc>
          <w:tcPr>
            <w:tcW w:w="174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highlight w:val="none"/>
              </w:rPr>
            </w:pP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2082501</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其他城市生活救助</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40,000.00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40,000.00</w:t>
            </w:r>
          </w:p>
        </w:tc>
        <w:tc>
          <w:tcPr>
            <w:tcW w:w="174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highlight w:val="none"/>
              </w:rPr>
            </w:pP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20899</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其他社会保障和就业支出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243,491.59</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243,491.59</w:t>
            </w:r>
          </w:p>
        </w:tc>
        <w:tc>
          <w:tcPr>
            <w:tcW w:w="174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highlight w:val="none"/>
              </w:rPr>
            </w:pP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2089999</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其他社会保障和就业支出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243,491.59</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243,491.59</w:t>
            </w:r>
          </w:p>
        </w:tc>
        <w:tc>
          <w:tcPr>
            <w:tcW w:w="174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highlight w:val="none"/>
              </w:rPr>
            </w:pP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210</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卫生健康支出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601,390.98</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601,390.98</w:t>
            </w:r>
          </w:p>
        </w:tc>
        <w:tc>
          <w:tcPr>
            <w:tcW w:w="174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highlight w:val="none"/>
              </w:rPr>
            </w:pP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21011</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行政事业单位医疗</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601,390.98</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601,390.98</w:t>
            </w:r>
          </w:p>
        </w:tc>
        <w:tc>
          <w:tcPr>
            <w:tcW w:w="174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highlight w:val="none"/>
              </w:rPr>
            </w:pP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2101101</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行政单位医疗</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601,390.98</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601,390.98</w:t>
            </w:r>
          </w:p>
        </w:tc>
        <w:tc>
          <w:tcPr>
            <w:tcW w:w="174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highlight w:val="none"/>
              </w:rPr>
            </w:pP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211</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节能环保支出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2,000,000.00</w:t>
            </w:r>
          </w:p>
        </w:tc>
        <w:tc>
          <w:tcPr>
            <w:tcW w:w="210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highlight w:val="none"/>
              </w:rPr>
            </w:pP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2,000,000.00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21103</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污染防治</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2,000,000.00</w:t>
            </w:r>
          </w:p>
        </w:tc>
        <w:tc>
          <w:tcPr>
            <w:tcW w:w="210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highlight w:val="none"/>
              </w:rPr>
            </w:pP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2,000,000.00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2110302</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水体</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2,000,000.00</w:t>
            </w:r>
          </w:p>
        </w:tc>
        <w:tc>
          <w:tcPr>
            <w:tcW w:w="210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highlight w:val="none"/>
              </w:rPr>
            </w:pP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2,000,000.00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212</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城乡社区支出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24,433,615.44</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13,242,120.05</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11,191,495.39</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21201</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城乡社区管理事务</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17,476,302.65</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12,387,807.26</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5,088,495.39</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2120101</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行政运行</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9,894,918.36</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9,894,918.36</w:t>
            </w:r>
          </w:p>
        </w:tc>
        <w:tc>
          <w:tcPr>
            <w:tcW w:w="174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highlight w:val="none"/>
              </w:rPr>
            </w:pP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2120106</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工程建设管理</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685,542.00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685,542.00</w:t>
            </w:r>
          </w:p>
        </w:tc>
        <w:tc>
          <w:tcPr>
            <w:tcW w:w="174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highlight w:val="none"/>
              </w:rPr>
            </w:pP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2120109</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住宅建设与房地产市场监管</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487,545.50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487,545.50</w:t>
            </w:r>
          </w:p>
        </w:tc>
        <w:tc>
          <w:tcPr>
            <w:tcW w:w="174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highlight w:val="none"/>
              </w:rPr>
            </w:pP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2120199</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其他城乡社区管理事务支出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6,408,296.79</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1,319,801.40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5,088,495.39</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21203</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城乡社区公共设施</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6,103,000.00</w:t>
            </w:r>
          </w:p>
        </w:tc>
        <w:tc>
          <w:tcPr>
            <w:tcW w:w="210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highlight w:val="none"/>
              </w:rPr>
            </w:pP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6,103,000.00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2120303</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小城镇基础设施建设</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6,103,000.00</w:t>
            </w:r>
          </w:p>
        </w:tc>
        <w:tc>
          <w:tcPr>
            <w:tcW w:w="210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highlight w:val="none"/>
              </w:rPr>
            </w:pP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6,103,000.00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21206</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建设市场管理与监督</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841,255.71</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841,255.71</w:t>
            </w:r>
          </w:p>
        </w:tc>
        <w:tc>
          <w:tcPr>
            <w:tcW w:w="174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highlight w:val="none"/>
              </w:rPr>
            </w:pP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2120601</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建设市场管理与监督</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841,255.71</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841,255.71</w:t>
            </w:r>
          </w:p>
        </w:tc>
        <w:tc>
          <w:tcPr>
            <w:tcW w:w="174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highlight w:val="none"/>
              </w:rPr>
            </w:pP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21299</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其他城乡社区支出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13,057.08</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13,057.08</w:t>
            </w:r>
          </w:p>
        </w:tc>
        <w:tc>
          <w:tcPr>
            <w:tcW w:w="174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highlight w:val="none"/>
              </w:rPr>
            </w:pP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2129999</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其他城乡社区支出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13,057.08</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13,057.08</w:t>
            </w:r>
          </w:p>
        </w:tc>
        <w:tc>
          <w:tcPr>
            <w:tcW w:w="174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highlight w:val="none"/>
              </w:rPr>
            </w:pP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221</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住房保障支出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1,014,855.96</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1,014,855.96</w:t>
            </w:r>
          </w:p>
        </w:tc>
        <w:tc>
          <w:tcPr>
            <w:tcW w:w="174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highlight w:val="none"/>
              </w:rPr>
            </w:pP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22102</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住房改革支出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1,014,855.96</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1,014,855.96</w:t>
            </w:r>
          </w:p>
        </w:tc>
        <w:tc>
          <w:tcPr>
            <w:tcW w:w="174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highlight w:val="none"/>
              </w:rPr>
            </w:pP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2210201</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住房公积金</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1,014,855.96</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1,014,855.96</w:t>
            </w:r>
          </w:p>
        </w:tc>
        <w:tc>
          <w:tcPr>
            <w:tcW w:w="174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highlight w:val="none"/>
              </w:rPr>
            </w:pP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highlight w:val="none"/>
              </w:rPr>
            </w:pPr>
          </w:p>
        </w:tc>
      </w:tr>
      <w:tr>
        <w:tblPrEx>
          <w:tblCellMar>
            <w:top w:w="0" w:type="dxa"/>
            <w:left w:w="108" w:type="dxa"/>
            <w:bottom w:w="0" w:type="dxa"/>
            <w:right w:w="108" w:type="dxa"/>
          </w:tblCellMar>
        </w:tblPrEx>
        <w:trPr>
          <w:trHeight w:val="630" w:hRule="atLeast"/>
        </w:trPr>
        <w:tc>
          <w:tcPr>
            <w:tcW w:w="15236"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注：本表反映部门本年度各项支出情况。</w:t>
            </w:r>
          </w:p>
        </w:tc>
      </w:tr>
    </w:tbl>
    <w:p>
      <w:pPr>
        <w:widowControl/>
        <w:jc w:val="both"/>
        <w:rPr>
          <w:rFonts w:ascii="Times New Roman" w:hAnsi="Times New Roman" w:eastAsia="方正小标宋_GBK" w:cs="Times New Roman"/>
          <w:color w:val="000000"/>
          <w:kern w:val="0"/>
          <w:sz w:val="36"/>
          <w:szCs w:val="21"/>
          <w:highlight w:val="none"/>
        </w:rPr>
      </w:pPr>
    </w:p>
    <w:tbl>
      <w:tblPr>
        <w:tblStyle w:val="11"/>
        <w:tblW w:w="15435" w:type="dxa"/>
        <w:tblInd w:w="93" w:type="dxa"/>
        <w:tblLayout w:type="fixed"/>
        <w:tblCellMar>
          <w:top w:w="0" w:type="dxa"/>
          <w:left w:w="108" w:type="dxa"/>
          <w:bottom w:w="0" w:type="dxa"/>
          <w:right w:w="108" w:type="dxa"/>
        </w:tblCellMar>
      </w:tblPr>
      <w:tblGrid>
        <w:gridCol w:w="4106"/>
        <w:gridCol w:w="514"/>
        <w:gridCol w:w="1297"/>
        <w:gridCol w:w="431"/>
        <w:gridCol w:w="2965"/>
        <w:gridCol w:w="647"/>
        <w:gridCol w:w="1656"/>
        <w:gridCol w:w="1716"/>
        <w:gridCol w:w="996"/>
        <w:gridCol w:w="1107"/>
      </w:tblGrid>
      <w:tr>
        <w:tblPrEx>
          <w:tblCellMar>
            <w:top w:w="0" w:type="dxa"/>
            <w:left w:w="108" w:type="dxa"/>
            <w:bottom w:w="0" w:type="dxa"/>
            <w:right w:w="108" w:type="dxa"/>
          </w:tblCellMar>
        </w:tblPrEx>
        <w:trPr>
          <w:trHeight w:val="90" w:hRule="atLeast"/>
        </w:trPr>
        <w:tc>
          <w:tcPr>
            <w:tcW w:w="4106"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highlight w:val="none"/>
              </w:rPr>
            </w:pPr>
            <w:bookmarkStart w:id="0" w:name="RANGE!A1:I22"/>
            <w:bookmarkEnd w:id="0"/>
            <w:bookmarkStart w:id="1" w:name="RANGE!A1:F16"/>
          </w:p>
        </w:tc>
        <w:tc>
          <w:tcPr>
            <w:tcW w:w="51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highlight w:val="none"/>
              </w:rPr>
            </w:pPr>
          </w:p>
        </w:tc>
        <w:tc>
          <w:tcPr>
            <w:tcW w:w="1297"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highlight w:val="none"/>
              </w:rPr>
            </w:pPr>
          </w:p>
        </w:tc>
        <w:tc>
          <w:tcPr>
            <w:tcW w:w="3396"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highlight w:val="none"/>
              </w:rPr>
            </w:pPr>
          </w:p>
        </w:tc>
        <w:tc>
          <w:tcPr>
            <w:tcW w:w="647"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highlight w:val="none"/>
              </w:rPr>
            </w:pPr>
          </w:p>
        </w:tc>
        <w:tc>
          <w:tcPr>
            <w:tcW w:w="1656"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highlight w:val="none"/>
              </w:rPr>
            </w:pPr>
          </w:p>
        </w:tc>
        <w:tc>
          <w:tcPr>
            <w:tcW w:w="1716"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highlight w:val="none"/>
              </w:rPr>
            </w:pPr>
          </w:p>
        </w:tc>
        <w:tc>
          <w:tcPr>
            <w:tcW w:w="996"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highlight w:val="none"/>
              </w:rPr>
            </w:pPr>
          </w:p>
        </w:tc>
        <w:tc>
          <w:tcPr>
            <w:tcW w:w="1107"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highlight w:val="none"/>
              </w:rPr>
            </w:pPr>
          </w:p>
        </w:tc>
      </w:tr>
      <w:tr>
        <w:tblPrEx>
          <w:tblCellMar>
            <w:top w:w="0" w:type="dxa"/>
            <w:left w:w="108" w:type="dxa"/>
            <w:bottom w:w="0" w:type="dxa"/>
            <w:right w:w="108" w:type="dxa"/>
          </w:tblCellMar>
        </w:tblPrEx>
        <w:trPr>
          <w:trHeight w:val="90" w:hRule="atLeast"/>
        </w:trPr>
        <w:tc>
          <w:tcPr>
            <w:tcW w:w="15435" w:type="dxa"/>
            <w:gridSpan w:val="10"/>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highlight w:val="none"/>
              </w:rPr>
            </w:pPr>
            <w:r>
              <w:rPr>
                <w:rFonts w:hint="eastAsia" w:ascii="华文中宋" w:hAnsi="华文中宋" w:eastAsia="华文中宋" w:cs="宋体"/>
                <w:color w:val="000000"/>
                <w:kern w:val="0"/>
                <w:sz w:val="32"/>
                <w:szCs w:val="32"/>
                <w:highlight w:val="none"/>
              </w:rPr>
              <w:t>财政拨款收入支出决算总表</w:t>
            </w:r>
          </w:p>
        </w:tc>
      </w:tr>
      <w:tr>
        <w:tblPrEx>
          <w:tblCellMar>
            <w:top w:w="0" w:type="dxa"/>
            <w:left w:w="108" w:type="dxa"/>
            <w:bottom w:w="0" w:type="dxa"/>
            <w:right w:w="108" w:type="dxa"/>
          </w:tblCellMar>
        </w:tblPrEx>
        <w:trPr>
          <w:trHeight w:val="90" w:hRule="atLeast"/>
        </w:trPr>
        <w:tc>
          <w:tcPr>
            <w:tcW w:w="410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51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728"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296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64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65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71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99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107"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公开04表</w:t>
            </w:r>
          </w:p>
        </w:tc>
      </w:tr>
      <w:tr>
        <w:tblPrEx>
          <w:tblCellMar>
            <w:top w:w="0" w:type="dxa"/>
            <w:left w:w="108" w:type="dxa"/>
            <w:bottom w:w="0" w:type="dxa"/>
            <w:right w:w="108" w:type="dxa"/>
          </w:tblCellMar>
        </w:tblPrEx>
        <w:trPr>
          <w:trHeight w:val="90" w:hRule="atLeast"/>
        </w:trPr>
        <w:tc>
          <w:tcPr>
            <w:tcW w:w="4106"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部门：</w:t>
            </w:r>
            <w:r>
              <w:rPr>
                <w:rFonts w:hint="eastAsia"/>
                <w:highlight w:val="none"/>
                <w:lang w:eastAsia="zh-CN"/>
              </w:rPr>
              <w:t>湘乡市住房和城乡建设局</w:t>
            </w:r>
            <w:r>
              <w:rPr>
                <w:rFonts w:hint="eastAsia"/>
                <w:highlight w:val="none"/>
              </w:rPr>
              <w:t>　</w:t>
            </w:r>
          </w:p>
        </w:tc>
        <w:tc>
          <w:tcPr>
            <w:tcW w:w="51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728"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296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64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65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71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99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107"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单位：万元</w:t>
            </w:r>
          </w:p>
        </w:tc>
      </w:tr>
      <w:tr>
        <w:tblPrEx>
          <w:tblCellMar>
            <w:top w:w="0" w:type="dxa"/>
            <w:left w:w="108" w:type="dxa"/>
            <w:bottom w:w="0" w:type="dxa"/>
            <w:right w:w="108" w:type="dxa"/>
          </w:tblCellMar>
        </w:tblPrEx>
        <w:trPr>
          <w:trHeight w:val="90" w:hRule="atLeast"/>
        </w:trPr>
        <w:tc>
          <w:tcPr>
            <w:tcW w:w="634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收入</w:t>
            </w:r>
          </w:p>
        </w:tc>
        <w:tc>
          <w:tcPr>
            <w:tcW w:w="9087" w:type="dxa"/>
            <w:gridSpan w:val="6"/>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支出</w:t>
            </w:r>
          </w:p>
        </w:tc>
      </w:tr>
      <w:tr>
        <w:tblPrEx>
          <w:tblCellMar>
            <w:top w:w="0" w:type="dxa"/>
            <w:left w:w="108" w:type="dxa"/>
            <w:bottom w:w="0" w:type="dxa"/>
            <w:right w:w="108" w:type="dxa"/>
          </w:tblCellMar>
        </w:tblPrEx>
        <w:trPr>
          <w:trHeight w:val="90"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项    目</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行次</w:t>
            </w:r>
          </w:p>
        </w:tc>
        <w:tc>
          <w:tcPr>
            <w:tcW w:w="172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金额</w:t>
            </w:r>
          </w:p>
        </w:tc>
        <w:tc>
          <w:tcPr>
            <w:tcW w:w="29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项    目</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行次</w:t>
            </w:r>
          </w:p>
        </w:tc>
        <w:tc>
          <w:tcPr>
            <w:tcW w:w="16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合计</w:t>
            </w:r>
          </w:p>
        </w:tc>
        <w:tc>
          <w:tcPr>
            <w:tcW w:w="17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一般公共预算财政拨款</w:t>
            </w: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政府性基金预算财政拨款</w:t>
            </w:r>
          </w:p>
        </w:tc>
        <w:tc>
          <w:tcPr>
            <w:tcW w:w="110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国有资本经营预算财政拨款</w:t>
            </w:r>
          </w:p>
        </w:tc>
      </w:tr>
      <w:tr>
        <w:tblPrEx>
          <w:tblCellMar>
            <w:top w:w="0" w:type="dxa"/>
            <w:left w:w="108" w:type="dxa"/>
            <w:bottom w:w="0" w:type="dxa"/>
            <w:right w:w="108" w:type="dxa"/>
          </w:tblCellMar>
        </w:tblPrEx>
        <w:trPr>
          <w:trHeight w:val="90"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栏    次</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72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1</w:t>
            </w:r>
          </w:p>
        </w:tc>
        <w:tc>
          <w:tcPr>
            <w:tcW w:w="29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栏    次</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6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2</w:t>
            </w:r>
          </w:p>
        </w:tc>
        <w:tc>
          <w:tcPr>
            <w:tcW w:w="17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3</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4</w:t>
            </w:r>
          </w:p>
        </w:tc>
        <w:tc>
          <w:tcPr>
            <w:tcW w:w="110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5</w:t>
            </w:r>
          </w:p>
        </w:tc>
      </w:tr>
      <w:tr>
        <w:tblPrEx>
          <w:tblCellMar>
            <w:top w:w="0" w:type="dxa"/>
            <w:left w:w="108" w:type="dxa"/>
            <w:bottom w:w="0" w:type="dxa"/>
            <w:right w:w="108" w:type="dxa"/>
          </w:tblCellMar>
        </w:tblPrEx>
        <w:trPr>
          <w:trHeight w:val="90"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一、一般公共预算财政拨款</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1</w:t>
            </w:r>
          </w:p>
        </w:tc>
        <w:tc>
          <w:tcPr>
            <w:tcW w:w="172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29,073,791.62</w:t>
            </w:r>
          </w:p>
        </w:tc>
        <w:tc>
          <w:tcPr>
            <w:tcW w:w="29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一、一般公共服务支出</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15</w:t>
            </w:r>
          </w:p>
        </w:tc>
        <w:tc>
          <w:tcPr>
            <w:tcW w:w="16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304,273.00</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304,273.00</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kern w:val="0"/>
                <w:sz w:val="22"/>
                <w:highlight w:val="none"/>
              </w:rPr>
              <w:t>　</w:t>
            </w:r>
          </w:p>
        </w:tc>
      </w:tr>
      <w:tr>
        <w:tblPrEx>
          <w:tblCellMar>
            <w:top w:w="0" w:type="dxa"/>
            <w:left w:w="108" w:type="dxa"/>
            <w:bottom w:w="0" w:type="dxa"/>
            <w:right w:w="108" w:type="dxa"/>
          </w:tblCellMar>
        </w:tblPrEx>
        <w:trPr>
          <w:trHeight w:val="90"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二、政府性基金预算财政拨款</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2</w:t>
            </w:r>
          </w:p>
        </w:tc>
        <w:tc>
          <w:tcPr>
            <w:tcW w:w="172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29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二、社会保障和就业支出</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16</w:t>
            </w:r>
          </w:p>
        </w:tc>
        <w:tc>
          <w:tcPr>
            <w:tcW w:w="16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1,944,831.50</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1,944,831.50</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kern w:val="0"/>
                <w:sz w:val="22"/>
                <w:highlight w:val="none"/>
              </w:rPr>
              <w:t>　</w:t>
            </w:r>
          </w:p>
        </w:tc>
      </w:tr>
      <w:tr>
        <w:tblPrEx>
          <w:tblCellMar>
            <w:top w:w="0" w:type="dxa"/>
            <w:left w:w="108" w:type="dxa"/>
            <w:bottom w:w="0" w:type="dxa"/>
            <w:right w:w="108" w:type="dxa"/>
          </w:tblCellMar>
        </w:tblPrEx>
        <w:trPr>
          <w:trHeight w:val="90"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三、国有资本经营预算财政拨款</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3</w:t>
            </w:r>
          </w:p>
        </w:tc>
        <w:tc>
          <w:tcPr>
            <w:tcW w:w="172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29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三、卫生健康支出</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17</w:t>
            </w:r>
          </w:p>
        </w:tc>
        <w:tc>
          <w:tcPr>
            <w:tcW w:w="16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601,390.98</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601,390.98</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kern w:val="0"/>
                <w:sz w:val="22"/>
                <w:highlight w:val="none"/>
              </w:rPr>
              <w:t>　</w:t>
            </w:r>
          </w:p>
        </w:tc>
      </w:tr>
      <w:tr>
        <w:tblPrEx>
          <w:tblCellMar>
            <w:top w:w="0" w:type="dxa"/>
            <w:left w:w="108" w:type="dxa"/>
            <w:bottom w:w="0" w:type="dxa"/>
            <w:right w:w="108" w:type="dxa"/>
          </w:tblCellMar>
        </w:tblPrEx>
        <w:trPr>
          <w:trHeight w:val="90"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4</w:t>
            </w:r>
          </w:p>
        </w:tc>
        <w:tc>
          <w:tcPr>
            <w:tcW w:w="172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29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四、节能环保支出</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18</w:t>
            </w:r>
          </w:p>
        </w:tc>
        <w:tc>
          <w:tcPr>
            <w:tcW w:w="16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2,000,000.00</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2,000,000.00</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kern w:val="0"/>
                <w:sz w:val="22"/>
                <w:highlight w:val="none"/>
              </w:rPr>
              <w:t>　</w:t>
            </w:r>
          </w:p>
        </w:tc>
      </w:tr>
      <w:tr>
        <w:tblPrEx>
          <w:tblCellMar>
            <w:top w:w="0" w:type="dxa"/>
            <w:left w:w="108" w:type="dxa"/>
            <w:bottom w:w="0" w:type="dxa"/>
            <w:right w:w="108" w:type="dxa"/>
          </w:tblCellMar>
        </w:tblPrEx>
        <w:trPr>
          <w:trHeight w:val="90"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5</w:t>
            </w:r>
          </w:p>
        </w:tc>
        <w:tc>
          <w:tcPr>
            <w:tcW w:w="172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29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五、城乡社区支出</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19</w:t>
            </w:r>
          </w:p>
        </w:tc>
        <w:tc>
          <w:tcPr>
            <w:tcW w:w="16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23,208,440.18</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23,208,440.18</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kern w:val="0"/>
                <w:sz w:val="22"/>
                <w:highlight w:val="none"/>
              </w:rPr>
              <w:t>　</w:t>
            </w:r>
          </w:p>
        </w:tc>
      </w:tr>
      <w:tr>
        <w:tblPrEx>
          <w:tblCellMar>
            <w:top w:w="0" w:type="dxa"/>
            <w:left w:w="108" w:type="dxa"/>
            <w:bottom w:w="0" w:type="dxa"/>
            <w:right w:w="108" w:type="dxa"/>
          </w:tblCellMar>
        </w:tblPrEx>
        <w:trPr>
          <w:trHeight w:val="90"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6</w:t>
            </w:r>
          </w:p>
        </w:tc>
        <w:tc>
          <w:tcPr>
            <w:tcW w:w="172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29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六、住房保障支出</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20</w:t>
            </w:r>
          </w:p>
        </w:tc>
        <w:tc>
          <w:tcPr>
            <w:tcW w:w="16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1,014,855.96</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1,014,855.96</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kern w:val="0"/>
                <w:sz w:val="22"/>
                <w:highlight w:val="none"/>
              </w:rPr>
              <w:t>　</w:t>
            </w:r>
          </w:p>
        </w:tc>
      </w:tr>
      <w:tr>
        <w:tblPrEx>
          <w:tblCellMar>
            <w:top w:w="0" w:type="dxa"/>
            <w:left w:w="108" w:type="dxa"/>
            <w:bottom w:w="0" w:type="dxa"/>
            <w:right w:w="108" w:type="dxa"/>
          </w:tblCellMar>
        </w:tblPrEx>
        <w:trPr>
          <w:trHeight w:val="90"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7</w:t>
            </w:r>
          </w:p>
        </w:tc>
        <w:tc>
          <w:tcPr>
            <w:tcW w:w="172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29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21</w:t>
            </w:r>
          </w:p>
        </w:tc>
        <w:tc>
          <w:tcPr>
            <w:tcW w:w="16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17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kern w:val="0"/>
                <w:sz w:val="22"/>
                <w:highlight w:val="none"/>
              </w:rPr>
              <w:t>　</w:t>
            </w:r>
          </w:p>
        </w:tc>
      </w:tr>
      <w:tr>
        <w:tblPrEx>
          <w:tblCellMar>
            <w:top w:w="0" w:type="dxa"/>
            <w:left w:w="108" w:type="dxa"/>
            <w:bottom w:w="0" w:type="dxa"/>
            <w:right w:w="108" w:type="dxa"/>
          </w:tblCellMar>
        </w:tblPrEx>
        <w:trPr>
          <w:trHeight w:val="90"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8</w:t>
            </w:r>
          </w:p>
        </w:tc>
        <w:tc>
          <w:tcPr>
            <w:tcW w:w="172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29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22</w:t>
            </w:r>
          </w:p>
        </w:tc>
        <w:tc>
          <w:tcPr>
            <w:tcW w:w="16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17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r>
      <w:tr>
        <w:tblPrEx>
          <w:tblCellMar>
            <w:top w:w="0" w:type="dxa"/>
            <w:left w:w="108" w:type="dxa"/>
            <w:bottom w:w="0" w:type="dxa"/>
            <w:right w:w="108" w:type="dxa"/>
          </w:tblCellMar>
        </w:tblPrEx>
        <w:trPr>
          <w:trHeight w:val="90"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highlight w:val="none"/>
              </w:rPr>
            </w:pPr>
            <w:r>
              <w:rPr>
                <w:rFonts w:hint="eastAsia" w:ascii="宋体" w:hAnsi="宋体" w:eastAsia="宋体" w:cs="宋体"/>
                <w:b/>
                <w:bCs/>
                <w:kern w:val="0"/>
                <w:sz w:val="22"/>
                <w:highlight w:val="none"/>
              </w:rPr>
              <w:t>本年收入合计</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9</w:t>
            </w:r>
          </w:p>
        </w:tc>
        <w:tc>
          <w:tcPr>
            <w:tcW w:w="172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29,073,791.62</w:t>
            </w:r>
          </w:p>
        </w:tc>
        <w:tc>
          <w:tcPr>
            <w:tcW w:w="29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highlight w:val="none"/>
              </w:rPr>
            </w:pPr>
            <w:r>
              <w:rPr>
                <w:rFonts w:hint="eastAsia" w:ascii="宋体" w:hAnsi="宋体" w:eastAsia="宋体" w:cs="宋体"/>
                <w:b/>
                <w:bCs/>
                <w:kern w:val="0"/>
                <w:sz w:val="22"/>
                <w:highlight w:val="none"/>
              </w:rPr>
              <w:t>本年支出合计</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23</w:t>
            </w:r>
          </w:p>
        </w:tc>
        <w:tc>
          <w:tcPr>
            <w:tcW w:w="16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29,073,791.62</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29,073,791.62</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highlight w:val="none"/>
              </w:rPr>
            </w:pPr>
            <w:r>
              <w:rPr>
                <w:rFonts w:hint="eastAsia" w:ascii="宋体" w:hAnsi="宋体" w:eastAsia="宋体" w:cs="宋体"/>
                <w:b/>
                <w:bCs/>
                <w:kern w:val="0"/>
                <w:sz w:val="22"/>
                <w:highlight w:val="none"/>
              </w:rPr>
              <w:t>　</w:t>
            </w:r>
          </w:p>
        </w:tc>
      </w:tr>
      <w:tr>
        <w:tblPrEx>
          <w:tblCellMar>
            <w:top w:w="0" w:type="dxa"/>
            <w:left w:w="108" w:type="dxa"/>
            <w:bottom w:w="0" w:type="dxa"/>
            <w:right w:w="108" w:type="dxa"/>
          </w:tblCellMar>
        </w:tblPrEx>
        <w:trPr>
          <w:trHeight w:val="90"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年初财政拨款结转和结余</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10</w:t>
            </w:r>
          </w:p>
        </w:tc>
        <w:tc>
          <w:tcPr>
            <w:tcW w:w="172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29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年末财政拨款结转和结余</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24</w:t>
            </w:r>
          </w:p>
        </w:tc>
        <w:tc>
          <w:tcPr>
            <w:tcW w:w="16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17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　</w:t>
            </w:r>
          </w:p>
        </w:tc>
      </w:tr>
      <w:tr>
        <w:tblPrEx>
          <w:tblCellMar>
            <w:top w:w="0" w:type="dxa"/>
            <w:left w:w="108" w:type="dxa"/>
            <w:bottom w:w="0" w:type="dxa"/>
            <w:right w:w="108" w:type="dxa"/>
          </w:tblCellMar>
        </w:tblPrEx>
        <w:trPr>
          <w:trHeight w:val="396"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xml:space="preserve">   一般公共预算财政拨款</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11</w:t>
            </w:r>
          </w:p>
        </w:tc>
        <w:tc>
          <w:tcPr>
            <w:tcW w:w="172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29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25</w:t>
            </w:r>
          </w:p>
        </w:tc>
        <w:tc>
          <w:tcPr>
            <w:tcW w:w="16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17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　</w:t>
            </w:r>
          </w:p>
        </w:tc>
      </w:tr>
      <w:tr>
        <w:tblPrEx>
          <w:tblCellMar>
            <w:top w:w="0" w:type="dxa"/>
            <w:left w:w="108" w:type="dxa"/>
            <w:bottom w:w="0" w:type="dxa"/>
            <w:right w:w="108" w:type="dxa"/>
          </w:tblCellMar>
        </w:tblPrEx>
        <w:trPr>
          <w:trHeight w:val="372"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xml:space="preserve">     政府性基金预算财政拨款</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12</w:t>
            </w:r>
          </w:p>
        </w:tc>
        <w:tc>
          <w:tcPr>
            <w:tcW w:w="172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29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26</w:t>
            </w:r>
          </w:p>
        </w:tc>
        <w:tc>
          <w:tcPr>
            <w:tcW w:w="16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17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　</w:t>
            </w:r>
          </w:p>
        </w:tc>
      </w:tr>
      <w:tr>
        <w:tblPrEx>
          <w:tblCellMar>
            <w:top w:w="0" w:type="dxa"/>
            <w:left w:w="108" w:type="dxa"/>
            <w:bottom w:w="0" w:type="dxa"/>
            <w:right w:w="108" w:type="dxa"/>
          </w:tblCellMar>
        </w:tblPrEx>
        <w:trPr>
          <w:trHeight w:val="90"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xml:space="preserve">       国有资本经营预算财政拨款</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13</w:t>
            </w:r>
          </w:p>
        </w:tc>
        <w:tc>
          <w:tcPr>
            <w:tcW w:w="172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29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27</w:t>
            </w:r>
          </w:p>
        </w:tc>
        <w:tc>
          <w:tcPr>
            <w:tcW w:w="16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17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　</w:t>
            </w:r>
          </w:p>
        </w:tc>
      </w:tr>
      <w:tr>
        <w:tblPrEx>
          <w:tblCellMar>
            <w:top w:w="0" w:type="dxa"/>
            <w:left w:w="108" w:type="dxa"/>
            <w:bottom w:w="0" w:type="dxa"/>
            <w:right w:w="108" w:type="dxa"/>
          </w:tblCellMar>
        </w:tblPrEx>
        <w:trPr>
          <w:trHeight w:val="90" w:hRule="atLeast"/>
        </w:trPr>
        <w:tc>
          <w:tcPr>
            <w:tcW w:w="410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highlight w:val="none"/>
              </w:rPr>
            </w:pPr>
            <w:r>
              <w:rPr>
                <w:rFonts w:hint="eastAsia" w:ascii="宋体" w:hAnsi="宋体" w:eastAsia="宋体" w:cs="宋体"/>
                <w:b/>
                <w:bCs/>
                <w:kern w:val="0"/>
                <w:sz w:val="22"/>
                <w:highlight w:val="none"/>
              </w:rPr>
              <w:t>总计</w:t>
            </w:r>
          </w:p>
        </w:tc>
        <w:tc>
          <w:tcPr>
            <w:tcW w:w="51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14</w:t>
            </w:r>
          </w:p>
        </w:tc>
        <w:tc>
          <w:tcPr>
            <w:tcW w:w="172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29,073,791.62</w:t>
            </w:r>
          </w:p>
        </w:tc>
        <w:tc>
          <w:tcPr>
            <w:tcW w:w="296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highlight w:val="none"/>
              </w:rPr>
            </w:pPr>
            <w:r>
              <w:rPr>
                <w:rFonts w:hint="eastAsia" w:ascii="宋体" w:hAnsi="宋体" w:eastAsia="宋体" w:cs="宋体"/>
                <w:b/>
                <w:bCs/>
                <w:kern w:val="0"/>
                <w:sz w:val="22"/>
                <w:highlight w:val="none"/>
              </w:rPr>
              <w:t>总计</w:t>
            </w:r>
          </w:p>
        </w:tc>
        <w:tc>
          <w:tcPr>
            <w:tcW w:w="64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28</w:t>
            </w:r>
          </w:p>
        </w:tc>
        <w:tc>
          <w:tcPr>
            <w:tcW w:w="1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29,073,791.62</w:t>
            </w:r>
          </w:p>
        </w:tc>
        <w:tc>
          <w:tcPr>
            <w:tcW w:w="171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bidi="ar"/>
              </w:rPr>
              <w:t>29,073,791.62</w:t>
            </w:r>
          </w:p>
        </w:tc>
        <w:tc>
          <w:tcPr>
            <w:tcW w:w="9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highlight w:val="none"/>
              </w:rPr>
            </w:pPr>
            <w:r>
              <w:rPr>
                <w:rFonts w:hint="eastAsia" w:ascii="宋体" w:hAnsi="宋体" w:eastAsia="宋体" w:cs="宋体"/>
                <w:b/>
                <w:bCs/>
                <w:kern w:val="0"/>
                <w:sz w:val="22"/>
                <w:highlight w:val="none"/>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highlight w:val="none"/>
              </w:rPr>
            </w:pPr>
            <w:r>
              <w:rPr>
                <w:rFonts w:hint="eastAsia" w:ascii="宋体" w:hAnsi="宋体" w:eastAsia="宋体" w:cs="宋体"/>
                <w:b/>
                <w:bCs/>
                <w:kern w:val="0"/>
                <w:sz w:val="22"/>
                <w:highlight w:val="none"/>
              </w:rPr>
              <w:t>　</w:t>
            </w:r>
          </w:p>
        </w:tc>
      </w:tr>
      <w:tr>
        <w:tblPrEx>
          <w:tblCellMar>
            <w:top w:w="0" w:type="dxa"/>
            <w:left w:w="108" w:type="dxa"/>
            <w:bottom w:w="0" w:type="dxa"/>
            <w:right w:w="108" w:type="dxa"/>
          </w:tblCellMar>
        </w:tblPrEx>
        <w:trPr>
          <w:trHeight w:val="90" w:hRule="atLeast"/>
        </w:trPr>
        <w:tc>
          <w:tcPr>
            <w:tcW w:w="15435" w:type="dxa"/>
            <w:gridSpan w:val="10"/>
            <w:tcBorders>
              <w:top w:val="nil"/>
              <w:left w:val="nil"/>
              <w:bottom w:val="nil"/>
              <w:right w:val="nil"/>
            </w:tcBorders>
            <w:shd w:val="clear" w:color="auto" w:fill="auto"/>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注：本表反映部门本年度一般公共预算财政拨款、政府性基金预算财政拨款和国有资本经营预算财政拨款的总收支和年末结转结余情况。</w:t>
            </w:r>
          </w:p>
        </w:tc>
      </w:tr>
    </w:tbl>
    <w:p>
      <w:pPr>
        <w:widowControl/>
        <w:jc w:val="both"/>
        <w:rPr>
          <w:rFonts w:ascii="Times New Roman" w:hAnsi="Times New Roman" w:eastAsia="方正小标宋_GBK" w:cs="Times New Roman"/>
          <w:kern w:val="0"/>
          <w:sz w:val="36"/>
          <w:szCs w:val="36"/>
          <w:highlight w:val="none"/>
        </w:rPr>
      </w:pPr>
    </w:p>
    <w:p>
      <w:pPr>
        <w:widowControl/>
        <w:jc w:val="center"/>
        <w:rPr>
          <w:rFonts w:ascii="Times New Roman" w:hAnsi="Times New Roman" w:eastAsia="方正小标宋_GBK" w:cs="Times New Roman"/>
          <w:kern w:val="0"/>
          <w:sz w:val="36"/>
          <w:szCs w:val="36"/>
          <w:highlight w:val="none"/>
        </w:rPr>
      </w:pPr>
      <w:r>
        <w:rPr>
          <w:rFonts w:ascii="Times New Roman" w:hAnsi="Times New Roman" w:eastAsia="方正小标宋_GBK" w:cs="Times New Roman"/>
          <w:kern w:val="0"/>
          <w:sz w:val="36"/>
          <w:szCs w:val="36"/>
          <w:highlight w:val="none"/>
        </w:rPr>
        <w:t>一般公共预算财政拨款支出决算表</w:t>
      </w:r>
      <w:bookmarkEnd w:id="1"/>
    </w:p>
    <w:p>
      <w:pPr>
        <w:widowControl/>
        <w:spacing w:before="156" w:beforeLines="50"/>
        <w:jc w:val="left"/>
        <w:rPr>
          <w:rFonts w:ascii="Times New Roman" w:hAnsi="Times New Roman" w:eastAsia="宋体" w:cs="Times New Roman"/>
          <w:color w:val="000000"/>
          <w:kern w:val="0"/>
          <w:sz w:val="20"/>
          <w:szCs w:val="20"/>
          <w:highlight w:val="none"/>
        </w:rPr>
      </w:pPr>
      <w:r>
        <w:rPr>
          <w:rFonts w:hint="eastAsia" w:ascii="Times New Roman" w:hAnsi="Times New Roman" w:eastAsia="仿宋_GB2312" w:cs="Times New Roman"/>
          <w:color w:val="000000"/>
          <w:kern w:val="0"/>
          <w:szCs w:val="21"/>
          <w:highlight w:val="none"/>
        </w:rPr>
        <w:t xml:space="preserve">     </w:t>
      </w:r>
      <w:r>
        <w:rPr>
          <w:rFonts w:ascii="Times New Roman" w:hAnsi="Times New Roman" w:eastAsia="仿宋_GB2312" w:cs="Times New Roman"/>
          <w:color w:val="000000"/>
          <w:kern w:val="0"/>
          <w:szCs w:val="21"/>
          <w:highlight w:val="none"/>
        </w:rPr>
        <w:t>部门：</w:t>
      </w:r>
      <w:r>
        <w:rPr>
          <w:rFonts w:hint="eastAsia"/>
          <w:highlight w:val="none"/>
          <w:lang w:eastAsia="zh-CN"/>
        </w:rPr>
        <w:t>湘乡市住房和城乡建设局</w:t>
      </w:r>
      <w:r>
        <w:rPr>
          <w:rFonts w:hint="eastAsia"/>
          <w:highlight w:val="none"/>
        </w:rPr>
        <w:t>　</w:t>
      </w:r>
      <w:r>
        <w:rPr>
          <w:rFonts w:ascii="Times New Roman" w:hAnsi="Times New Roman" w:eastAsia="仿宋_GB2312" w:cs="Times New Roman"/>
          <w:color w:val="000000"/>
          <w:kern w:val="0"/>
          <w:szCs w:val="21"/>
          <w:highlight w:val="none"/>
        </w:rPr>
        <w:t xml:space="preserve">                   </w:t>
      </w:r>
      <w:r>
        <w:rPr>
          <w:rFonts w:hint="eastAsia" w:ascii="Times New Roman" w:hAnsi="Times New Roman" w:eastAsia="仿宋_GB2312" w:cs="Times New Roman"/>
          <w:color w:val="000000"/>
          <w:kern w:val="0"/>
          <w:szCs w:val="21"/>
          <w:highlight w:val="none"/>
        </w:rPr>
        <w:t xml:space="preserve">                                          </w:t>
      </w:r>
      <w:r>
        <w:rPr>
          <w:rFonts w:ascii="Times New Roman" w:hAnsi="Times New Roman" w:eastAsia="仿宋_GB2312" w:cs="Times New Roman"/>
          <w:color w:val="000000"/>
          <w:kern w:val="0"/>
          <w:szCs w:val="21"/>
          <w:highlight w:val="none"/>
        </w:rPr>
        <w:t xml:space="preserve">             公开05表</w:t>
      </w:r>
      <w:r>
        <w:rPr>
          <w:rFonts w:hint="eastAsia" w:ascii="Times New Roman" w:hAnsi="Times New Roman" w:eastAsia="仿宋_GB2312" w:cs="Times New Roman"/>
          <w:color w:val="000000"/>
          <w:kern w:val="0"/>
          <w:szCs w:val="21"/>
          <w:highlight w:val="none"/>
          <w:lang w:val="en-US" w:eastAsia="zh-CN"/>
        </w:rPr>
        <w:t xml:space="preserve">            </w:t>
      </w:r>
      <w:r>
        <w:rPr>
          <w:rFonts w:ascii="Times New Roman" w:hAnsi="Times New Roman" w:eastAsia="仿宋_GB2312" w:cs="Times New Roman"/>
          <w:color w:val="000000"/>
          <w:kern w:val="0"/>
          <w:szCs w:val="21"/>
          <w:highlight w:val="none"/>
        </w:rPr>
        <w:t>单位：万元</w:t>
      </w:r>
    </w:p>
    <w:tbl>
      <w:tblPr>
        <w:tblStyle w:val="11"/>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highlight w:val="none"/>
              </w:rPr>
            </w:pPr>
            <w:r>
              <w:rPr>
                <w:rFonts w:ascii="Times New Roman" w:hAnsi="Times New Roman" w:eastAsia="仿宋_GB2312" w:cs="Times New Roman"/>
                <w:b/>
                <w:kern w:val="0"/>
                <w:szCs w:val="21"/>
                <w:highlight w:val="none"/>
              </w:rPr>
              <w:t xml:space="preserve">项 </w:t>
            </w:r>
            <w:r>
              <w:rPr>
                <w:rFonts w:ascii="Times New Roman" w:hAnsi="Times New Roman" w:eastAsia="仿宋_GB2312" w:cs="Times New Roman"/>
                <w:b/>
                <w:color w:val="000000"/>
                <w:kern w:val="0"/>
                <w:szCs w:val="21"/>
                <w:highlight w:val="none"/>
              </w:rPr>
              <w:t xml:space="preserve">   </w:t>
            </w:r>
            <w:r>
              <w:rPr>
                <w:rFonts w:ascii="Times New Roman" w:hAnsi="Times New Roman" w:eastAsia="仿宋_GB2312" w:cs="Times New Roman"/>
                <w:b/>
                <w:kern w:val="0"/>
                <w:szCs w:val="21"/>
                <w:highlight w:val="none"/>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highlight w:val="none"/>
              </w:rPr>
            </w:pPr>
            <w:r>
              <w:rPr>
                <w:rFonts w:ascii="Times New Roman" w:hAnsi="Times New Roman" w:eastAsia="仿宋_GB2312" w:cs="Times New Roman"/>
                <w:b/>
                <w:kern w:val="0"/>
                <w:szCs w:val="21"/>
                <w:highlight w:val="none"/>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highlight w:val="none"/>
              </w:rPr>
            </w:pPr>
            <w:r>
              <w:rPr>
                <w:rFonts w:ascii="Times New Roman" w:hAnsi="Times New Roman" w:eastAsia="仿宋_GB2312" w:cs="Times New Roman"/>
                <w:b/>
                <w:kern w:val="0"/>
                <w:szCs w:val="21"/>
                <w:highlight w:val="none"/>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highlight w:val="none"/>
              </w:rPr>
            </w:pPr>
            <w:r>
              <w:rPr>
                <w:rFonts w:ascii="Times New Roman" w:hAnsi="Times New Roman" w:eastAsia="仿宋_GB2312" w:cs="Times New Roman"/>
                <w:b/>
                <w:kern w:val="0"/>
                <w:szCs w:val="21"/>
                <w:highlight w:val="none"/>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highlight w:val="none"/>
              </w:rPr>
            </w:pPr>
            <w:r>
              <w:rPr>
                <w:rFonts w:ascii="Times New Roman" w:hAnsi="Times New Roman" w:eastAsia="仿宋_GB2312" w:cs="Times New Roman"/>
                <w:b/>
                <w:kern w:val="0"/>
                <w:szCs w:val="21"/>
                <w:highlight w:val="none"/>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highlight w:val="none"/>
              </w:rPr>
            </w:pPr>
            <w:r>
              <w:rPr>
                <w:rFonts w:ascii="Times New Roman" w:hAnsi="Times New Roman" w:eastAsia="仿宋_GB2312" w:cs="Times New Roman"/>
                <w:b/>
                <w:kern w:val="0"/>
                <w:szCs w:val="21"/>
                <w:highlight w:val="none"/>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highlight w:val="none"/>
              </w:rPr>
            </w:pPr>
            <w:r>
              <w:rPr>
                <w:rFonts w:ascii="Times New Roman" w:hAnsi="Times New Roman" w:eastAsia="仿宋_GB2312" w:cs="Times New Roman"/>
                <w:b/>
                <w:kern w:val="0"/>
                <w:szCs w:val="21"/>
                <w:highlight w:val="none"/>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highlight w:val="none"/>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highlight w:val="none"/>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highlight w:val="none"/>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highlight w:val="none"/>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highlight w:val="none"/>
              </w:rPr>
            </w:pPr>
          </w:p>
        </w:tc>
      </w:tr>
      <w:tr>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highlight w:val="none"/>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highlight w:val="none"/>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highlight w:val="none"/>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highlight w:val="none"/>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highlight w:val="none"/>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合计</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b/>
                <w:bCs/>
                <w:i w:val="0"/>
                <w:iCs w:val="0"/>
                <w:color w:val="000000"/>
                <w:kern w:val="0"/>
                <w:sz w:val="22"/>
                <w:szCs w:val="22"/>
                <w:highlight w:val="none"/>
                <w:u w:val="none"/>
                <w:lang w:val="en-US" w:eastAsia="zh-CN" w:bidi="ar"/>
              </w:rPr>
              <w:t>29,073,791.62</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b/>
                <w:bCs/>
                <w:i w:val="0"/>
                <w:iCs w:val="0"/>
                <w:color w:val="000000"/>
                <w:kern w:val="0"/>
                <w:sz w:val="22"/>
                <w:szCs w:val="22"/>
                <w:highlight w:val="none"/>
                <w:u w:val="none"/>
                <w:lang w:val="en-US" w:eastAsia="zh-CN" w:bidi="ar"/>
              </w:rPr>
              <w:t>15,627,343.23</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b/>
                <w:bCs/>
                <w:i w:val="0"/>
                <w:iCs w:val="0"/>
                <w:color w:val="000000"/>
                <w:kern w:val="0"/>
                <w:sz w:val="22"/>
                <w:szCs w:val="22"/>
                <w:highlight w:val="none"/>
                <w:u w:val="none"/>
                <w:lang w:val="en-US" w:eastAsia="zh-CN" w:bidi="ar"/>
              </w:rPr>
              <w:t>13,446,448.39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一般公共服务支出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304,273.00</w:t>
            </w:r>
          </w:p>
        </w:tc>
        <w:tc>
          <w:tcPr>
            <w:tcW w:w="3492"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kern w:val="0"/>
                <w:szCs w:val="21"/>
                <w:highlight w:val="none"/>
              </w:rPr>
            </w:pP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304,273.00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20103</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政府办公厅（室）及相关机构事务</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304,273.00</w:t>
            </w:r>
          </w:p>
        </w:tc>
        <w:tc>
          <w:tcPr>
            <w:tcW w:w="3492"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kern w:val="0"/>
                <w:szCs w:val="21"/>
                <w:highlight w:val="none"/>
              </w:rPr>
            </w:pP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304,273.00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2010308</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信访事务</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304,273.00</w:t>
            </w:r>
          </w:p>
        </w:tc>
        <w:tc>
          <w:tcPr>
            <w:tcW w:w="3492"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kern w:val="0"/>
                <w:szCs w:val="21"/>
                <w:highlight w:val="none"/>
              </w:rPr>
            </w:pP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304,273.00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208</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社会保障和就业支出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1,944,831.50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1,944,831.50</w:t>
            </w:r>
          </w:p>
        </w:tc>
        <w:tc>
          <w:tcPr>
            <w:tcW w:w="3000" w:type="dxa"/>
            <w:tcBorders>
              <w:top w:val="nil"/>
              <w:left w:val="nil"/>
              <w:bottom w:val="single" w:color="auto" w:sz="4" w:space="0"/>
              <w:right w:val="single" w:color="auto" w:sz="8" w:space="0"/>
            </w:tcBorders>
            <w:shd w:val="clear" w:color="auto" w:fill="auto"/>
            <w:vAlign w:val="center"/>
          </w:tcPr>
          <w:p>
            <w:pPr>
              <w:jc w:val="right"/>
              <w:rPr>
                <w:rFonts w:ascii="Times New Roman" w:hAnsi="Times New Roman" w:eastAsia="仿宋_GB2312" w:cs="Times New Roman"/>
                <w:kern w:val="0"/>
                <w:szCs w:val="21"/>
                <w:highlight w:val="none"/>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20805</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行政事业单位养老支出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1,213,453.91</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1,213,453.91</w:t>
            </w:r>
          </w:p>
        </w:tc>
        <w:tc>
          <w:tcPr>
            <w:tcW w:w="3000" w:type="dxa"/>
            <w:tcBorders>
              <w:top w:val="nil"/>
              <w:left w:val="nil"/>
              <w:bottom w:val="single" w:color="auto" w:sz="4" w:space="0"/>
              <w:right w:val="single" w:color="auto" w:sz="8" w:space="0"/>
            </w:tcBorders>
            <w:shd w:val="clear" w:color="auto" w:fill="auto"/>
            <w:vAlign w:val="center"/>
          </w:tcPr>
          <w:p>
            <w:pPr>
              <w:jc w:val="right"/>
              <w:rPr>
                <w:rFonts w:ascii="Times New Roman" w:hAnsi="Times New Roman" w:eastAsia="仿宋_GB2312" w:cs="Times New Roman"/>
                <w:kern w:val="0"/>
                <w:szCs w:val="21"/>
                <w:highlight w:val="none"/>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2080501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行政单位离退休</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81,423.83</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81,423.83</w:t>
            </w:r>
          </w:p>
        </w:tc>
        <w:tc>
          <w:tcPr>
            <w:tcW w:w="3000" w:type="dxa"/>
            <w:tcBorders>
              <w:top w:val="nil"/>
              <w:left w:val="nil"/>
              <w:bottom w:val="single" w:color="auto" w:sz="8" w:space="0"/>
              <w:right w:val="single" w:color="auto" w:sz="8" w:space="0"/>
            </w:tcBorders>
            <w:shd w:val="clear" w:color="auto" w:fill="auto"/>
            <w:vAlign w:val="center"/>
          </w:tcPr>
          <w:p>
            <w:pPr>
              <w:jc w:val="right"/>
              <w:rPr>
                <w:rFonts w:ascii="Times New Roman" w:hAnsi="Times New Roman" w:eastAsia="仿宋_GB2312" w:cs="Times New Roman"/>
                <w:kern w:val="0"/>
                <w:szCs w:val="21"/>
                <w:highlight w:val="none"/>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2080505</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机关事业单位基本养老保险缴费支出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1,132,030.08</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1,132,030.08</w:t>
            </w:r>
          </w:p>
        </w:tc>
        <w:tc>
          <w:tcPr>
            <w:tcW w:w="3000" w:type="dxa"/>
            <w:tcBorders>
              <w:top w:val="nil"/>
              <w:left w:val="nil"/>
              <w:bottom w:val="single" w:color="auto" w:sz="8" w:space="0"/>
              <w:right w:val="single" w:color="auto" w:sz="8" w:space="0"/>
            </w:tcBorders>
            <w:shd w:val="clear" w:color="auto" w:fill="auto"/>
            <w:vAlign w:val="center"/>
          </w:tcPr>
          <w:p>
            <w:pPr>
              <w:jc w:val="right"/>
              <w:rPr>
                <w:rFonts w:ascii="Times New Roman" w:hAnsi="Times New Roman" w:eastAsia="仿宋_GB2312" w:cs="Times New Roman"/>
                <w:kern w:val="0"/>
                <w:szCs w:val="21"/>
                <w:highlight w:val="none"/>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20808</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抚恤</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447,886.00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447,886.00</w:t>
            </w:r>
          </w:p>
        </w:tc>
        <w:tc>
          <w:tcPr>
            <w:tcW w:w="3000" w:type="dxa"/>
            <w:tcBorders>
              <w:top w:val="nil"/>
              <w:left w:val="nil"/>
              <w:bottom w:val="single" w:color="auto" w:sz="8" w:space="0"/>
              <w:right w:val="single" w:color="auto" w:sz="8" w:space="0"/>
            </w:tcBorders>
            <w:shd w:val="clear" w:color="auto" w:fill="auto"/>
            <w:vAlign w:val="center"/>
          </w:tcPr>
          <w:p>
            <w:pPr>
              <w:jc w:val="right"/>
              <w:rPr>
                <w:rFonts w:ascii="Times New Roman" w:hAnsi="Times New Roman" w:eastAsia="仿宋_GB2312" w:cs="Times New Roman"/>
                <w:kern w:val="0"/>
                <w:szCs w:val="21"/>
                <w:highlight w:val="none"/>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2080801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死亡抚恤</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447,886.00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447,886.00</w:t>
            </w:r>
          </w:p>
        </w:tc>
        <w:tc>
          <w:tcPr>
            <w:tcW w:w="3000" w:type="dxa"/>
            <w:tcBorders>
              <w:top w:val="nil"/>
              <w:left w:val="nil"/>
              <w:bottom w:val="single" w:color="auto" w:sz="8" w:space="0"/>
              <w:right w:val="single" w:color="auto" w:sz="8" w:space="0"/>
            </w:tcBorders>
            <w:shd w:val="clear" w:color="auto" w:fill="auto"/>
            <w:vAlign w:val="center"/>
          </w:tcPr>
          <w:p>
            <w:pPr>
              <w:jc w:val="right"/>
              <w:rPr>
                <w:rFonts w:ascii="Times New Roman" w:hAnsi="Times New Roman" w:eastAsia="仿宋_GB2312" w:cs="Times New Roman"/>
                <w:kern w:val="0"/>
                <w:szCs w:val="21"/>
                <w:highlight w:val="none"/>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20825</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其他生活救助</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40,000.00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40,000.00</w:t>
            </w:r>
          </w:p>
        </w:tc>
        <w:tc>
          <w:tcPr>
            <w:tcW w:w="3000" w:type="dxa"/>
            <w:tcBorders>
              <w:top w:val="nil"/>
              <w:left w:val="nil"/>
              <w:bottom w:val="single" w:color="auto" w:sz="8" w:space="0"/>
              <w:right w:val="single" w:color="auto" w:sz="8" w:space="0"/>
            </w:tcBorders>
            <w:shd w:val="clear" w:color="auto" w:fill="auto"/>
            <w:vAlign w:val="center"/>
          </w:tcPr>
          <w:p>
            <w:pPr>
              <w:jc w:val="right"/>
              <w:rPr>
                <w:rFonts w:ascii="Times New Roman" w:hAnsi="Times New Roman" w:eastAsia="仿宋_GB2312" w:cs="Times New Roman"/>
                <w:kern w:val="0"/>
                <w:szCs w:val="21"/>
                <w:highlight w:val="none"/>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2082501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其他城市生活救助</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40,000.00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40,000.00</w:t>
            </w:r>
          </w:p>
        </w:tc>
        <w:tc>
          <w:tcPr>
            <w:tcW w:w="3000" w:type="dxa"/>
            <w:tcBorders>
              <w:top w:val="nil"/>
              <w:left w:val="nil"/>
              <w:bottom w:val="single" w:color="auto" w:sz="8" w:space="0"/>
              <w:right w:val="single" w:color="auto" w:sz="8" w:space="0"/>
            </w:tcBorders>
            <w:shd w:val="clear" w:color="auto" w:fill="auto"/>
            <w:vAlign w:val="center"/>
          </w:tcPr>
          <w:p>
            <w:pPr>
              <w:jc w:val="right"/>
              <w:rPr>
                <w:rFonts w:ascii="Times New Roman" w:hAnsi="Times New Roman" w:eastAsia="仿宋_GB2312" w:cs="Times New Roman"/>
                <w:kern w:val="0"/>
                <w:szCs w:val="21"/>
                <w:highlight w:val="none"/>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20899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其他社会保障和就业支出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243,491.59</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243,491.59</w:t>
            </w:r>
          </w:p>
        </w:tc>
        <w:tc>
          <w:tcPr>
            <w:tcW w:w="3000" w:type="dxa"/>
            <w:tcBorders>
              <w:top w:val="nil"/>
              <w:left w:val="nil"/>
              <w:bottom w:val="single" w:color="auto" w:sz="8" w:space="0"/>
              <w:right w:val="single" w:color="auto" w:sz="8" w:space="0"/>
            </w:tcBorders>
            <w:shd w:val="clear" w:color="auto" w:fill="auto"/>
            <w:vAlign w:val="center"/>
          </w:tcPr>
          <w:p>
            <w:pPr>
              <w:jc w:val="right"/>
              <w:rPr>
                <w:rFonts w:ascii="Times New Roman" w:hAnsi="Times New Roman" w:eastAsia="仿宋_GB2312" w:cs="Times New Roman"/>
                <w:kern w:val="0"/>
                <w:szCs w:val="21"/>
                <w:highlight w:val="none"/>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2089999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其他社会保障和就业支出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243,491.59</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243,491.59</w:t>
            </w:r>
          </w:p>
        </w:tc>
        <w:tc>
          <w:tcPr>
            <w:tcW w:w="3000" w:type="dxa"/>
            <w:tcBorders>
              <w:top w:val="nil"/>
              <w:left w:val="nil"/>
              <w:bottom w:val="single" w:color="auto" w:sz="8" w:space="0"/>
              <w:right w:val="single" w:color="auto" w:sz="8" w:space="0"/>
            </w:tcBorders>
            <w:shd w:val="clear" w:color="auto" w:fill="auto"/>
            <w:vAlign w:val="center"/>
          </w:tcPr>
          <w:p>
            <w:pPr>
              <w:jc w:val="right"/>
              <w:rPr>
                <w:rFonts w:ascii="Times New Roman" w:hAnsi="Times New Roman" w:eastAsia="仿宋_GB2312" w:cs="Times New Roman"/>
                <w:kern w:val="0"/>
                <w:szCs w:val="21"/>
                <w:highlight w:val="none"/>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210</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卫生健康支出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601,390.98</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601,390.98</w:t>
            </w:r>
          </w:p>
        </w:tc>
        <w:tc>
          <w:tcPr>
            <w:tcW w:w="3000" w:type="dxa"/>
            <w:tcBorders>
              <w:top w:val="nil"/>
              <w:left w:val="nil"/>
              <w:bottom w:val="single" w:color="auto" w:sz="8" w:space="0"/>
              <w:right w:val="single" w:color="auto" w:sz="8" w:space="0"/>
            </w:tcBorders>
            <w:shd w:val="clear" w:color="auto" w:fill="auto"/>
            <w:vAlign w:val="center"/>
          </w:tcPr>
          <w:p>
            <w:pPr>
              <w:jc w:val="right"/>
              <w:rPr>
                <w:rFonts w:ascii="Times New Roman" w:hAnsi="Times New Roman" w:eastAsia="仿宋_GB2312" w:cs="Times New Roman"/>
                <w:kern w:val="0"/>
                <w:szCs w:val="21"/>
                <w:highlight w:val="none"/>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21011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行政事业单位医疗</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601,390.98</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601,390.98</w:t>
            </w:r>
          </w:p>
        </w:tc>
        <w:tc>
          <w:tcPr>
            <w:tcW w:w="3000" w:type="dxa"/>
            <w:tcBorders>
              <w:top w:val="nil"/>
              <w:left w:val="nil"/>
              <w:bottom w:val="single" w:color="auto" w:sz="8" w:space="0"/>
              <w:right w:val="single" w:color="auto" w:sz="8" w:space="0"/>
            </w:tcBorders>
            <w:shd w:val="clear" w:color="auto" w:fill="auto"/>
            <w:vAlign w:val="center"/>
          </w:tcPr>
          <w:p>
            <w:pPr>
              <w:jc w:val="right"/>
              <w:rPr>
                <w:rFonts w:ascii="Times New Roman" w:hAnsi="Times New Roman" w:eastAsia="仿宋_GB2312" w:cs="Times New Roman"/>
                <w:kern w:val="0"/>
                <w:szCs w:val="21"/>
                <w:highlight w:val="none"/>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2101101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行政单位医疗</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601,390.98</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601,390.98</w:t>
            </w:r>
          </w:p>
        </w:tc>
        <w:tc>
          <w:tcPr>
            <w:tcW w:w="3000" w:type="dxa"/>
            <w:tcBorders>
              <w:top w:val="nil"/>
              <w:left w:val="nil"/>
              <w:bottom w:val="single" w:color="auto" w:sz="8" w:space="0"/>
              <w:right w:val="single" w:color="auto" w:sz="8" w:space="0"/>
            </w:tcBorders>
            <w:shd w:val="clear" w:color="auto" w:fill="auto"/>
            <w:vAlign w:val="center"/>
          </w:tcPr>
          <w:p>
            <w:pPr>
              <w:jc w:val="right"/>
              <w:rPr>
                <w:rFonts w:ascii="Times New Roman" w:hAnsi="Times New Roman" w:eastAsia="仿宋_GB2312" w:cs="Times New Roman"/>
                <w:kern w:val="0"/>
                <w:szCs w:val="21"/>
                <w:highlight w:val="none"/>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211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节能环保支出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2,000,000.00</w:t>
            </w:r>
          </w:p>
        </w:tc>
        <w:tc>
          <w:tcPr>
            <w:tcW w:w="3492" w:type="dxa"/>
            <w:tcBorders>
              <w:top w:val="nil"/>
              <w:left w:val="nil"/>
              <w:bottom w:val="single" w:color="auto" w:sz="8" w:space="0"/>
              <w:right w:val="single" w:color="auto" w:sz="4" w:space="0"/>
            </w:tcBorders>
            <w:shd w:val="clear" w:color="auto" w:fill="auto"/>
            <w:vAlign w:val="center"/>
          </w:tcPr>
          <w:p>
            <w:pPr>
              <w:jc w:val="right"/>
              <w:rPr>
                <w:rFonts w:ascii="Times New Roman" w:hAnsi="Times New Roman" w:eastAsia="仿宋_GB2312" w:cs="Times New Roman"/>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2,000,000.00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21103</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污染防治</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2,000,000.00</w:t>
            </w:r>
          </w:p>
        </w:tc>
        <w:tc>
          <w:tcPr>
            <w:tcW w:w="3492" w:type="dxa"/>
            <w:tcBorders>
              <w:top w:val="nil"/>
              <w:left w:val="nil"/>
              <w:bottom w:val="single" w:color="auto" w:sz="8" w:space="0"/>
              <w:right w:val="single" w:color="auto" w:sz="4" w:space="0"/>
            </w:tcBorders>
            <w:shd w:val="clear" w:color="auto" w:fill="auto"/>
            <w:vAlign w:val="center"/>
          </w:tcPr>
          <w:p>
            <w:pPr>
              <w:jc w:val="right"/>
              <w:rPr>
                <w:rFonts w:ascii="Times New Roman" w:hAnsi="Times New Roman" w:eastAsia="仿宋_GB2312" w:cs="Times New Roman"/>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2,000,000.00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2110302</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水体</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2,000,000.00</w:t>
            </w:r>
          </w:p>
        </w:tc>
        <w:tc>
          <w:tcPr>
            <w:tcW w:w="3492" w:type="dxa"/>
            <w:tcBorders>
              <w:top w:val="nil"/>
              <w:left w:val="nil"/>
              <w:bottom w:val="single" w:color="auto" w:sz="8" w:space="0"/>
              <w:right w:val="single" w:color="auto" w:sz="4" w:space="0"/>
            </w:tcBorders>
            <w:shd w:val="clear" w:color="auto" w:fill="auto"/>
            <w:vAlign w:val="center"/>
          </w:tcPr>
          <w:p>
            <w:pPr>
              <w:jc w:val="right"/>
              <w:rPr>
                <w:rFonts w:ascii="Times New Roman" w:hAnsi="Times New Roman" w:eastAsia="仿宋_GB2312" w:cs="Times New Roman"/>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2,000,000.00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212</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城乡社区支出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23,208,440.18</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12,066,264.79</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11,142,175.39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21201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城乡社区管理事务</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16,251,127.39</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11,211,952.00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5,039,175.39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2120101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行政运行</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9,894,918.36</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9,894,918.36</w:t>
            </w:r>
          </w:p>
        </w:tc>
        <w:tc>
          <w:tcPr>
            <w:tcW w:w="3000" w:type="dxa"/>
            <w:tcBorders>
              <w:top w:val="nil"/>
              <w:left w:val="nil"/>
              <w:bottom w:val="single" w:color="auto" w:sz="8" w:space="0"/>
              <w:right w:val="single" w:color="auto" w:sz="8" w:space="0"/>
            </w:tcBorders>
            <w:shd w:val="clear" w:color="auto" w:fill="auto"/>
            <w:vAlign w:val="center"/>
          </w:tcPr>
          <w:p>
            <w:pPr>
              <w:jc w:val="right"/>
              <w:rPr>
                <w:rFonts w:ascii="Times New Roman" w:hAnsi="Times New Roman" w:eastAsia="仿宋_GB2312" w:cs="Times New Roman"/>
                <w:kern w:val="0"/>
                <w:szCs w:val="21"/>
                <w:highlight w:val="none"/>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2120106</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工程建设管理</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685,542.00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685,542.00</w:t>
            </w:r>
          </w:p>
        </w:tc>
        <w:tc>
          <w:tcPr>
            <w:tcW w:w="3000" w:type="dxa"/>
            <w:tcBorders>
              <w:top w:val="nil"/>
              <w:left w:val="nil"/>
              <w:bottom w:val="single" w:color="auto" w:sz="8" w:space="0"/>
              <w:right w:val="single" w:color="auto" w:sz="8" w:space="0"/>
            </w:tcBorders>
            <w:shd w:val="clear" w:color="auto" w:fill="auto"/>
            <w:vAlign w:val="center"/>
          </w:tcPr>
          <w:p>
            <w:pPr>
              <w:jc w:val="right"/>
              <w:rPr>
                <w:rFonts w:ascii="Times New Roman" w:hAnsi="Times New Roman" w:eastAsia="仿宋_GB2312" w:cs="Times New Roman"/>
                <w:kern w:val="0"/>
                <w:szCs w:val="21"/>
                <w:highlight w:val="none"/>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2120109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住宅建设与房地产市场监管</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487,545.50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487,545.50</w:t>
            </w:r>
          </w:p>
        </w:tc>
        <w:tc>
          <w:tcPr>
            <w:tcW w:w="3000" w:type="dxa"/>
            <w:tcBorders>
              <w:top w:val="nil"/>
              <w:left w:val="nil"/>
              <w:bottom w:val="single" w:color="auto" w:sz="8" w:space="0"/>
              <w:right w:val="single" w:color="auto" w:sz="8" w:space="0"/>
            </w:tcBorders>
            <w:shd w:val="clear" w:color="auto" w:fill="auto"/>
            <w:vAlign w:val="center"/>
          </w:tcPr>
          <w:p>
            <w:pPr>
              <w:jc w:val="right"/>
              <w:rPr>
                <w:rFonts w:ascii="Times New Roman" w:hAnsi="Times New Roman" w:eastAsia="仿宋_GB2312" w:cs="Times New Roman"/>
                <w:kern w:val="0"/>
                <w:szCs w:val="21"/>
                <w:highlight w:val="none"/>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2120199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其他城乡社区管理事务支出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5,183,121.53</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143,946.14</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5,039,175.39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21203</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城乡社区公共设施</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6,103,000.00</w:t>
            </w:r>
          </w:p>
        </w:tc>
        <w:tc>
          <w:tcPr>
            <w:tcW w:w="3492" w:type="dxa"/>
            <w:tcBorders>
              <w:top w:val="nil"/>
              <w:left w:val="nil"/>
              <w:bottom w:val="single" w:color="auto" w:sz="8" w:space="0"/>
              <w:right w:val="single" w:color="auto" w:sz="4" w:space="0"/>
            </w:tcBorders>
            <w:shd w:val="clear" w:color="auto" w:fill="auto"/>
            <w:vAlign w:val="center"/>
          </w:tcPr>
          <w:p>
            <w:pPr>
              <w:jc w:val="right"/>
              <w:rPr>
                <w:rFonts w:ascii="Times New Roman" w:hAnsi="Times New Roman" w:eastAsia="仿宋_GB2312" w:cs="Times New Roman"/>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6,103,000.00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2120303</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小城镇基础设施建设</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6,103,000.00</w:t>
            </w:r>
          </w:p>
        </w:tc>
        <w:tc>
          <w:tcPr>
            <w:tcW w:w="3492" w:type="dxa"/>
            <w:tcBorders>
              <w:top w:val="nil"/>
              <w:left w:val="nil"/>
              <w:bottom w:val="single" w:color="auto" w:sz="8" w:space="0"/>
              <w:right w:val="single" w:color="auto" w:sz="4" w:space="0"/>
            </w:tcBorders>
            <w:shd w:val="clear" w:color="auto" w:fill="auto"/>
            <w:vAlign w:val="center"/>
          </w:tcPr>
          <w:p>
            <w:pPr>
              <w:jc w:val="right"/>
              <w:rPr>
                <w:rFonts w:ascii="Times New Roman" w:hAnsi="Times New Roman" w:eastAsia="仿宋_GB2312" w:cs="Times New Roman"/>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6,103,000.00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21206</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建设市场管理与监督</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841,255.71</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841,255.71</w:t>
            </w:r>
          </w:p>
        </w:tc>
        <w:tc>
          <w:tcPr>
            <w:tcW w:w="3000" w:type="dxa"/>
            <w:tcBorders>
              <w:top w:val="nil"/>
              <w:left w:val="nil"/>
              <w:bottom w:val="single" w:color="auto" w:sz="8" w:space="0"/>
              <w:right w:val="single" w:color="auto" w:sz="8" w:space="0"/>
            </w:tcBorders>
            <w:shd w:val="clear" w:color="auto" w:fill="auto"/>
            <w:vAlign w:val="center"/>
          </w:tcPr>
          <w:p>
            <w:pPr>
              <w:jc w:val="right"/>
              <w:rPr>
                <w:rFonts w:ascii="Times New Roman" w:hAnsi="Times New Roman" w:eastAsia="仿宋_GB2312" w:cs="Times New Roman"/>
                <w:kern w:val="0"/>
                <w:szCs w:val="21"/>
                <w:highlight w:val="none"/>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2120601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建设市场管理与监督</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841,255.71</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841,255.71</w:t>
            </w:r>
          </w:p>
        </w:tc>
        <w:tc>
          <w:tcPr>
            <w:tcW w:w="3000" w:type="dxa"/>
            <w:tcBorders>
              <w:top w:val="nil"/>
              <w:left w:val="nil"/>
              <w:bottom w:val="single" w:color="auto" w:sz="8" w:space="0"/>
              <w:right w:val="single" w:color="auto" w:sz="8" w:space="0"/>
            </w:tcBorders>
            <w:shd w:val="clear" w:color="auto" w:fill="auto"/>
            <w:vAlign w:val="center"/>
          </w:tcPr>
          <w:p>
            <w:pPr>
              <w:jc w:val="right"/>
              <w:rPr>
                <w:rFonts w:ascii="Times New Roman" w:hAnsi="Times New Roman" w:eastAsia="仿宋_GB2312" w:cs="Times New Roman"/>
                <w:kern w:val="0"/>
                <w:szCs w:val="21"/>
                <w:highlight w:val="none"/>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21299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其他城乡社区支出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13,057.08</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13,057.08</w:t>
            </w:r>
          </w:p>
        </w:tc>
        <w:tc>
          <w:tcPr>
            <w:tcW w:w="3000" w:type="dxa"/>
            <w:tcBorders>
              <w:top w:val="nil"/>
              <w:left w:val="nil"/>
              <w:bottom w:val="single" w:color="auto" w:sz="8" w:space="0"/>
              <w:right w:val="single" w:color="auto" w:sz="8" w:space="0"/>
            </w:tcBorders>
            <w:shd w:val="clear" w:color="auto" w:fill="auto"/>
            <w:vAlign w:val="center"/>
          </w:tcPr>
          <w:p>
            <w:pPr>
              <w:jc w:val="right"/>
              <w:rPr>
                <w:rFonts w:ascii="Times New Roman" w:hAnsi="Times New Roman" w:eastAsia="仿宋_GB2312" w:cs="Times New Roman"/>
                <w:kern w:val="0"/>
                <w:szCs w:val="21"/>
                <w:highlight w:val="none"/>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2129999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其他城乡社区支出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13,057.08</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13,057.08</w:t>
            </w:r>
          </w:p>
        </w:tc>
        <w:tc>
          <w:tcPr>
            <w:tcW w:w="3000" w:type="dxa"/>
            <w:tcBorders>
              <w:top w:val="nil"/>
              <w:left w:val="nil"/>
              <w:bottom w:val="single" w:color="auto" w:sz="8" w:space="0"/>
              <w:right w:val="single" w:color="auto" w:sz="8" w:space="0"/>
            </w:tcBorders>
            <w:shd w:val="clear" w:color="auto" w:fill="auto"/>
            <w:vAlign w:val="center"/>
          </w:tcPr>
          <w:p>
            <w:pPr>
              <w:jc w:val="right"/>
              <w:rPr>
                <w:rFonts w:ascii="Times New Roman" w:hAnsi="Times New Roman" w:eastAsia="仿宋_GB2312" w:cs="Times New Roman"/>
                <w:kern w:val="0"/>
                <w:szCs w:val="21"/>
                <w:highlight w:val="none"/>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221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住房保障支出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1,014,855.96</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1,014,855.96</w:t>
            </w:r>
          </w:p>
        </w:tc>
        <w:tc>
          <w:tcPr>
            <w:tcW w:w="3000" w:type="dxa"/>
            <w:tcBorders>
              <w:top w:val="nil"/>
              <w:left w:val="nil"/>
              <w:bottom w:val="single" w:color="auto" w:sz="8" w:space="0"/>
              <w:right w:val="single" w:color="auto" w:sz="8" w:space="0"/>
            </w:tcBorders>
            <w:shd w:val="clear" w:color="auto" w:fill="auto"/>
            <w:vAlign w:val="center"/>
          </w:tcPr>
          <w:p>
            <w:pPr>
              <w:jc w:val="right"/>
              <w:rPr>
                <w:rFonts w:ascii="Times New Roman" w:hAnsi="Times New Roman" w:eastAsia="仿宋_GB2312" w:cs="Times New Roman"/>
                <w:kern w:val="0"/>
                <w:szCs w:val="21"/>
                <w:highlight w:val="none"/>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22102</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住房改革支出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1,014,855.96</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1,014,855.96</w:t>
            </w:r>
          </w:p>
        </w:tc>
        <w:tc>
          <w:tcPr>
            <w:tcW w:w="3000" w:type="dxa"/>
            <w:tcBorders>
              <w:top w:val="nil"/>
              <w:left w:val="nil"/>
              <w:bottom w:val="single" w:color="auto" w:sz="8" w:space="0"/>
              <w:right w:val="single" w:color="auto" w:sz="8" w:space="0"/>
            </w:tcBorders>
            <w:shd w:val="clear" w:color="auto" w:fill="auto"/>
            <w:vAlign w:val="center"/>
          </w:tcPr>
          <w:p>
            <w:pPr>
              <w:jc w:val="right"/>
              <w:rPr>
                <w:rFonts w:ascii="Times New Roman" w:hAnsi="Times New Roman" w:eastAsia="仿宋_GB2312" w:cs="Times New Roman"/>
                <w:kern w:val="0"/>
                <w:szCs w:val="21"/>
                <w:highlight w:val="none"/>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2210201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  住房公积金</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1,014,855.96</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1,014,855.96</w:t>
            </w:r>
          </w:p>
        </w:tc>
        <w:tc>
          <w:tcPr>
            <w:tcW w:w="3000" w:type="dxa"/>
            <w:tcBorders>
              <w:top w:val="nil"/>
              <w:left w:val="nil"/>
              <w:bottom w:val="single" w:color="auto" w:sz="8" w:space="0"/>
              <w:right w:val="single" w:color="auto" w:sz="8" w:space="0"/>
            </w:tcBorders>
            <w:shd w:val="clear" w:color="auto" w:fill="auto"/>
            <w:vAlign w:val="center"/>
          </w:tcPr>
          <w:p>
            <w:pPr>
              <w:jc w:val="right"/>
              <w:rPr>
                <w:rFonts w:ascii="Times New Roman" w:hAnsi="Times New Roman" w:eastAsia="仿宋_GB2312" w:cs="Times New Roman"/>
                <w:kern w:val="0"/>
                <w:szCs w:val="21"/>
                <w:highlight w:val="none"/>
              </w:rPr>
            </w:pP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注：本表反映部门本年度一般公共预算财政拨款支出情况。</w:t>
            </w:r>
          </w:p>
        </w:tc>
      </w:tr>
    </w:tbl>
    <w:p>
      <w:pPr>
        <w:widowControl/>
        <w:jc w:val="left"/>
        <w:rPr>
          <w:rFonts w:ascii="Times New Roman" w:hAnsi="Times New Roman" w:eastAsia="仿宋_GB2312" w:cs="Times New Roman"/>
          <w:bCs/>
          <w:kern w:val="0"/>
          <w:szCs w:val="21"/>
          <w:highlight w:val="none"/>
        </w:rPr>
      </w:pPr>
    </w:p>
    <w:p>
      <w:pPr>
        <w:widowControl/>
        <w:jc w:val="left"/>
        <w:rPr>
          <w:rFonts w:ascii="Times New Roman" w:hAnsi="Times New Roman" w:eastAsia="仿宋_GB2312" w:cs="Times New Roman"/>
          <w:bCs/>
          <w:kern w:val="0"/>
          <w:szCs w:val="21"/>
          <w:highlight w:val="none"/>
        </w:rPr>
      </w:pPr>
      <w:r>
        <w:rPr>
          <w:rFonts w:ascii="Times New Roman" w:hAnsi="Times New Roman" w:eastAsia="仿宋_GB2312" w:cs="Times New Roman"/>
          <w:bCs/>
          <w:kern w:val="0"/>
          <w:szCs w:val="21"/>
          <w:highlight w:val="none"/>
        </w:rPr>
        <w:br w:type="page"/>
      </w:r>
    </w:p>
    <w:tbl>
      <w:tblPr>
        <w:tblStyle w:val="11"/>
        <w:tblW w:w="0" w:type="auto"/>
        <w:tblInd w:w="0" w:type="dxa"/>
        <w:tblLayout w:type="fixed"/>
        <w:tblCellMar>
          <w:top w:w="0" w:type="dxa"/>
          <w:left w:w="108" w:type="dxa"/>
          <w:bottom w:w="0" w:type="dxa"/>
          <w:right w:w="108" w:type="dxa"/>
        </w:tblCellMar>
      </w:tblPr>
      <w:tblGrid>
        <w:gridCol w:w="801"/>
        <w:gridCol w:w="3396"/>
        <w:gridCol w:w="1704"/>
        <w:gridCol w:w="768"/>
        <w:gridCol w:w="2364"/>
        <w:gridCol w:w="1512"/>
        <w:gridCol w:w="660"/>
        <w:gridCol w:w="2748"/>
        <w:gridCol w:w="1661"/>
      </w:tblGrid>
      <w:tr>
        <w:trPr>
          <w:trHeight w:val="684" w:hRule="atLeast"/>
        </w:trPr>
        <w:tc>
          <w:tcPr>
            <w:tcW w:w="15614"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highlight w:val="none"/>
              </w:rPr>
            </w:pPr>
            <w:bookmarkStart w:id="2" w:name="RANGE!A1:I34"/>
            <w:r>
              <w:rPr>
                <w:rFonts w:hint="eastAsia" w:ascii="华文中宋" w:hAnsi="华文中宋" w:eastAsia="华文中宋" w:cs="宋体"/>
                <w:color w:val="000000"/>
                <w:kern w:val="0"/>
                <w:szCs w:val="32"/>
                <w:highlight w:val="none"/>
              </w:rPr>
              <w:t>一般公共预算财政拨款基本支出决算明细表</w:t>
            </w:r>
            <w:bookmarkEnd w:id="2"/>
          </w:p>
          <w:p>
            <w:pPr>
              <w:widowControl/>
              <w:wordWrap w:val="0"/>
              <w:jc w:val="right"/>
              <w:rPr>
                <w:rFonts w:ascii="华文中宋" w:hAnsi="华文中宋" w:eastAsia="华文中宋" w:cs="宋体"/>
                <w:color w:val="000000"/>
                <w:kern w:val="0"/>
                <w:szCs w:val="32"/>
                <w:highlight w:val="none"/>
              </w:rPr>
            </w:pPr>
            <w:r>
              <w:rPr>
                <w:rFonts w:hint="eastAsia" w:ascii="Times New Roman" w:hAnsi="Times New Roman" w:eastAsia="仿宋_GB2312" w:cs="Times New Roman"/>
                <w:color w:val="000000"/>
                <w:kern w:val="0"/>
                <w:szCs w:val="21"/>
                <w:highlight w:val="none"/>
              </w:rPr>
              <w:t xml:space="preserve">  </w:t>
            </w:r>
            <w:r>
              <w:rPr>
                <w:rFonts w:ascii="Times New Roman" w:hAnsi="Times New Roman" w:eastAsia="仿宋_GB2312" w:cs="Times New Roman"/>
                <w:color w:val="000000"/>
                <w:kern w:val="0"/>
                <w:szCs w:val="21"/>
                <w:highlight w:val="none"/>
              </w:rPr>
              <w:t>部门：</w:t>
            </w:r>
            <w:r>
              <w:rPr>
                <w:rFonts w:hint="eastAsia"/>
                <w:highlight w:val="none"/>
                <w:lang w:eastAsia="zh-CN"/>
              </w:rPr>
              <w:t>湘乡市住房和城乡建设局</w:t>
            </w:r>
            <w:r>
              <w:rPr>
                <w:rFonts w:hint="eastAsia"/>
                <w:highlight w:val="none"/>
              </w:rPr>
              <w:t>　</w:t>
            </w:r>
            <w:r>
              <w:rPr>
                <w:rFonts w:ascii="Times New Roman" w:hAnsi="Times New Roman" w:eastAsia="仿宋_GB2312" w:cs="Times New Roman"/>
                <w:color w:val="000000"/>
                <w:kern w:val="0"/>
                <w:szCs w:val="21"/>
                <w:highlight w:val="none"/>
              </w:rPr>
              <w:t xml:space="preserve"> </w:t>
            </w:r>
            <w:r>
              <w:rPr>
                <w:rFonts w:hint="eastAsia" w:ascii="Times New Roman" w:hAnsi="Times New Roman" w:eastAsia="仿宋_GB2312" w:cs="Times New Roman"/>
                <w:color w:val="000000"/>
                <w:kern w:val="0"/>
                <w:szCs w:val="21"/>
                <w:highlight w:val="none"/>
              </w:rPr>
              <w:t xml:space="preserve">                                                                               公开06表</w:t>
            </w:r>
            <w:r>
              <w:rPr>
                <w:rFonts w:hint="eastAsia" w:ascii="Times New Roman" w:hAnsi="Times New Roman" w:eastAsia="仿宋_GB2312" w:cs="Times New Roman"/>
                <w:color w:val="000000"/>
                <w:kern w:val="0"/>
                <w:szCs w:val="21"/>
                <w:highlight w:val="none"/>
                <w:lang w:val="en-US" w:eastAsia="zh-CN"/>
              </w:rPr>
              <w:t xml:space="preserve">               </w:t>
            </w:r>
            <w:r>
              <w:rPr>
                <w:rFonts w:hint="eastAsia" w:ascii="Times New Roman" w:hAnsi="Times New Roman" w:eastAsia="仿宋_GB2312" w:cs="Times New Roman"/>
                <w:color w:val="000000"/>
                <w:kern w:val="0"/>
                <w:szCs w:val="21"/>
                <w:highlight w:val="none"/>
              </w:rPr>
              <w:t>单位：万元</w:t>
            </w:r>
          </w:p>
        </w:tc>
      </w:tr>
      <w:tr>
        <w:tblPrEx>
          <w:tblCellMar>
            <w:top w:w="0" w:type="dxa"/>
            <w:left w:w="108" w:type="dxa"/>
            <w:bottom w:w="0" w:type="dxa"/>
            <w:right w:w="108" w:type="dxa"/>
          </w:tblCellMar>
        </w:tblPrEx>
        <w:trPr>
          <w:trHeight w:val="1166" w:hRule="atLeast"/>
        </w:trPr>
        <w:tc>
          <w:tcPr>
            <w:tcW w:w="8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highlight w:val="none"/>
              </w:rPr>
            </w:pPr>
            <w:r>
              <w:rPr>
                <w:rFonts w:hint="eastAsia" w:ascii="宋体" w:hAnsi="宋体" w:eastAsia="宋体" w:cs="宋体"/>
                <w:color w:val="000000"/>
                <w:kern w:val="0"/>
                <w:sz w:val="20"/>
                <w:szCs w:val="20"/>
                <w:highlight w:val="none"/>
              </w:rPr>
              <w:t>经济分类科目编码</w:t>
            </w:r>
          </w:p>
        </w:tc>
        <w:tc>
          <w:tcPr>
            <w:tcW w:w="339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科目名称</w:t>
            </w:r>
          </w:p>
        </w:tc>
        <w:tc>
          <w:tcPr>
            <w:tcW w:w="170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决算数</w:t>
            </w:r>
          </w:p>
        </w:tc>
        <w:tc>
          <w:tcPr>
            <w:tcW w:w="76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经济分类科目编码</w:t>
            </w:r>
          </w:p>
        </w:tc>
        <w:tc>
          <w:tcPr>
            <w:tcW w:w="236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科目名称</w:t>
            </w:r>
          </w:p>
        </w:tc>
        <w:tc>
          <w:tcPr>
            <w:tcW w:w="151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决算数</w:t>
            </w:r>
          </w:p>
        </w:tc>
        <w:tc>
          <w:tcPr>
            <w:tcW w:w="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经济分类科目编码</w:t>
            </w:r>
          </w:p>
        </w:tc>
        <w:tc>
          <w:tcPr>
            <w:tcW w:w="274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科目名称</w:t>
            </w:r>
          </w:p>
        </w:tc>
        <w:tc>
          <w:tcPr>
            <w:tcW w:w="166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决算数</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301</w:t>
            </w:r>
          </w:p>
        </w:tc>
        <w:tc>
          <w:tcPr>
            <w:tcW w:w="33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工资福利支出</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12,691,289.03</w:t>
            </w:r>
          </w:p>
        </w:tc>
        <w:tc>
          <w:tcPr>
            <w:tcW w:w="76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302</w:t>
            </w:r>
          </w:p>
        </w:tc>
        <w:tc>
          <w:tcPr>
            <w:tcW w:w="23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商品和服务支出</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1,992,637.74</w:t>
            </w:r>
          </w:p>
        </w:tc>
        <w:tc>
          <w:tcPr>
            <w:tcW w:w="6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307</w:t>
            </w:r>
          </w:p>
        </w:tc>
        <w:tc>
          <w:tcPr>
            <w:tcW w:w="27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债务利息及费用支出</w:t>
            </w:r>
          </w:p>
        </w:tc>
        <w:tc>
          <w:tcPr>
            <w:tcW w:w="16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30101</w:t>
            </w:r>
          </w:p>
        </w:tc>
        <w:tc>
          <w:tcPr>
            <w:tcW w:w="33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基本工资</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4,740,008.81</w:t>
            </w:r>
          </w:p>
        </w:tc>
        <w:tc>
          <w:tcPr>
            <w:tcW w:w="76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30201</w:t>
            </w:r>
          </w:p>
        </w:tc>
        <w:tc>
          <w:tcPr>
            <w:tcW w:w="23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办公费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257,203.22</w:t>
            </w:r>
          </w:p>
        </w:tc>
        <w:tc>
          <w:tcPr>
            <w:tcW w:w="6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30701</w:t>
            </w:r>
          </w:p>
        </w:tc>
        <w:tc>
          <w:tcPr>
            <w:tcW w:w="27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国内债务付息</w:t>
            </w:r>
          </w:p>
        </w:tc>
        <w:tc>
          <w:tcPr>
            <w:tcW w:w="16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30102</w:t>
            </w:r>
          </w:p>
        </w:tc>
        <w:tc>
          <w:tcPr>
            <w:tcW w:w="33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津贴补贴</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1,960,528.00</w:t>
            </w:r>
          </w:p>
        </w:tc>
        <w:tc>
          <w:tcPr>
            <w:tcW w:w="76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30202</w:t>
            </w:r>
          </w:p>
        </w:tc>
        <w:tc>
          <w:tcPr>
            <w:tcW w:w="23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印刷费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26,950.00</w:t>
            </w:r>
          </w:p>
        </w:tc>
        <w:tc>
          <w:tcPr>
            <w:tcW w:w="6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30702</w:t>
            </w:r>
          </w:p>
        </w:tc>
        <w:tc>
          <w:tcPr>
            <w:tcW w:w="27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国外债务付息</w:t>
            </w:r>
          </w:p>
        </w:tc>
        <w:tc>
          <w:tcPr>
            <w:tcW w:w="16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r>
      <w:tr>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30103</w:t>
            </w:r>
          </w:p>
        </w:tc>
        <w:tc>
          <w:tcPr>
            <w:tcW w:w="33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奖金</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1,310,247.00</w:t>
            </w:r>
          </w:p>
        </w:tc>
        <w:tc>
          <w:tcPr>
            <w:tcW w:w="76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30203</w:t>
            </w:r>
          </w:p>
        </w:tc>
        <w:tc>
          <w:tcPr>
            <w:tcW w:w="23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咨询费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9,000.00</w:t>
            </w:r>
          </w:p>
        </w:tc>
        <w:tc>
          <w:tcPr>
            <w:tcW w:w="6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310</w:t>
            </w:r>
          </w:p>
        </w:tc>
        <w:tc>
          <w:tcPr>
            <w:tcW w:w="27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资本性支出</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143,946.14</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30106</w:t>
            </w:r>
          </w:p>
        </w:tc>
        <w:tc>
          <w:tcPr>
            <w:tcW w:w="33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伙食补助费</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739,108.24</w:t>
            </w:r>
          </w:p>
        </w:tc>
        <w:tc>
          <w:tcPr>
            <w:tcW w:w="76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30204</w:t>
            </w:r>
          </w:p>
        </w:tc>
        <w:tc>
          <w:tcPr>
            <w:tcW w:w="23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手续费</w:t>
            </w:r>
          </w:p>
        </w:tc>
        <w:tc>
          <w:tcPr>
            <w:tcW w:w="151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c>
          <w:tcPr>
            <w:tcW w:w="6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31001</w:t>
            </w:r>
          </w:p>
        </w:tc>
        <w:tc>
          <w:tcPr>
            <w:tcW w:w="27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房屋建筑物购建</w:t>
            </w:r>
          </w:p>
        </w:tc>
        <w:tc>
          <w:tcPr>
            <w:tcW w:w="16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30107</w:t>
            </w:r>
          </w:p>
        </w:tc>
        <w:tc>
          <w:tcPr>
            <w:tcW w:w="33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绩效工资</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717,843.00</w:t>
            </w:r>
          </w:p>
        </w:tc>
        <w:tc>
          <w:tcPr>
            <w:tcW w:w="76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30205</w:t>
            </w:r>
          </w:p>
        </w:tc>
        <w:tc>
          <w:tcPr>
            <w:tcW w:w="23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水费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15,531.00</w:t>
            </w:r>
          </w:p>
        </w:tc>
        <w:tc>
          <w:tcPr>
            <w:tcW w:w="6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31002</w:t>
            </w:r>
          </w:p>
        </w:tc>
        <w:tc>
          <w:tcPr>
            <w:tcW w:w="27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办公设备购置</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143,946.14</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30108</w:t>
            </w:r>
          </w:p>
        </w:tc>
        <w:tc>
          <w:tcPr>
            <w:tcW w:w="33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机关事业单位基本养老保险缴费</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1,158,831.36</w:t>
            </w:r>
          </w:p>
        </w:tc>
        <w:tc>
          <w:tcPr>
            <w:tcW w:w="76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30206</w:t>
            </w:r>
          </w:p>
        </w:tc>
        <w:tc>
          <w:tcPr>
            <w:tcW w:w="23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电费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105,511.79</w:t>
            </w:r>
          </w:p>
        </w:tc>
        <w:tc>
          <w:tcPr>
            <w:tcW w:w="6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31003</w:t>
            </w:r>
          </w:p>
        </w:tc>
        <w:tc>
          <w:tcPr>
            <w:tcW w:w="27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专用设备购置</w:t>
            </w:r>
          </w:p>
        </w:tc>
        <w:tc>
          <w:tcPr>
            <w:tcW w:w="16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30109</w:t>
            </w:r>
          </w:p>
        </w:tc>
        <w:tc>
          <w:tcPr>
            <w:tcW w:w="33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职业年金缴费</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44,009.17</w:t>
            </w:r>
          </w:p>
        </w:tc>
        <w:tc>
          <w:tcPr>
            <w:tcW w:w="76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30207</w:t>
            </w:r>
          </w:p>
        </w:tc>
        <w:tc>
          <w:tcPr>
            <w:tcW w:w="23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邮电费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90,085.32</w:t>
            </w:r>
          </w:p>
        </w:tc>
        <w:tc>
          <w:tcPr>
            <w:tcW w:w="6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31005</w:t>
            </w:r>
          </w:p>
        </w:tc>
        <w:tc>
          <w:tcPr>
            <w:tcW w:w="27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基础设施建设</w:t>
            </w:r>
          </w:p>
        </w:tc>
        <w:tc>
          <w:tcPr>
            <w:tcW w:w="16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30110</w:t>
            </w:r>
          </w:p>
        </w:tc>
        <w:tc>
          <w:tcPr>
            <w:tcW w:w="33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职工基本医疗保险缴费</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649,273.83</w:t>
            </w:r>
          </w:p>
        </w:tc>
        <w:tc>
          <w:tcPr>
            <w:tcW w:w="76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30208</w:t>
            </w:r>
          </w:p>
        </w:tc>
        <w:tc>
          <w:tcPr>
            <w:tcW w:w="23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取暖费</w:t>
            </w:r>
          </w:p>
        </w:tc>
        <w:tc>
          <w:tcPr>
            <w:tcW w:w="151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c>
          <w:tcPr>
            <w:tcW w:w="6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31006</w:t>
            </w:r>
          </w:p>
        </w:tc>
        <w:tc>
          <w:tcPr>
            <w:tcW w:w="27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大型修缮</w:t>
            </w:r>
          </w:p>
        </w:tc>
        <w:tc>
          <w:tcPr>
            <w:tcW w:w="16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30111</w:t>
            </w:r>
          </w:p>
        </w:tc>
        <w:tc>
          <w:tcPr>
            <w:tcW w:w="33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公务员医疗补助缴费</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232,733.95</w:t>
            </w:r>
          </w:p>
        </w:tc>
        <w:tc>
          <w:tcPr>
            <w:tcW w:w="76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30209</w:t>
            </w:r>
          </w:p>
        </w:tc>
        <w:tc>
          <w:tcPr>
            <w:tcW w:w="23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物业管理费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224,000.00</w:t>
            </w:r>
          </w:p>
        </w:tc>
        <w:tc>
          <w:tcPr>
            <w:tcW w:w="6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31007</w:t>
            </w:r>
          </w:p>
        </w:tc>
        <w:tc>
          <w:tcPr>
            <w:tcW w:w="27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信息网络及软件购置更新</w:t>
            </w:r>
          </w:p>
        </w:tc>
        <w:tc>
          <w:tcPr>
            <w:tcW w:w="16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30112</w:t>
            </w:r>
          </w:p>
        </w:tc>
        <w:tc>
          <w:tcPr>
            <w:tcW w:w="33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其他社会保障缴费</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99,442.67</w:t>
            </w:r>
          </w:p>
        </w:tc>
        <w:tc>
          <w:tcPr>
            <w:tcW w:w="76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30211</w:t>
            </w:r>
          </w:p>
        </w:tc>
        <w:tc>
          <w:tcPr>
            <w:tcW w:w="23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差旅费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46,152.75</w:t>
            </w:r>
          </w:p>
        </w:tc>
        <w:tc>
          <w:tcPr>
            <w:tcW w:w="6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31008</w:t>
            </w:r>
          </w:p>
        </w:tc>
        <w:tc>
          <w:tcPr>
            <w:tcW w:w="27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物资储备</w:t>
            </w:r>
          </w:p>
        </w:tc>
        <w:tc>
          <w:tcPr>
            <w:tcW w:w="16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30113</w:t>
            </w:r>
          </w:p>
        </w:tc>
        <w:tc>
          <w:tcPr>
            <w:tcW w:w="33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住房公积金</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1,027,893.00</w:t>
            </w:r>
          </w:p>
        </w:tc>
        <w:tc>
          <w:tcPr>
            <w:tcW w:w="76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30212</w:t>
            </w:r>
          </w:p>
        </w:tc>
        <w:tc>
          <w:tcPr>
            <w:tcW w:w="23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因公出国（境）费用</w:t>
            </w:r>
          </w:p>
        </w:tc>
        <w:tc>
          <w:tcPr>
            <w:tcW w:w="151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c>
          <w:tcPr>
            <w:tcW w:w="6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31009</w:t>
            </w:r>
          </w:p>
        </w:tc>
        <w:tc>
          <w:tcPr>
            <w:tcW w:w="27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土地补偿</w:t>
            </w:r>
          </w:p>
        </w:tc>
        <w:tc>
          <w:tcPr>
            <w:tcW w:w="16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30114</w:t>
            </w:r>
          </w:p>
        </w:tc>
        <w:tc>
          <w:tcPr>
            <w:tcW w:w="33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医疗费</w:t>
            </w:r>
          </w:p>
        </w:tc>
        <w:tc>
          <w:tcPr>
            <w:tcW w:w="170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c>
          <w:tcPr>
            <w:tcW w:w="76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30213</w:t>
            </w:r>
          </w:p>
        </w:tc>
        <w:tc>
          <w:tcPr>
            <w:tcW w:w="23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维修（护）费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64,629.00</w:t>
            </w:r>
          </w:p>
        </w:tc>
        <w:tc>
          <w:tcPr>
            <w:tcW w:w="6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31010</w:t>
            </w:r>
          </w:p>
        </w:tc>
        <w:tc>
          <w:tcPr>
            <w:tcW w:w="27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安置补助</w:t>
            </w:r>
          </w:p>
        </w:tc>
        <w:tc>
          <w:tcPr>
            <w:tcW w:w="16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30199</w:t>
            </w:r>
          </w:p>
        </w:tc>
        <w:tc>
          <w:tcPr>
            <w:tcW w:w="33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其他工资福利支出</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11,370.00</w:t>
            </w:r>
          </w:p>
        </w:tc>
        <w:tc>
          <w:tcPr>
            <w:tcW w:w="76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30214</w:t>
            </w:r>
          </w:p>
        </w:tc>
        <w:tc>
          <w:tcPr>
            <w:tcW w:w="23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租赁费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20,736.00</w:t>
            </w:r>
          </w:p>
        </w:tc>
        <w:tc>
          <w:tcPr>
            <w:tcW w:w="6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31011</w:t>
            </w:r>
          </w:p>
        </w:tc>
        <w:tc>
          <w:tcPr>
            <w:tcW w:w="27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地上附着物和青苗补偿</w:t>
            </w:r>
          </w:p>
        </w:tc>
        <w:tc>
          <w:tcPr>
            <w:tcW w:w="16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303</w:t>
            </w:r>
          </w:p>
        </w:tc>
        <w:tc>
          <w:tcPr>
            <w:tcW w:w="33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对个人和家庭的补助</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799,470.32</w:t>
            </w:r>
          </w:p>
        </w:tc>
        <w:tc>
          <w:tcPr>
            <w:tcW w:w="76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30215</w:t>
            </w:r>
          </w:p>
        </w:tc>
        <w:tc>
          <w:tcPr>
            <w:tcW w:w="23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会议费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8,175.00</w:t>
            </w:r>
          </w:p>
        </w:tc>
        <w:tc>
          <w:tcPr>
            <w:tcW w:w="6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31012</w:t>
            </w:r>
          </w:p>
        </w:tc>
        <w:tc>
          <w:tcPr>
            <w:tcW w:w="27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拆迁补偿</w:t>
            </w:r>
          </w:p>
        </w:tc>
        <w:tc>
          <w:tcPr>
            <w:tcW w:w="16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30301</w:t>
            </w:r>
          </w:p>
        </w:tc>
        <w:tc>
          <w:tcPr>
            <w:tcW w:w="33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离休费</w:t>
            </w:r>
          </w:p>
        </w:tc>
        <w:tc>
          <w:tcPr>
            <w:tcW w:w="170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c>
          <w:tcPr>
            <w:tcW w:w="76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30216</w:t>
            </w:r>
          </w:p>
        </w:tc>
        <w:tc>
          <w:tcPr>
            <w:tcW w:w="23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培训费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22,192.00</w:t>
            </w:r>
          </w:p>
        </w:tc>
        <w:tc>
          <w:tcPr>
            <w:tcW w:w="6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31013</w:t>
            </w:r>
          </w:p>
        </w:tc>
        <w:tc>
          <w:tcPr>
            <w:tcW w:w="27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公务用车购置</w:t>
            </w:r>
          </w:p>
        </w:tc>
        <w:tc>
          <w:tcPr>
            <w:tcW w:w="16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30302</w:t>
            </w:r>
          </w:p>
        </w:tc>
        <w:tc>
          <w:tcPr>
            <w:tcW w:w="33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退休费</w:t>
            </w:r>
          </w:p>
        </w:tc>
        <w:tc>
          <w:tcPr>
            <w:tcW w:w="170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c>
          <w:tcPr>
            <w:tcW w:w="76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30217</w:t>
            </w:r>
          </w:p>
        </w:tc>
        <w:tc>
          <w:tcPr>
            <w:tcW w:w="23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公务接待费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2,160.00</w:t>
            </w:r>
          </w:p>
        </w:tc>
        <w:tc>
          <w:tcPr>
            <w:tcW w:w="6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31019</w:t>
            </w:r>
          </w:p>
        </w:tc>
        <w:tc>
          <w:tcPr>
            <w:tcW w:w="27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其他交通工具购置</w:t>
            </w:r>
          </w:p>
        </w:tc>
        <w:tc>
          <w:tcPr>
            <w:tcW w:w="16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30303</w:t>
            </w:r>
          </w:p>
        </w:tc>
        <w:tc>
          <w:tcPr>
            <w:tcW w:w="33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退职（役）费</w:t>
            </w:r>
          </w:p>
        </w:tc>
        <w:tc>
          <w:tcPr>
            <w:tcW w:w="170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c>
          <w:tcPr>
            <w:tcW w:w="76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30218</w:t>
            </w:r>
          </w:p>
        </w:tc>
        <w:tc>
          <w:tcPr>
            <w:tcW w:w="23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专用材料费</w:t>
            </w:r>
          </w:p>
        </w:tc>
        <w:tc>
          <w:tcPr>
            <w:tcW w:w="151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c>
          <w:tcPr>
            <w:tcW w:w="6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31021</w:t>
            </w:r>
          </w:p>
        </w:tc>
        <w:tc>
          <w:tcPr>
            <w:tcW w:w="27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文物和陈列品购置</w:t>
            </w:r>
          </w:p>
        </w:tc>
        <w:tc>
          <w:tcPr>
            <w:tcW w:w="16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30304</w:t>
            </w:r>
          </w:p>
        </w:tc>
        <w:tc>
          <w:tcPr>
            <w:tcW w:w="33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抚恤金</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447,886.00</w:t>
            </w:r>
          </w:p>
        </w:tc>
        <w:tc>
          <w:tcPr>
            <w:tcW w:w="76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30224</w:t>
            </w:r>
          </w:p>
        </w:tc>
        <w:tc>
          <w:tcPr>
            <w:tcW w:w="23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被装购置费</w:t>
            </w:r>
          </w:p>
        </w:tc>
        <w:tc>
          <w:tcPr>
            <w:tcW w:w="151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c>
          <w:tcPr>
            <w:tcW w:w="6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31022</w:t>
            </w:r>
          </w:p>
        </w:tc>
        <w:tc>
          <w:tcPr>
            <w:tcW w:w="27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无形资产购置</w:t>
            </w:r>
          </w:p>
        </w:tc>
        <w:tc>
          <w:tcPr>
            <w:tcW w:w="16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30305</w:t>
            </w:r>
          </w:p>
        </w:tc>
        <w:tc>
          <w:tcPr>
            <w:tcW w:w="33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生活补助</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311,584.32</w:t>
            </w:r>
          </w:p>
        </w:tc>
        <w:tc>
          <w:tcPr>
            <w:tcW w:w="76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30225</w:t>
            </w:r>
          </w:p>
        </w:tc>
        <w:tc>
          <w:tcPr>
            <w:tcW w:w="23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专用燃料费</w:t>
            </w:r>
          </w:p>
        </w:tc>
        <w:tc>
          <w:tcPr>
            <w:tcW w:w="151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c>
          <w:tcPr>
            <w:tcW w:w="6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31099</w:t>
            </w:r>
          </w:p>
        </w:tc>
        <w:tc>
          <w:tcPr>
            <w:tcW w:w="27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其他资本性支出</w:t>
            </w:r>
          </w:p>
        </w:tc>
        <w:tc>
          <w:tcPr>
            <w:tcW w:w="16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30306</w:t>
            </w:r>
          </w:p>
        </w:tc>
        <w:tc>
          <w:tcPr>
            <w:tcW w:w="33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救济费</w:t>
            </w:r>
          </w:p>
        </w:tc>
        <w:tc>
          <w:tcPr>
            <w:tcW w:w="170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c>
          <w:tcPr>
            <w:tcW w:w="76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30226</w:t>
            </w:r>
          </w:p>
        </w:tc>
        <w:tc>
          <w:tcPr>
            <w:tcW w:w="23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劳务费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3,720.00</w:t>
            </w:r>
          </w:p>
        </w:tc>
        <w:tc>
          <w:tcPr>
            <w:tcW w:w="6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399</w:t>
            </w:r>
          </w:p>
        </w:tc>
        <w:tc>
          <w:tcPr>
            <w:tcW w:w="27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其他支出</w:t>
            </w:r>
          </w:p>
        </w:tc>
        <w:tc>
          <w:tcPr>
            <w:tcW w:w="16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30307</w:t>
            </w:r>
          </w:p>
        </w:tc>
        <w:tc>
          <w:tcPr>
            <w:tcW w:w="33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医疗费补助</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40,000.00</w:t>
            </w:r>
          </w:p>
        </w:tc>
        <w:tc>
          <w:tcPr>
            <w:tcW w:w="76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30227</w:t>
            </w:r>
          </w:p>
        </w:tc>
        <w:tc>
          <w:tcPr>
            <w:tcW w:w="23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委托业务费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21,000.00</w:t>
            </w:r>
          </w:p>
        </w:tc>
        <w:tc>
          <w:tcPr>
            <w:tcW w:w="6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39906</w:t>
            </w:r>
          </w:p>
        </w:tc>
        <w:tc>
          <w:tcPr>
            <w:tcW w:w="27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赠与</w:t>
            </w:r>
          </w:p>
        </w:tc>
        <w:tc>
          <w:tcPr>
            <w:tcW w:w="16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30308</w:t>
            </w:r>
          </w:p>
        </w:tc>
        <w:tc>
          <w:tcPr>
            <w:tcW w:w="33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助学金</w:t>
            </w:r>
          </w:p>
        </w:tc>
        <w:tc>
          <w:tcPr>
            <w:tcW w:w="170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c>
          <w:tcPr>
            <w:tcW w:w="76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30228</w:t>
            </w:r>
          </w:p>
        </w:tc>
        <w:tc>
          <w:tcPr>
            <w:tcW w:w="23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工会经费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484,000.00</w:t>
            </w:r>
          </w:p>
        </w:tc>
        <w:tc>
          <w:tcPr>
            <w:tcW w:w="6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39907</w:t>
            </w:r>
          </w:p>
        </w:tc>
        <w:tc>
          <w:tcPr>
            <w:tcW w:w="27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国家赔偿费用支出</w:t>
            </w:r>
          </w:p>
        </w:tc>
        <w:tc>
          <w:tcPr>
            <w:tcW w:w="16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30309</w:t>
            </w:r>
          </w:p>
        </w:tc>
        <w:tc>
          <w:tcPr>
            <w:tcW w:w="33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奖励金</w:t>
            </w:r>
          </w:p>
        </w:tc>
        <w:tc>
          <w:tcPr>
            <w:tcW w:w="170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c>
          <w:tcPr>
            <w:tcW w:w="76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30229</w:t>
            </w:r>
          </w:p>
        </w:tc>
        <w:tc>
          <w:tcPr>
            <w:tcW w:w="23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福利费</w:t>
            </w:r>
          </w:p>
        </w:tc>
        <w:tc>
          <w:tcPr>
            <w:tcW w:w="151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c>
          <w:tcPr>
            <w:tcW w:w="6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39908</w:t>
            </w:r>
          </w:p>
        </w:tc>
        <w:tc>
          <w:tcPr>
            <w:tcW w:w="27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对民间非营利组织和群众性自治组织补贴</w:t>
            </w:r>
          </w:p>
        </w:tc>
        <w:tc>
          <w:tcPr>
            <w:tcW w:w="16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30310</w:t>
            </w:r>
          </w:p>
        </w:tc>
        <w:tc>
          <w:tcPr>
            <w:tcW w:w="33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个人农业生产补贴</w:t>
            </w:r>
          </w:p>
        </w:tc>
        <w:tc>
          <w:tcPr>
            <w:tcW w:w="170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c>
          <w:tcPr>
            <w:tcW w:w="76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30231</w:t>
            </w:r>
          </w:p>
        </w:tc>
        <w:tc>
          <w:tcPr>
            <w:tcW w:w="23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公务用车运行维护费</w:t>
            </w:r>
          </w:p>
        </w:tc>
        <w:tc>
          <w:tcPr>
            <w:tcW w:w="151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c>
          <w:tcPr>
            <w:tcW w:w="6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39999</w:t>
            </w:r>
          </w:p>
        </w:tc>
        <w:tc>
          <w:tcPr>
            <w:tcW w:w="27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其他支出</w:t>
            </w:r>
          </w:p>
        </w:tc>
        <w:tc>
          <w:tcPr>
            <w:tcW w:w="16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30311</w:t>
            </w:r>
          </w:p>
        </w:tc>
        <w:tc>
          <w:tcPr>
            <w:tcW w:w="33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代缴社会保险费</w:t>
            </w:r>
          </w:p>
        </w:tc>
        <w:tc>
          <w:tcPr>
            <w:tcW w:w="170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c>
          <w:tcPr>
            <w:tcW w:w="76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30239</w:t>
            </w:r>
          </w:p>
        </w:tc>
        <w:tc>
          <w:tcPr>
            <w:tcW w:w="23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其他交通费用</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591,591.66</w:t>
            </w:r>
          </w:p>
        </w:tc>
        <w:tc>
          <w:tcPr>
            <w:tcW w:w="6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highlight w:val="none"/>
              </w:rPr>
            </w:pPr>
            <w:r>
              <w:rPr>
                <w:rFonts w:hint="eastAsia" w:ascii="宋体" w:hAnsi="宋体" w:eastAsia="宋体" w:cs="宋体"/>
                <w:color w:val="000000"/>
                <w:kern w:val="0"/>
                <w:szCs w:val="18"/>
                <w:highlight w:val="none"/>
              </w:rPr>
              <w:t>　</w:t>
            </w:r>
          </w:p>
        </w:tc>
        <w:tc>
          <w:tcPr>
            <w:tcW w:w="27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highlight w:val="none"/>
              </w:rPr>
            </w:pPr>
            <w:r>
              <w:rPr>
                <w:rFonts w:hint="eastAsia" w:ascii="宋体" w:hAnsi="宋体" w:eastAsia="宋体" w:cs="宋体"/>
                <w:color w:val="000000"/>
                <w:kern w:val="0"/>
                <w:szCs w:val="18"/>
                <w:highlight w:val="none"/>
              </w:rPr>
              <w:t>　</w:t>
            </w:r>
          </w:p>
        </w:tc>
        <w:tc>
          <w:tcPr>
            <w:tcW w:w="16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30399</w:t>
            </w:r>
          </w:p>
        </w:tc>
        <w:tc>
          <w:tcPr>
            <w:tcW w:w="33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其他对个人和家庭的补助</w:t>
            </w:r>
          </w:p>
        </w:tc>
        <w:tc>
          <w:tcPr>
            <w:tcW w:w="170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c>
          <w:tcPr>
            <w:tcW w:w="76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30240</w:t>
            </w:r>
          </w:p>
        </w:tc>
        <w:tc>
          <w:tcPr>
            <w:tcW w:w="23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税金及附加费用</w:t>
            </w:r>
          </w:p>
        </w:tc>
        <w:tc>
          <w:tcPr>
            <w:tcW w:w="151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c>
          <w:tcPr>
            <w:tcW w:w="6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highlight w:val="none"/>
              </w:rPr>
            </w:pPr>
            <w:r>
              <w:rPr>
                <w:rFonts w:hint="eastAsia" w:ascii="宋体" w:hAnsi="宋体" w:eastAsia="宋体" w:cs="宋体"/>
                <w:color w:val="000000"/>
                <w:kern w:val="0"/>
                <w:szCs w:val="18"/>
                <w:highlight w:val="none"/>
              </w:rPr>
              <w:t>　</w:t>
            </w:r>
          </w:p>
        </w:tc>
        <w:tc>
          <w:tcPr>
            <w:tcW w:w="27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highlight w:val="none"/>
              </w:rPr>
            </w:pPr>
            <w:r>
              <w:rPr>
                <w:rFonts w:hint="eastAsia" w:ascii="宋体" w:hAnsi="宋体" w:eastAsia="宋体" w:cs="宋体"/>
                <w:color w:val="000000"/>
                <w:kern w:val="0"/>
                <w:szCs w:val="18"/>
                <w:highlight w:val="none"/>
              </w:rPr>
              <w:t>　</w:t>
            </w:r>
          </w:p>
        </w:tc>
        <w:tc>
          <w:tcPr>
            <w:tcW w:w="16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w:t>
            </w:r>
          </w:p>
        </w:tc>
        <w:tc>
          <w:tcPr>
            <w:tcW w:w="33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w:t>
            </w:r>
          </w:p>
        </w:tc>
        <w:tc>
          <w:tcPr>
            <w:tcW w:w="170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c>
          <w:tcPr>
            <w:tcW w:w="76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30299</w:t>
            </w:r>
          </w:p>
        </w:tc>
        <w:tc>
          <w:tcPr>
            <w:tcW w:w="23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 xml:space="preserve">  其他商品和服务支出</w:t>
            </w:r>
          </w:p>
        </w:tc>
        <w:tc>
          <w:tcPr>
            <w:tcW w:w="151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c>
          <w:tcPr>
            <w:tcW w:w="6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highlight w:val="none"/>
              </w:rPr>
            </w:pPr>
            <w:r>
              <w:rPr>
                <w:rFonts w:hint="eastAsia" w:ascii="宋体" w:hAnsi="宋体" w:eastAsia="宋体" w:cs="宋体"/>
                <w:color w:val="000000"/>
                <w:kern w:val="0"/>
                <w:szCs w:val="18"/>
                <w:highlight w:val="none"/>
              </w:rPr>
              <w:t>　</w:t>
            </w:r>
          </w:p>
        </w:tc>
        <w:tc>
          <w:tcPr>
            <w:tcW w:w="27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highlight w:val="none"/>
              </w:rPr>
            </w:pPr>
            <w:r>
              <w:rPr>
                <w:rFonts w:hint="eastAsia" w:ascii="宋体" w:hAnsi="宋体" w:eastAsia="宋体" w:cs="宋体"/>
                <w:color w:val="000000"/>
                <w:kern w:val="0"/>
                <w:szCs w:val="18"/>
                <w:highlight w:val="none"/>
              </w:rPr>
              <w:t>　</w:t>
            </w:r>
          </w:p>
        </w:tc>
        <w:tc>
          <w:tcPr>
            <w:tcW w:w="166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highlight w:val="none"/>
              </w:rPr>
            </w:pPr>
          </w:p>
        </w:tc>
      </w:tr>
      <w:tr>
        <w:tblPrEx>
          <w:tblCellMar>
            <w:top w:w="0" w:type="dxa"/>
            <w:left w:w="108" w:type="dxa"/>
            <w:bottom w:w="0" w:type="dxa"/>
            <w:right w:w="108" w:type="dxa"/>
          </w:tblCellMar>
        </w:tblPrEx>
        <w:trPr>
          <w:trHeight w:val="284" w:hRule="exact"/>
        </w:trPr>
        <w:tc>
          <w:tcPr>
            <w:tcW w:w="419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人员经费合计</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bidi="ar"/>
              </w:rPr>
              <w:t>13,490,759.35</w:t>
            </w:r>
          </w:p>
        </w:tc>
        <w:tc>
          <w:tcPr>
            <w:tcW w:w="8052"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highlight w:val="none"/>
              </w:rPr>
            </w:pPr>
            <w:r>
              <w:rPr>
                <w:rFonts w:hint="eastAsia" w:ascii="宋体" w:hAnsi="宋体" w:eastAsia="宋体" w:cs="宋体"/>
                <w:color w:val="000000"/>
                <w:kern w:val="0"/>
                <w:szCs w:val="20"/>
                <w:highlight w:val="none"/>
              </w:rPr>
              <w:t>公用经费合计</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18"/>
                <w:highlight w:val="none"/>
              </w:rPr>
            </w:pPr>
            <w:r>
              <w:rPr>
                <w:rFonts w:hint="eastAsia" w:ascii="宋体" w:hAnsi="宋体" w:eastAsia="宋体" w:cs="宋体"/>
                <w:i w:val="0"/>
                <w:iCs w:val="0"/>
                <w:color w:val="000000"/>
                <w:kern w:val="0"/>
                <w:sz w:val="22"/>
                <w:szCs w:val="22"/>
                <w:highlight w:val="none"/>
                <w:u w:val="none"/>
                <w:lang w:val="en-US" w:eastAsia="zh-CN" w:bidi="ar"/>
              </w:rPr>
              <w:t>2,136,583.88</w:t>
            </w:r>
          </w:p>
        </w:tc>
      </w:tr>
      <w:tr>
        <w:tblPrEx>
          <w:tblCellMar>
            <w:top w:w="0" w:type="dxa"/>
            <w:left w:w="108" w:type="dxa"/>
            <w:bottom w:w="0" w:type="dxa"/>
            <w:right w:w="108" w:type="dxa"/>
          </w:tblCellMar>
        </w:tblPrEx>
        <w:trPr>
          <w:trHeight w:val="284" w:hRule="exact"/>
        </w:trPr>
        <w:tc>
          <w:tcPr>
            <w:tcW w:w="15614"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highlight w:val="none"/>
              </w:rPr>
            </w:pPr>
            <w:r>
              <w:rPr>
                <w:rFonts w:hint="eastAsia" w:ascii="宋体" w:hAnsi="宋体" w:eastAsia="宋体" w:cs="宋体"/>
                <w:color w:val="000000"/>
                <w:kern w:val="0"/>
                <w:szCs w:val="24"/>
                <w:highlight w:val="none"/>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highlight w:val="none"/>
        </w:rPr>
      </w:pPr>
      <w:r>
        <w:rPr>
          <w:rFonts w:hint="eastAsia" w:ascii="Times New Roman" w:hAnsi="Times New Roman" w:eastAsia="方正小标宋_GBK" w:cs="Times New Roman"/>
          <w:color w:val="000000"/>
          <w:kern w:val="0"/>
          <w:sz w:val="36"/>
          <w:szCs w:val="36"/>
          <w:highlight w:val="none"/>
        </w:rPr>
        <w:t>一般公共预算财政拨款“三公”经费支出决算表</w:t>
      </w:r>
    </w:p>
    <w:p>
      <w:pPr>
        <w:widowControl/>
        <w:jc w:val="left"/>
        <w:rPr>
          <w:rFonts w:ascii="Times New Roman" w:hAnsi="Times New Roman" w:eastAsia="仿宋_GB2312" w:cs="Times New Roman"/>
          <w:color w:val="000000"/>
          <w:kern w:val="0"/>
          <w:szCs w:val="21"/>
          <w:highlight w:val="none"/>
        </w:rPr>
      </w:pPr>
      <w:r>
        <w:rPr>
          <w:rFonts w:ascii="Times New Roman" w:hAnsi="Times New Roman" w:eastAsia="仿宋_GB2312" w:cs="Times New Roman"/>
          <w:color w:val="000000"/>
          <w:kern w:val="0"/>
          <w:szCs w:val="21"/>
          <w:highlight w:val="none"/>
        </w:rPr>
        <w:t xml:space="preserve">部门：   </w:t>
      </w:r>
      <w:r>
        <w:rPr>
          <w:rFonts w:hint="eastAsia"/>
          <w:highlight w:val="none"/>
          <w:lang w:eastAsia="zh-CN"/>
        </w:rPr>
        <w:t>湘乡市住房和城乡建设局</w:t>
      </w:r>
      <w:r>
        <w:rPr>
          <w:rFonts w:hint="eastAsia"/>
          <w:highlight w:val="none"/>
        </w:rPr>
        <w:t>　</w:t>
      </w:r>
      <w:r>
        <w:rPr>
          <w:rFonts w:ascii="Times New Roman" w:hAnsi="Times New Roman" w:eastAsia="仿宋_GB2312" w:cs="Times New Roman"/>
          <w:color w:val="000000"/>
          <w:kern w:val="0"/>
          <w:szCs w:val="21"/>
          <w:highlight w:val="none"/>
        </w:rPr>
        <w:t xml:space="preserve">                                                                                                            </w:t>
      </w:r>
      <w:r>
        <w:rPr>
          <w:rFonts w:hint="eastAsia" w:ascii="Times New Roman" w:hAnsi="Times New Roman" w:eastAsia="仿宋_GB2312" w:cs="Times New Roman"/>
          <w:color w:val="000000"/>
          <w:kern w:val="0"/>
          <w:szCs w:val="21"/>
          <w:highlight w:val="none"/>
        </w:rPr>
        <w:t xml:space="preserve">         </w:t>
      </w:r>
      <w:r>
        <w:rPr>
          <w:rFonts w:ascii="Times New Roman" w:hAnsi="Times New Roman" w:eastAsia="仿宋_GB2312" w:cs="Times New Roman"/>
          <w:color w:val="000000"/>
          <w:kern w:val="0"/>
          <w:szCs w:val="21"/>
          <w:highlight w:val="none"/>
        </w:rPr>
        <w:t xml:space="preserve">   </w:t>
      </w:r>
    </w:p>
    <w:p>
      <w:pPr>
        <w:widowControl/>
        <w:ind w:firstLine="14070" w:firstLineChars="6700"/>
        <w:jc w:val="left"/>
        <w:rPr>
          <w:rFonts w:ascii="Times New Roman" w:hAnsi="Times New Roman" w:eastAsia="仿宋_GB2312" w:cs="Times New Roman"/>
          <w:color w:val="000000"/>
          <w:kern w:val="0"/>
          <w:szCs w:val="21"/>
          <w:highlight w:val="none"/>
        </w:rPr>
      </w:pPr>
      <w:r>
        <w:rPr>
          <w:rFonts w:ascii="Times New Roman" w:hAnsi="Times New Roman" w:eastAsia="仿宋_GB2312" w:cs="Times New Roman"/>
          <w:color w:val="000000"/>
          <w:kern w:val="0"/>
          <w:szCs w:val="21"/>
          <w:highlight w:val="none"/>
        </w:rPr>
        <w:t>公开0</w:t>
      </w:r>
      <w:r>
        <w:rPr>
          <w:rFonts w:hint="eastAsia" w:ascii="Times New Roman" w:hAnsi="Times New Roman" w:eastAsia="仿宋_GB2312" w:cs="Times New Roman"/>
          <w:color w:val="000000"/>
          <w:kern w:val="0"/>
          <w:szCs w:val="21"/>
          <w:highlight w:val="none"/>
        </w:rPr>
        <w:t>7</w:t>
      </w:r>
      <w:r>
        <w:rPr>
          <w:rFonts w:ascii="Times New Roman" w:hAnsi="Times New Roman" w:eastAsia="仿宋_GB2312" w:cs="Times New Roman"/>
          <w:color w:val="000000"/>
          <w:kern w:val="0"/>
          <w:szCs w:val="21"/>
          <w:highlight w:val="none"/>
        </w:rPr>
        <w:t>表</w:t>
      </w:r>
    </w:p>
    <w:p>
      <w:pPr>
        <w:widowControl/>
        <w:ind w:right="420"/>
        <w:jc w:val="right"/>
        <w:rPr>
          <w:rFonts w:ascii="Times New Roman" w:hAnsi="Times New Roman" w:eastAsia="仿宋_GB2312" w:cs="Times New Roman"/>
          <w:color w:val="000000"/>
          <w:kern w:val="0"/>
          <w:szCs w:val="21"/>
          <w:highlight w:val="none"/>
        </w:rPr>
      </w:pPr>
      <w:r>
        <w:rPr>
          <w:rFonts w:ascii="Times New Roman" w:hAnsi="Times New Roman" w:eastAsia="仿宋_GB2312" w:cs="Times New Roman"/>
          <w:color w:val="000000"/>
          <w:kern w:val="0"/>
          <w:szCs w:val="21"/>
          <w:highlight w:val="none"/>
        </w:rPr>
        <w:t>单位：万元</w:t>
      </w:r>
    </w:p>
    <w:tbl>
      <w:tblPr>
        <w:tblStyle w:val="11"/>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公务</w:t>
            </w:r>
          </w:p>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公务</w:t>
            </w:r>
          </w:p>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highlight w:val="none"/>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highlight w:val="none"/>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公务用车</w:t>
            </w:r>
            <w:r>
              <w:rPr>
                <w:rFonts w:ascii="Times New Roman" w:hAnsi="Times New Roman" w:eastAsia="仿宋_GB2312" w:cs="Times New Roman"/>
                <w:kern w:val="0"/>
                <w:szCs w:val="21"/>
                <w:highlight w:val="none"/>
              </w:rPr>
              <w:br w:type="textWrapping"/>
            </w:r>
            <w:r>
              <w:rPr>
                <w:rFonts w:ascii="Times New Roman" w:hAnsi="Times New Roman" w:eastAsia="仿宋_GB2312" w:cs="Times New Roman"/>
                <w:kern w:val="0"/>
                <w:szCs w:val="21"/>
                <w:highlight w:val="none"/>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公务用车</w:t>
            </w:r>
            <w:r>
              <w:rPr>
                <w:rFonts w:ascii="Times New Roman" w:hAnsi="Times New Roman" w:eastAsia="仿宋_GB2312" w:cs="Times New Roman"/>
                <w:kern w:val="0"/>
                <w:szCs w:val="21"/>
                <w:highlight w:val="none"/>
              </w:rPr>
              <w:br w:type="textWrapping"/>
            </w:r>
            <w:r>
              <w:rPr>
                <w:rFonts w:ascii="Times New Roman" w:hAnsi="Times New Roman" w:eastAsia="仿宋_GB2312" w:cs="Times New Roman"/>
                <w:kern w:val="0"/>
                <w:szCs w:val="21"/>
                <w:highlight w:val="none"/>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highlight w:val="none"/>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highlight w:val="none"/>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highlight w:val="none"/>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公务用车</w:t>
            </w:r>
            <w:r>
              <w:rPr>
                <w:rFonts w:ascii="Times New Roman" w:hAnsi="Times New Roman" w:eastAsia="仿宋_GB2312" w:cs="Times New Roman"/>
                <w:kern w:val="0"/>
                <w:szCs w:val="21"/>
                <w:highlight w:val="none"/>
              </w:rPr>
              <w:br w:type="textWrapping"/>
            </w:r>
            <w:r>
              <w:rPr>
                <w:rFonts w:ascii="Times New Roman" w:hAnsi="Times New Roman" w:eastAsia="仿宋_GB2312" w:cs="Times New Roman"/>
                <w:kern w:val="0"/>
                <w:szCs w:val="21"/>
                <w:highlight w:val="none"/>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公务用车</w:t>
            </w:r>
            <w:r>
              <w:rPr>
                <w:rFonts w:ascii="Times New Roman" w:hAnsi="Times New Roman" w:eastAsia="仿宋_GB2312" w:cs="Times New Roman"/>
                <w:kern w:val="0"/>
                <w:szCs w:val="21"/>
                <w:highlight w:val="none"/>
              </w:rPr>
              <w:br w:type="textWrapping"/>
            </w:r>
            <w:r>
              <w:rPr>
                <w:rFonts w:ascii="Times New Roman" w:hAnsi="Times New Roman" w:eastAsia="仿宋_GB2312" w:cs="Times New Roman"/>
                <w:kern w:val="0"/>
                <w:szCs w:val="21"/>
                <w:highlight w:val="none"/>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highlight w:val="none"/>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highlight w:val="none"/>
                <w:lang w:val="en-US" w:eastAsia="zh-CN"/>
              </w:rPr>
            </w:pPr>
            <w:r>
              <w:rPr>
                <w:rFonts w:hint="eastAsia" w:ascii="Times New Roman" w:hAnsi="Times New Roman" w:eastAsia="仿宋_GB2312" w:cs="Times New Roman"/>
                <w:kern w:val="0"/>
                <w:szCs w:val="21"/>
                <w:highlight w:val="none"/>
                <w:lang w:val="en-US" w:eastAsia="zh-CN"/>
              </w:rPr>
              <w:t>39.6</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highlight w:val="none"/>
                <w:lang w:val="en-US" w:eastAsia="zh-CN"/>
              </w:rPr>
            </w:pPr>
            <w:r>
              <w:rPr>
                <w:rFonts w:hint="eastAsia" w:ascii="Times New Roman" w:hAnsi="Times New Roman" w:eastAsia="仿宋_GB2312" w:cs="Times New Roman"/>
                <w:kern w:val="0"/>
                <w:szCs w:val="21"/>
                <w:highlight w:val="none"/>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highlight w:val="none"/>
                <w:lang w:val="en-US" w:eastAsia="zh-CN"/>
              </w:rPr>
            </w:pPr>
            <w:r>
              <w:rPr>
                <w:rFonts w:hint="eastAsia" w:ascii="Times New Roman" w:hAnsi="Times New Roman" w:eastAsia="仿宋_GB2312" w:cs="Times New Roman"/>
                <w:kern w:val="0"/>
                <w:szCs w:val="21"/>
                <w:highlight w:val="none"/>
                <w:lang w:val="en-US" w:eastAsia="zh-CN"/>
              </w:rPr>
              <w:t>39.6</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highlight w:val="none"/>
                <w:lang w:val="en-US" w:eastAsia="zh-CN"/>
              </w:rPr>
            </w:pPr>
            <w:r>
              <w:rPr>
                <w:rFonts w:hint="eastAsia" w:ascii="Times New Roman" w:hAnsi="Times New Roman" w:eastAsia="仿宋_GB2312" w:cs="Times New Roman"/>
                <w:kern w:val="0"/>
                <w:szCs w:val="21"/>
                <w:highlight w:val="none"/>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highlight w:val="none"/>
                <w:lang w:val="en-US" w:eastAsia="zh-CN"/>
              </w:rPr>
            </w:pPr>
            <w:r>
              <w:rPr>
                <w:rFonts w:hint="eastAsia" w:ascii="Times New Roman" w:hAnsi="Times New Roman" w:eastAsia="仿宋_GB2312" w:cs="Times New Roman"/>
                <w:kern w:val="0"/>
                <w:szCs w:val="21"/>
                <w:highlight w:val="none"/>
                <w:lang w:val="en-US" w:eastAsia="zh-CN"/>
              </w:rPr>
              <w:t>15.6</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highlight w:val="none"/>
                <w:lang w:val="en-US" w:eastAsia="zh-CN"/>
              </w:rPr>
            </w:pPr>
            <w:r>
              <w:rPr>
                <w:rFonts w:hint="eastAsia" w:ascii="Times New Roman" w:hAnsi="Times New Roman" w:eastAsia="仿宋_GB2312" w:cs="Times New Roman"/>
                <w:kern w:val="0"/>
                <w:szCs w:val="21"/>
                <w:highlight w:val="none"/>
                <w:lang w:val="en-US" w:eastAsia="zh-CN"/>
              </w:rPr>
              <w:t>24</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highlight w:val="none"/>
                <w:lang w:val="en-US" w:eastAsia="zh-CN"/>
              </w:rPr>
            </w:pPr>
            <w:r>
              <w:rPr>
                <w:rFonts w:hint="eastAsia" w:ascii="Times New Roman" w:hAnsi="Times New Roman" w:eastAsia="仿宋_GB2312" w:cs="Times New Roman"/>
                <w:kern w:val="0"/>
                <w:szCs w:val="21"/>
                <w:highlight w:val="none"/>
                <w:lang w:val="en-US" w:eastAsia="zh-CN"/>
              </w:rPr>
              <w:t>1.13</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highlight w:val="none"/>
                <w:lang w:val="en-US" w:eastAsia="zh-CN"/>
              </w:rPr>
            </w:pPr>
            <w:r>
              <w:rPr>
                <w:rFonts w:hint="eastAsia" w:ascii="Times New Roman" w:hAnsi="Times New Roman" w:eastAsia="仿宋_GB2312" w:cs="Times New Roman"/>
                <w:kern w:val="0"/>
                <w:szCs w:val="21"/>
                <w:highlight w:val="none"/>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highlight w:val="none"/>
                <w:lang w:val="en-US" w:eastAsia="zh-CN"/>
              </w:rPr>
            </w:pPr>
            <w:r>
              <w:rPr>
                <w:rFonts w:hint="eastAsia" w:ascii="Times New Roman" w:hAnsi="Times New Roman" w:eastAsia="仿宋_GB2312" w:cs="Times New Roman"/>
                <w:kern w:val="0"/>
                <w:szCs w:val="21"/>
                <w:highlight w:val="none"/>
                <w:lang w:val="en-US" w:eastAsia="zh-CN"/>
              </w:rPr>
              <w:t>1.13</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highlight w:val="none"/>
                <w:lang w:val="en-US" w:eastAsia="zh-CN"/>
              </w:rPr>
            </w:pPr>
            <w:r>
              <w:rPr>
                <w:rFonts w:hint="eastAsia" w:ascii="Times New Roman" w:hAnsi="Times New Roman" w:eastAsia="仿宋_GB2312" w:cs="Times New Roman"/>
                <w:kern w:val="0"/>
                <w:szCs w:val="21"/>
                <w:highlight w:val="none"/>
                <w:lang w:val="en-US" w:eastAsia="zh-CN"/>
              </w:rPr>
              <w:t>0</w:t>
            </w:r>
          </w:p>
        </w:tc>
        <w:tc>
          <w:tcPr>
            <w:tcW w:w="1220" w:type="dxa"/>
            <w:tcBorders>
              <w:top w:val="nil"/>
              <w:left w:val="nil"/>
              <w:bottom w:val="single" w:color="auto" w:sz="8" w:space="0"/>
              <w:right w:val="nil"/>
            </w:tcBorders>
            <w:shd w:val="clear" w:color="auto" w:fill="auto"/>
            <w:vAlign w:val="center"/>
          </w:tcPr>
          <w:p>
            <w:pPr>
              <w:widowControl/>
              <w:jc w:val="center"/>
              <w:rPr>
                <w:rFonts w:hint="default" w:ascii="Times New Roman" w:hAnsi="Times New Roman" w:eastAsia="仿宋_GB2312" w:cs="Times New Roman"/>
                <w:kern w:val="0"/>
                <w:szCs w:val="21"/>
                <w:highlight w:val="none"/>
                <w:lang w:val="en-US" w:eastAsia="zh-CN"/>
              </w:rPr>
            </w:pPr>
            <w:r>
              <w:rPr>
                <w:rFonts w:hint="eastAsia" w:ascii="Times New Roman" w:hAnsi="Times New Roman" w:eastAsia="仿宋_GB2312" w:cs="Times New Roman"/>
                <w:kern w:val="0"/>
                <w:szCs w:val="21"/>
                <w:highlight w:val="none"/>
                <w:lang w:val="en-US" w:eastAsia="zh-CN"/>
              </w:rPr>
              <w:t>0.91</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highlight w:val="none"/>
                <w:lang w:val="en-US" w:eastAsia="zh-CN"/>
              </w:rPr>
            </w:pPr>
            <w:r>
              <w:rPr>
                <w:rFonts w:hint="eastAsia" w:ascii="Times New Roman" w:hAnsi="Times New Roman" w:eastAsia="仿宋_GB2312" w:cs="Times New Roman"/>
                <w:kern w:val="0"/>
                <w:szCs w:val="21"/>
                <w:highlight w:val="none"/>
                <w:lang w:val="en-US" w:eastAsia="zh-CN"/>
              </w:rPr>
              <w:t>0.22</w:t>
            </w:r>
          </w:p>
        </w:tc>
      </w:tr>
    </w:tbl>
    <w:p>
      <w:pPr>
        <w:widowControl/>
        <w:jc w:val="left"/>
        <w:rPr>
          <w:rFonts w:ascii="宋体" w:eastAsia="宋体" w:cs="宋体"/>
          <w:kern w:val="0"/>
          <w:sz w:val="24"/>
          <w:szCs w:val="24"/>
          <w:highlight w:val="none"/>
        </w:rPr>
      </w:pPr>
      <w:r>
        <w:rPr>
          <w:rFonts w:hint="eastAsia" w:ascii="宋体" w:eastAsia="宋体" w:cs="宋体"/>
          <w:kern w:val="0"/>
          <w:sz w:val="24"/>
          <w:szCs w:val="24"/>
          <w:highlight w:val="none"/>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highlight w:val="none"/>
        </w:rPr>
        <w:br w:type="page"/>
      </w:r>
    </w:p>
    <w:p>
      <w:pPr>
        <w:autoSpaceDE w:val="0"/>
        <w:autoSpaceDN w:val="0"/>
        <w:adjustRightInd w:val="0"/>
        <w:ind w:left="315" w:leftChars="150"/>
        <w:jc w:val="left"/>
        <w:rPr>
          <w:rFonts w:ascii="宋体" w:eastAsia="宋体" w:cs="宋体"/>
          <w:kern w:val="0"/>
          <w:sz w:val="24"/>
          <w:szCs w:val="24"/>
          <w:highlight w:val="none"/>
        </w:rPr>
      </w:pPr>
    </w:p>
    <w:p>
      <w:pPr>
        <w:widowControl/>
        <w:jc w:val="center"/>
        <w:rPr>
          <w:rFonts w:ascii="Times New Roman" w:hAnsi="Times New Roman" w:eastAsia="方正小标宋_GBK" w:cs="Times New Roman"/>
          <w:kern w:val="0"/>
          <w:sz w:val="36"/>
          <w:szCs w:val="36"/>
          <w:highlight w:val="none"/>
        </w:rPr>
      </w:pPr>
      <w:r>
        <w:rPr>
          <w:rFonts w:ascii="Times New Roman" w:hAnsi="Times New Roman" w:eastAsia="方正小标宋_GBK" w:cs="Times New Roman"/>
          <w:kern w:val="0"/>
          <w:sz w:val="36"/>
          <w:szCs w:val="36"/>
          <w:highlight w:val="none"/>
        </w:rPr>
        <w:t>政府性基金预算财政拨款收入支出决算表</w:t>
      </w:r>
    </w:p>
    <w:p>
      <w:pPr>
        <w:widowControl/>
        <w:wordWrap w:val="0"/>
        <w:jc w:val="right"/>
        <w:rPr>
          <w:rFonts w:ascii="Times New Roman" w:hAnsi="Times New Roman" w:eastAsia="仿宋_GB2312" w:cs="Times New Roman"/>
          <w:color w:val="000000"/>
          <w:kern w:val="0"/>
          <w:szCs w:val="21"/>
          <w:highlight w:val="none"/>
        </w:rPr>
      </w:pPr>
      <w:r>
        <w:rPr>
          <w:rFonts w:hint="eastAsia" w:ascii="Times New Roman" w:hAnsi="Times New Roman" w:eastAsia="仿宋_GB2312" w:cs="Times New Roman"/>
          <w:color w:val="000000"/>
          <w:kern w:val="0"/>
          <w:szCs w:val="21"/>
          <w:highlight w:val="none"/>
          <w:lang w:val="en-US" w:eastAsia="zh-CN"/>
        </w:rPr>
        <w:t xml:space="preserve">     </w:t>
      </w:r>
      <w:r>
        <w:rPr>
          <w:rFonts w:ascii="Times New Roman" w:hAnsi="Times New Roman" w:eastAsia="仿宋_GB2312" w:cs="Times New Roman"/>
          <w:color w:val="000000"/>
          <w:kern w:val="0"/>
          <w:szCs w:val="21"/>
          <w:highlight w:val="none"/>
        </w:rPr>
        <w:t xml:space="preserve">部门： </w:t>
      </w:r>
      <w:r>
        <w:rPr>
          <w:rFonts w:hint="eastAsia"/>
          <w:highlight w:val="none"/>
          <w:lang w:eastAsia="zh-CN"/>
        </w:rPr>
        <w:t>湘乡市住房和城乡建设局</w:t>
      </w:r>
      <w:r>
        <w:rPr>
          <w:rFonts w:hint="eastAsia"/>
          <w:highlight w:val="none"/>
        </w:rPr>
        <w:t>　</w:t>
      </w:r>
      <w:r>
        <w:rPr>
          <w:rFonts w:ascii="Times New Roman" w:hAnsi="Times New Roman" w:eastAsia="仿宋_GB2312" w:cs="Times New Roman"/>
          <w:color w:val="000000"/>
          <w:kern w:val="0"/>
          <w:szCs w:val="21"/>
          <w:highlight w:val="none"/>
        </w:rPr>
        <w:t xml:space="preserve">                                                                                                                  公开08表</w:t>
      </w:r>
    </w:p>
    <w:p>
      <w:pPr>
        <w:widowControl/>
        <w:jc w:val="right"/>
        <w:rPr>
          <w:rFonts w:ascii="Times New Roman" w:hAnsi="Times New Roman" w:eastAsia="仿宋_GB2312" w:cs="Times New Roman"/>
          <w:color w:val="000000"/>
          <w:kern w:val="0"/>
          <w:szCs w:val="21"/>
          <w:highlight w:val="none"/>
        </w:rPr>
      </w:pPr>
      <w:r>
        <w:rPr>
          <w:rFonts w:ascii="Times New Roman" w:hAnsi="Times New Roman" w:eastAsia="仿宋_GB2312" w:cs="Times New Roman"/>
          <w:color w:val="000000"/>
          <w:kern w:val="0"/>
          <w:szCs w:val="21"/>
          <w:highlight w:val="none"/>
        </w:rPr>
        <w:t>单位：万元</w:t>
      </w:r>
    </w:p>
    <w:tbl>
      <w:tblPr>
        <w:tblStyle w:val="11"/>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highlight w:val="none"/>
              </w:rPr>
            </w:pPr>
            <w:r>
              <w:rPr>
                <w:rFonts w:ascii="Times New Roman" w:hAnsi="Times New Roman" w:eastAsia="仿宋_GB2312" w:cs="Times New Roman"/>
                <w:b/>
                <w:kern w:val="0"/>
                <w:szCs w:val="21"/>
                <w:highlight w:val="none"/>
              </w:rPr>
              <w:t xml:space="preserve">项 </w:t>
            </w:r>
            <w:r>
              <w:rPr>
                <w:rFonts w:ascii="Times New Roman" w:hAnsi="Times New Roman" w:eastAsia="仿宋_GB2312" w:cs="Times New Roman"/>
                <w:b/>
                <w:color w:val="000000"/>
                <w:kern w:val="0"/>
                <w:szCs w:val="21"/>
                <w:highlight w:val="none"/>
              </w:rPr>
              <w:t xml:space="preserve">   </w:t>
            </w:r>
            <w:r>
              <w:rPr>
                <w:rFonts w:ascii="Times New Roman" w:hAnsi="Times New Roman" w:eastAsia="仿宋_GB2312" w:cs="Times New Roman"/>
                <w:b/>
                <w:kern w:val="0"/>
                <w:szCs w:val="21"/>
                <w:highlight w:val="none"/>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highlight w:val="none"/>
              </w:rPr>
            </w:pPr>
            <w:r>
              <w:rPr>
                <w:rFonts w:ascii="Times New Roman" w:hAnsi="Times New Roman" w:eastAsia="仿宋_GB2312" w:cs="Times New Roman"/>
                <w:b/>
                <w:kern w:val="0"/>
                <w:szCs w:val="21"/>
                <w:highlight w:val="none"/>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highlight w:val="none"/>
              </w:rPr>
            </w:pPr>
            <w:r>
              <w:rPr>
                <w:rFonts w:ascii="Times New Roman" w:hAnsi="Times New Roman" w:eastAsia="仿宋_GB2312" w:cs="Times New Roman"/>
                <w:b/>
                <w:kern w:val="0"/>
                <w:szCs w:val="21"/>
                <w:highlight w:val="none"/>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highlight w:val="none"/>
              </w:rPr>
            </w:pPr>
            <w:r>
              <w:rPr>
                <w:rFonts w:ascii="Times New Roman" w:hAnsi="Times New Roman" w:eastAsia="仿宋_GB2312" w:cs="Times New Roman"/>
                <w:b/>
                <w:kern w:val="0"/>
                <w:szCs w:val="21"/>
                <w:highlight w:val="none"/>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highlight w:val="none"/>
              </w:rPr>
            </w:pPr>
            <w:r>
              <w:rPr>
                <w:rFonts w:ascii="Times New Roman" w:hAnsi="Times New Roman" w:eastAsia="仿宋_GB2312" w:cs="Times New Roman"/>
                <w:b/>
                <w:kern w:val="0"/>
                <w:szCs w:val="21"/>
                <w:highlight w:val="none"/>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highlight w:val="none"/>
              </w:rPr>
            </w:pPr>
            <w:r>
              <w:rPr>
                <w:rFonts w:ascii="Times New Roman" w:hAnsi="Times New Roman" w:eastAsia="仿宋_GB2312" w:cs="Times New Roman"/>
                <w:b/>
                <w:kern w:val="0"/>
                <w:szCs w:val="21"/>
                <w:highlight w:val="none"/>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highlight w:val="none"/>
              </w:rPr>
            </w:pPr>
            <w:r>
              <w:rPr>
                <w:rFonts w:ascii="Times New Roman" w:hAnsi="Times New Roman" w:eastAsia="仿宋_GB2312" w:cs="Times New Roman"/>
                <w:b/>
                <w:kern w:val="0"/>
                <w:szCs w:val="21"/>
                <w:highlight w:val="none"/>
              </w:rPr>
              <w:t>科目名称</w:t>
            </w:r>
          </w:p>
        </w:tc>
        <w:tc>
          <w:tcPr>
            <w:tcW w:w="2000" w:type="dxa"/>
            <w:vMerge w:val="continue"/>
            <w:vAlign w:val="center"/>
          </w:tcPr>
          <w:p>
            <w:pPr>
              <w:widowControl/>
              <w:jc w:val="left"/>
              <w:rPr>
                <w:rFonts w:ascii="Times New Roman" w:hAnsi="Times New Roman" w:eastAsia="仿宋_GB2312" w:cs="Times New Roman"/>
                <w:b/>
                <w:kern w:val="0"/>
                <w:szCs w:val="21"/>
                <w:highlight w:val="none"/>
              </w:rPr>
            </w:pPr>
          </w:p>
        </w:tc>
        <w:tc>
          <w:tcPr>
            <w:tcW w:w="2000" w:type="dxa"/>
            <w:vMerge w:val="continue"/>
            <w:vAlign w:val="center"/>
          </w:tcPr>
          <w:p>
            <w:pPr>
              <w:widowControl/>
              <w:jc w:val="left"/>
              <w:rPr>
                <w:rFonts w:ascii="Times New Roman" w:hAnsi="Times New Roman" w:eastAsia="仿宋_GB2312" w:cs="Times New Roman"/>
                <w:b/>
                <w:kern w:val="0"/>
                <w:szCs w:val="21"/>
                <w:highlight w:val="none"/>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highlight w:val="none"/>
              </w:rPr>
            </w:pPr>
            <w:r>
              <w:rPr>
                <w:rFonts w:ascii="Times New Roman" w:hAnsi="Times New Roman" w:eastAsia="仿宋_GB2312" w:cs="Times New Roman"/>
                <w:b/>
                <w:kern w:val="0"/>
                <w:szCs w:val="21"/>
                <w:highlight w:val="none"/>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highlight w:val="none"/>
              </w:rPr>
            </w:pPr>
            <w:r>
              <w:rPr>
                <w:rFonts w:ascii="Times New Roman" w:hAnsi="Times New Roman" w:eastAsia="仿宋_GB2312" w:cs="Times New Roman"/>
                <w:b/>
                <w:kern w:val="0"/>
                <w:szCs w:val="21"/>
                <w:highlight w:val="none"/>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highlight w:val="none"/>
              </w:rPr>
            </w:pPr>
            <w:r>
              <w:rPr>
                <w:rFonts w:ascii="Times New Roman" w:hAnsi="Times New Roman" w:eastAsia="仿宋_GB2312" w:cs="Times New Roman"/>
                <w:b/>
                <w:kern w:val="0"/>
                <w:szCs w:val="21"/>
                <w:highlight w:val="none"/>
              </w:rPr>
              <w:t>项目支出</w:t>
            </w:r>
          </w:p>
        </w:tc>
        <w:tc>
          <w:tcPr>
            <w:tcW w:w="2000" w:type="dxa"/>
            <w:vMerge w:val="continue"/>
            <w:vAlign w:val="center"/>
          </w:tcPr>
          <w:p>
            <w:pPr>
              <w:widowControl/>
              <w:jc w:val="left"/>
              <w:rPr>
                <w:rFonts w:ascii="Times New Roman" w:hAnsi="Times New Roman" w:eastAsia="仿宋_GB2312" w:cs="Times New Roman"/>
                <w:b/>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highlight w:val="none"/>
              </w:rPr>
            </w:pPr>
          </w:p>
        </w:tc>
        <w:tc>
          <w:tcPr>
            <w:tcW w:w="1320" w:type="dxa"/>
            <w:vMerge w:val="continue"/>
            <w:vAlign w:val="center"/>
          </w:tcPr>
          <w:p>
            <w:pPr>
              <w:widowControl/>
              <w:jc w:val="left"/>
              <w:rPr>
                <w:rFonts w:ascii="Times New Roman" w:hAnsi="Times New Roman" w:eastAsia="仿宋_GB2312" w:cs="Times New Roman"/>
                <w:kern w:val="0"/>
                <w:szCs w:val="21"/>
                <w:highlight w:val="none"/>
              </w:rPr>
            </w:pPr>
          </w:p>
        </w:tc>
        <w:tc>
          <w:tcPr>
            <w:tcW w:w="2000" w:type="dxa"/>
            <w:vMerge w:val="continue"/>
            <w:vAlign w:val="center"/>
          </w:tcPr>
          <w:p>
            <w:pPr>
              <w:widowControl/>
              <w:jc w:val="left"/>
              <w:rPr>
                <w:rFonts w:ascii="Times New Roman" w:hAnsi="Times New Roman" w:eastAsia="仿宋_GB2312" w:cs="Times New Roman"/>
                <w:kern w:val="0"/>
                <w:szCs w:val="21"/>
                <w:highlight w:val="none"/>
              </w:rPr>
            </w:pPr>
          </w:p>
        </w:tc>
        <w:tc>
          <w:tcPr>
            <w:tcW w:w="2000" w:type="dxa"/>
            <w:vMerge w:val="continue"/>
            <w:vAlign w:val="center"/>
          </w:tcPr>
          <w:p>
            <w:pPr>
              <w:widowControl/>
              <w:jc w:val="left"/>
              <w:rPr>
                <w:rFonts w:ascii="Times New Roman" w:hAnsi="Times New Roman" w:eastAsia="仿宋_GB2312" w:cs="Times New Roman"/>
                <w:kern w:val="0"/>
                <w:szCs w:val="21"/>
                <w:highlight w:val="none"/>
              </w:rPr>
            </w:pPr>
          </w:p>
        </w:tc>
        <w:tc>
          <w:tcPr>
            <w:tcW w:w="2000" w:type="dxa"/>
            <w:vMerge w:val="continue"/>
            <w:vAlign w:val="center"/>
          </w:tcPr>
          <w:p>
            <w:pPr>
              <w:widowControl/>
              <w:jc w:val="left"/>
              <w:rPr>
                <w:rFonts w:ascii="Times New Roman" w:hAnsi="Times New Roman" w:eastAsia="仿宋_GB2312" w:cs="Times New Roman"/>
                <w:kern w:val="0"/>
                <w:szCs w:val="21"/>
                <w:highlight w:val="none"/>
              </w:rPr>
            </w:pPr>
          </w:p>
        </w:tc>
        <w:tc>
          <w:tcPr>
            <w:tcW w:w="2000" w:type="dxa"/>
            <w:vMerge w:val="continue"/>
            <w:vAlign w:val="center"/>
          </w:tcPr>
          <w:p>
            <w:pPr>
              <w:widowControl/>
              <w:jc w:val="left"/>
              <w:rPr>
                <w:rFonts w:ascii="Times New Roman" w:hAnsi="Times New Roman" w:eastAsia="仿宋_GB2312" w:cs="Times New Roman"/>
                <w:kern w:val="0"/>
                <w:szCs w:val="21"/>
                <w:highlight w:val="none"/>
              </w:rPr>
            </w:pPr>
          </w:p>
        </w:tc>
        <w:tc>
          <w:tcPr>
            <w:tcW w:w="2000" w:type="dxa"/>
            <w:vMerge w:val="continue"/>
            <w:vAlign w:val="center"/>
          </w:tcPr>
          <w:p>
            <w:pPr>
              <w:widowControl/>
              <w:jc w:val="left"/>
              <w:rPr>
                <w:rFonts w:ascii="Times New Roman" w:hAnsi="Times New Roman" w:eastAsia="仿宋_GB2312" w:cs="Times New Roman"/>
                <w:kern w:val="0"/>
                <w:szCs w:val="21"/>
                <w:highlight w:val="none"/>
              </w:rPr>
            </w:pPr>
          </w:p>
        </w:tc>
        <w:tc>
          <w:tcPr>
            <w:tcW w:w="2000" w:type="dxa"/>
            <w:vMerge w:val="continue"/>
            <w:vAlign w:val="center"/>
          </w:tcPr>
          <w:p>
            <w:pPr>
              <w:widowControl/>
              <w:jc w:val="left"/>
              <w:rPr>
                <w:rFonts w:ascii="Times New Roman" w:hAnsi="Times New Roman" w:eastAsia="仿宋_GB2312"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highlight w:val="none"/>
              </w:rPr>
            </w:pPr>
          </w:p>
        </w:tc>
        <w:tc>
          <w:tcPr>
            <w:tcW w:w="1320" w:type="dxa"/>
            <w:vMerge w:val="continue"/>
            <w:vAlign w:val="center"/>
          </w:tcPr>
          <w:p>
            <w:pPr>
              <w:widowControl/>
              <w:jc w:val="left"/>
              <w:rPr>
                <w:rFonts w:ascii="Times New Roman" w:hAnsi="Times New Roman" w:eastAsia="仿宋_GB2312" w:cs="Times New Roman"/>
                <w:kern w:val="0"/>
                <w:szCs w:val="21"/>
                <w:highlight w:val="none"/>
              </w:rPr>
            </w:pPr>
          </w:p>
        </w:tc>
        <w:tc>
          <w:tcPr>
            <w:tcW w:w="2000" w:type="dxa"/>
            <w:vMerge w:val="continue"/>
            <w:vAlign w:val="center"/>
          </w:tcPr>
          <w:p>
            <w:pPr>
              <w:widowControl/>
              <w:jc w:val="left"/>
              <w:rPr>
                <w:rFonts w:ascii="Times New Roman" w:hAnsi="Times New Roman" w:eastAsia="仿宋_GB2312" w:cs="Times New Roman"/>
                <w:kern w:val="0"/>
                <w:szCs w:val="21"/>
                <w:highlight w:val="none"/>
              </w:rPr>
            </w:pPr>
          </w:p>
        </w:tc>
        <w:tc>
          <w:tcPr>
            <w:tcW w:w="2000" w:type="dxa"/>
            <w:vMerge w:val="continue"/>
            <w:vAlign w:val="center"/>
          </w:tcPr>
          <w:p>
            <w:pPr>
              <w:widowControl/>
              <w:jc w:val="left"/>
              <w:rPr>
                <w:rFonts w:ascii="Times New Roman" w:hAnsi="Times New Roman" w:eastAsia="仿宋_GB2312" w:cs="Times New Roman"/>
                <w:kern w:val="0"/>
                <w:szCs w:val="21"/>
                <w:highlight w:val="none"/>
              </w:rPr>
            </w:pPr>
          </w:p>
        </w:tc>
        <w:tc>
          <w:tcPr>
            <w:tcW w:w="2000" w:type="dxa"/>
            <w:vMerge w:val="continue"/>
            <w:vAlign w:val="center"/>
          </w:tcPr>
          <w:p>
            <w:pPr>
              <w:widowControl/>
              <w:jc w:val="left"/>
              <w:rPr>
                <w:rFonts w:ascii="Times New Roman" w:hAnsi="Times New Roman" w:eastAsia="仿宋_GB2312" w:cs="Times New Roman"/>
                <w:kern w:val="0"/>
                <w:szCs w:val="21"/>
                <w:highlight w:val="none"/>
              </w:rPr>
            </w:pPr>
          </w:p>
        </w:tc>
        <w:tc>
          <w:tcPr>
            <w:tcW w:w="2000" w:type="dxa"/>
            <w:vMerge w:val="continue"/>
            <w:vAlign w:val="center"/>
          </w:tcPr>
          <w:p>
            <w:pPr>
              <w:widowControl/>
              <w:jc w:val="left"/>
              <w:rPr>
                <w:rFonts w:ascii="Times New Roman" w:hAnsi="Times New Roman" w:eastAsia="仿宋_GB2312" w:cs="Times New Roman"/>
                <w:kern w:val="0"/>
                <w:szCs w:val="21"/>
                <w:highlight w:val="none"/>
              </w:rPr>
            </w:pPr>
          </w:p>
        </w:tc>
        <w:tc>
          <w:tcPr>
            <w:tcW w:w="2000" w:type="dxa"/>
            <w:vMerge w:val="continue"/>
            <w:vAlign w:val="center"/>
          </w:tcPr>
          <w:p>
            <w:pPr>
              <w:widowControl/>
              <w:jc w:val="left"/>
              <w:rPr>
                <w:rFonts w:ascii="Times New Roman" w:hAnsi="Times New Roman" w:eastAsia="仿宋_GB2312" w:cs="Times New Roman"/>
                <w:kern w:val="0"/>
                <w:szCs w:val="21"/>
                <w:highlight w:val="none"/>
              </w:rPr>
            </w:pPr>
          </w:p>
        </w:tc>
        <w:tc>
          <w:tcPr>
            <w:tcW w:w="2000" w:type="dxa"/>
            <w:vMerge w:val="continue"/>
            <w:vAlign w:val="center"/>
          </w:tcPr>
          <w:p>
            <w:pPr>
              <w:widowControl/>
              <w:jc w:val="left"/>
              <w:rPr>
                <w:rFonts w:ascii="Times New Roman" w:hAnsi="Times New Roman" w:eastAsia="仿宋_GB2312"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1</w:t>
            </w:r>
          </w:p>
        </w:tc>
        <w:tc>
          <w:tcPr>
            <w:tcW w:w="2000" w:type="dxa"/>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2</w:t>
            </w:r>
          </w:p>
        </w:tc>
        <w:tc>
          <w:tcPr>
            <w:tcW w:w="2000" w:type="dxa"/>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3</w:t>
            </w:r>
          </w:p>
        </w:tc>
        <w:tc>
          <w:tcPr>
            <w:tcW w:w="2000" w:type="dxa"/>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4</w:t>
            </w:r>
          </w:p>
        </w:tc>
        <w:tc>
          <w:tcPr>
            <w:tcW w:w="2000" w:type="dxa"/>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5</w:t>
            </w:r>
          </w:p>
        </w:tc>
        <w:tc>
          <w:tcPr>
            <w:tcW w:w="2000" w:type="dxa"/>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合计</w:t>
            </w:r>
          </w:p>
        </w:tc>
        <w:tc>
          <w:tcPr>
            <w:tcW w:w="2000" w:type="dxa"/>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132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hint="eastAsia" w:ascii="Times New Roman" w:hAnsi="Times New Roman" w:eastAsia="仿宋_GB2312" w:cs="Times New Roman"/>
                <w:kern w:val="0"/>
                <w:szCs w:val="21"/>
                <w:highlight w:val="none"/>
                <w:lang w:eastAsia="zh-CN"/>
              </w:rPr>
            </w:pPr>
            <w:r>
              <w:rPr>
                <w:rFonts w:hint="eastAsia" w:ascii="宋体" w:hAnsi="宋体" w:eastAsia="宋体" w:cs="宋体"/>
                <w:kern w:val="0"/>
                <w:sz w:val="20"/>
                <w:szCs w:val="20"/>
                <w:highlight w:val="none"/>
              </w:rPr>
              <w:t>2021年</w:t>
            </w:r>
            <w:r>
              <w:rPr>
                <w:rFonts w:hint="eastAsia" w:ascii="宋体" w:hAnsi="宋体" w:eastAsia="宋体" w:cs="宋体"/>
                <w:kern w:val="0"/>
                <w:sz w:val="20"/>
                <w:szCs w:val="20"/>
                <w:highlight w:val="none"/>
                <w:lang w:eastAsia="zh-CN"/>
              </w:rPr>
              <w:t>我</w:t>
            </w:r>
            <w:r>
              <w:rPr>
                <w:rFonts w:hint="eastAsia" w:ascii="宋体" w:hAnsi="宋体" w:eastAsia="宋体" w:cs="宋体"/>
                <w:kern w:val="0"/>
                <w:sz w:val="20"/>
                <w:szCs w:val="20"/>
                <w:highlight w:val="none"/>
              </w:rPr>
              <w:t>单位没有政府性基金收入，也没有使用政府性基金安排的支出</w:t>
            </w:r>
            <w:r>
              <w:rPr>
                <w:rFonts w:hint="eastAsia" w:ascii="宋体" w:hAnsi="宋体" w:eastAsia="宋体" w:cs="宋体"/>
                <w:kern w:val="0"/>
                <w:sz w:val="20"/>
                <w:szCs w:val="20"/>
                <w:highlight w:val="none"/>
                <w:lang w:eastAsia="zh-CN"/>
              </w:rPr>
              <w:t>，故此表无数据。</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132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132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132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132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132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c>
          <w:tcPr>
            <w:tcW w:w="2000" w:type="dxa"/>
            <w:shd w:val="clear" w:color="auto" w:fill="auto"/>
            <w:vAlign w:val="center"/>
          </w:tcPr>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w:t>
            </w:r>
          </w:p>
        </w:tc>
      </w:tr>
    </w:tbl>
    <w:p>
      <w:pPr>
        <w:widowControl/>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注：本表反映部门本年度政府性基金预算财政拨款收入、支出及结转和结余情况</w:t>
      </w:r>
    </w:p>
    <w:p>
      <w:pPr>
        <w:widowControl/>
        <w:jc w:val="left"/>
        <w:rPr>
          <w:rFonts w:ascii="黑体" w:hAnsi="黑体" w:eastAsia="黑体"/>
          <w:szCs w:val="21"/>
          <w:highlight w:val="none"/>
        </w:rPr>
      </w:pPr>
      <w:r>
        <w:rPr>
          <w:rFonts w:ascii="黑体" w:hAnsi="黑体" w:eastAsia="黑体"/>
          <w:szCs w:val="21"/>
          <w:highlight w:val="none"/>
        </w:rPr>
        <w:br w:type="page"/>
      </w:r>
    </w:p>
    <w:tbl>
      <w:tblPr>
        <w:tblStyle w:val="11"/>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highlight w:val="none"/>
              </w:rPr>
            </w:pPr>
            <w:r>
              <w:rPr>
                <w:rFonts w:hint="eastAsia" w:ascii="华文中宋" w:hAnsi="华文中宋" w:eastAsia="华文中宋" w:cs="宋体"/>
                <w:kern w:val="0"/>
                <w:sz w:val="32"/>
                <w:szCs w:val="32"/>
                <w:highlight w:val="none"/>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公开09表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部门：</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highlight w:val="none"/>
              </w:rPr>
            </w:pPr>
            <w:r>
              <w:rPr>
                <w:rFonts w:hint="eastAsia"/>
                <w:highlight w:val="none"/>
                <w:lang w:eastAsia="zh-CN"/>
              </w:rPr>
              <w:t>湘乡市住房和城乡建设局</w:t>
            </w:r>
            <w:r>
              <w:rPr>
                <w:rFonts w:hint="eastAsia"/>
                <w:highlight w:val="none"/>
              </w:rPr>
              <w:t>　</w:t>
            </w:r>
            <w:r>
              <w:rPr>
                <w:rFonts w:hint="eastAsia" w:ascii="宋体" w:hAnsi="宋体" w:eastAsia="宋体" w:cs="宋体"/>
                <w:kern w:val="0"/>
                <w:sz w:val="20"/>
                <w:szCs w:val="20"/>
                <w:highlight w:val="none"/>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 xml:space="preserve">项 </w:t>
            </w:r>
            <w:r>
              <w:rPr>
                <w:rFonts w:hint="eastAsia" w:ascii="宋体" w:hAnsi="宋体" w:eastAsia="宋体" w:cs="宋体"/>
                <w:color w:val="000000"/>
                <w:kern w:val="0"/>
                <w:sz w:val="22"/>
                <w:highlight w:val="none"/>
              </w:rPr>
              <w:t xml:space="preserve">   </w:t>
            </w:r>
            <w:r>
              <w:rPr>
                <w:rFonts w:hint="eastAsia" w:ascii="宋体" w:hAnsi="宋体" w:eastAsia="宋体" w:cs="宋体"/>
                <w:kern w:val="0"/>
                <w:sz w:val="24"/>
                <w:szCs w:val="24"/>
                <w:highlight w:val="none"/>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highlight w:val="none"/>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highlight w:val="none"/>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highlight w:val="none"/>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highlight w:val="none"/>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highlight w:val="none"/>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highlight w:val="none"/>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highlight w:val="none"/>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highlight w:val="none"/>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highlight w:val="none"/>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highlight w:val="none"/>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0"/>
                <w:szCs w:val="20"/>
                <w:highlight w:val="none"/>
                <w:lang w:eastAsia="zh-CN"/>
              </w:rPr>
            </w:pPr>
            <w:r>
              <w:rPr>
                <w:rFonts w:hint="eastAsia" w:ascii="宋体" w:hAnsi="宋体" w:eastAsia="宋体" w:cs="宋体"/>
                <w:kern w:val="0"/>
                <w:sz w:val="20"/>
                <w:szCs w:val="20"/>
                <w:highlight w:val="none"/>
              </w:rPr>
              <w:t>　2021年</w:t>
            </w:r>
            <w:r>
              <w:rPr>
                <w:rFonts w:hint="eastAsia" w:ascii="宋体" w:hAnsi="宋体" w:eastAsia="宋体" w:cs="宋体"/>
                <w:kern w:val="0"/>
                <w:sz w:val="20"/>
                <w:szCs w:val="20"/>
                <w:highlight w:val="none"/>
                <w:lang w:eastAsia="zh-CN"/>
              </w:rPr>
              <w:t>我</w:t>
            </w:r>
            <w:r>
              <w:rPr>
                <w:rFonts w:hint="eastAsia" w:ascii="宋体" w:hAnsi="宋体" w:eastAsia="宋体" w:cs="宋体"/>
                <w:kern w:val="0"/>
                <w:sz w:val="20"/>
                <w:szCs w:val="20"/>
                <w:highlight w:val="none"/>
              </w:rPr>
              <w:t>单位没有</w:t>
            </w:r>
            <w:r>
              <w:rPr>
                <w:rFonts w:hint="eastAsia" w:ascii="宋体" w:hAnsi="宋体" w:eastAsia="宋体" w:cs="宋体"/>
                <w:kern w:val="0"/>
                <w:sz w:val="20"/>
                <w:szCs w:val="20"/>
                <w:highlight w:val="none"/>
                <w:lang w:eastAsia="zh-CN"/>
              </w:rPr>
              <w:t>国有资本经营预算财政拨款</w:t>
            </w:r>
            <w:r>
              <w:rPr>
                <w:rFonts w:hint="eastAsia" w:ascii="宋体" w:hAnsi="宋体" w:eastAsia="宋体" w:cs="宋体"/>
                <w:kern w:val="0"/>
                <w:sz w:val="20"/>
                <w:szCs w:val="20"/>
                <w:highlight w:val="none"/>
              </w:rPr>
              <w:t>收入，也没有使用</w:t>
            </w:r>
            <w:r>
              <w:rPr>
                <w:rFonts w:hint="eastAsia" w:ascii="宋体" w:hAnsi="宋体" w:eastAsia="宋体" w:cs="宋体"/>
                <w:kern w:val="0"/>
                <w:sz w:val="20"/>
                <w:szCs w:val="20"/>
                <w:highlight w:val="none"/>
                <w:lang w:eastAsia="zh-CN"/>
              </w:rPr>
              <w:t>国有资本经营预算财政拨款</w:t>
            </w:r>
            <w:r>
              <w:rPr>
                <w:rFonts w:hint="eastAsia" w:ascii="宋体" w:hAnsi="宋体" w:eastAsia="宋体" w:cs="宋体"/>
                <w:kern w:val="0"/>
                <w:sz w:val="20"/>
                <w:szCs w:val="20"/>
                <w:highlight w:val="none"/>
              </w:rPr>
              <w:t>安排的支出</w:t>
            </w:r>
            <w:r>
              <w:rPr>
                <w:rFonts w:hint="eastAsia" w:ascii="宋体" w:hAnsi="宋体" w:eastAsia="宋体" w:cs="宋体"/>
                <w:kern w:val="0"/>
                <w:sz w:val="20"/>
                <w:szCs w:val="20"/>
                <w:highlight w:val="none"/>
                <w:lang w:eastAsia="zh-CN"/>
              </w:rPr>
              <w:t>，故此表无数据。</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注：本表反映部门本年度国有资本经营预算财政拨款支出情况。</w:t>
            </w:r>
          </w:p>
        </w:tc>
      </w:tr>
    </w:tbl>
    <w:p>
      <w:pPr>
        <w:pStyle w:val="15"/>
        <w:rPr>
          <w:sz w:val="72"/>
          <w:szCs w:val="72"/>
          <w:highlight w:val="none"/>
        </w:rPr>
        <w:sectPr>
          <w:pgSz w:w="16838" w:h="11906" w:orient="landscape"/>
          <w:pgMar w:top="720" w:right="720" w:bottom="720" w:left="720" w:header="851" w:footer="992" w:gutter="0"/>
          <w:cols w:space="425" w:num="1"/>
          <w:docGrid w:type="lines" w:linePitch="312" w:charSpace="0"/>
        </w:sectPr>
      </w:pPr>
    </w:p>
    <w:p>
      <w:pPr>
        <w:pStyle w:val="15"/>
        <w:jc w:val="both"/>
        <w:rPr>
          <w:sz w:val="72"/>
          <w:szCs w:val="72"/>
          <w:highlight w:val="none"/>
        </w:rPr>
      </w:pPr>
    </w:p>
    <w:p>
      <w:pPr>
        <w:pStyle w:val="15"/>
        <w:jc w:val="both"/>
        <w:rPr>
          <w:sz w:val="72"/>
          <w:szCs w:val="72"/>
          <w:highlight w:val="none"/>
        </w:rPr>
      </w:pPr>
    </w:p>
    <w:p>
      <w:pPr>
        <w:pStyle w:val="15"/>
        <w:jc w:val="both"/>
        <w:rPr>
          <w:sz w:val="72"/>
          <w:szCs w:val="72"/>
          <w:highlight w:val="none"/>
        </w:rPr>
      </w:pPr>
    </w:p>
    <w:p>
      <w:pPr>
        <w:pStyle w:val="15"/>
        <w:jc w:val="both"/>
        <w:rPr>
          <w:sz w:val="72"/>
          <w:szCs w:val="72"/>
          <w:highlight w:val="none"/>
        </w:rPr>
      </w:pPr>
    </w:p>
    <w:p>
      <w:pPr>
        <w:pStyle w:val="15"/>
        <w:jc w:val="center"/>
        <w:rPr>
          <w:sz w:val="72"/>
          <w:szCs w:val="72"/>
          <w:highlight w:val="none"/>
        </w:rPr>
      </w:pPr>
      <w:r>
        <w:rPr>
          <w:rFonts w:hint="eastAsia"/>
          <w:sz w:val="72"/>
          <w:szCs w:val="72"/>
          <w:highlight w:val="none"/>
        </w:rPr>
        <w:t>第三部分</w:t>
      </w:r>
    </w:p>
    <w:p>
      <w:pPr>
        <w:pStyle w:val="15"/>
        <w:jc w:val="center"/>
        <w:rPr>
          <w:sz w:val="70"/>
          <w:szCs w:val="70"/>
          <w:highlight w:val="none"/>
        </w:rPr>
      </w:pPr>
    </w:p>
    <w:p>
      <w:pPr>
        <w:pStyle w:val="15"/>
        <w:jc w:val="center"/>
        <w:rPr>
          <w:sz w:val="70"/>
          <w:szCs w:val="70"/>
          <w:highlight w:val="none"/>
        </w:rPr>
      </w:pPr>
      <w:r>
        <w:rPr>
          <w:sz w:val="70"/>
          <w:szCs w:val="70"/>
          <w:highlight w:val="none"/>
        </w:rPr>
        <w:t>20</w:t>
      </w:r>
      <w:r>
        <w:rPr>
          <w:rFonts w:hint="eastAsia"/>
          <w:sz w:val="70"/>
          <w:szCs w:val="70"/>
          <w:highlight w:val="none"/>
        </w:rPr>
        <w:t>21年度部门决算情况说明</w:t>
      </w:r>
    </w:p>
    <w:p>
      <w:pPr>
        <w:widowControl/>
        <w:jc w:val="left"/>
        <w:rPr>
          <w:rFonts w:asciiTheme="minorEastAsia" w:hAnsiTheme="minorEastAsia" w:eastAsiaTheme="minorEastAsia"/>
          <w:sz w:val="32"/>
          <w:szCs w:val="32"/>
          <w:highlight w:val="none"/>
        </w:rPr>
      </w:pPr>
      <w:r>
        <w:rPr>
          <w:sz w:val="70"/>
          <w:szCs w:val="70"/>
          <w:highlight w:val="none"/>
        </w:rPr>
        <w:br w:type="page"/>
      </w:r>
    </w:p>
    <w:p>
      <w:pPr>
        <w:pStyle w:val="15"/>
        <w:ind w:firstLine="640" w:firstLineChars="200"/>
        <w:rPr>
          <w:rFonts w:hAnsi="黑体"/>
          <w:b/>
          <w:sz w:val="32"/>
          <w:szCs w:val="32"/>
          <w:highlight w:val="none"/>
        </w:rPr>
      </w:pPr>
      <w:r>
        <w:rPr>
          <w:rFonts w:hint="eastAsia" w:hAnsi="黑体"/>
          <w:b/>
          <w:sz w:val="32"/>
          <w:szCs w:val="32"/>
          <w:highlight w:val="none"/>
        </w:rPr>
        <w:t>一、收入支出决算总体情况说明</w:t>
      </w:r>
    </w:p>
    <w:p>
      <w:pPr>
        <w:pStyle w:val="15"/>
        <w:ind w:firstLine="640" w:firstLineChars="200"/>
        <w:rPr>
          <w:rFonts w:hint="default" w:asciiTheme="minorEastAsia" w:hAnsiTheme="minorEastAsia" w:eastAsiaTheme="minorEastAsia"/>
          <w:sz w:val="32"/>
          <w:szCs w:val="32"/>
          <w:highlight w:val="none"/>
          <w:lang w:val="en-US" w:eastAsia="zh-CN"/>
        </w:rPr>
      </w:pPr>
      <w:r>
        <w:rPr>
          <w:rFonts w:hint="eastAsia" w:asciiTheme="minorEastAsia" w:hAnsiTheme="minorEastAsia" w:eastAsiaTheme="minorEastAsia"/>
          <w:sz w:val="32"/>
          <w:szCs w:val="32"/>
          <w:highlight w:val="none"/>
        </w:rPr>
        <w:t>2021年度收、支总计</w:t>
      </w:r>
      <w:r>
        <w:rPr>
          <w:rFonts w:hint="eastAsia" w:asciiTheme="minorEastAsia" w:hAnsiTheme="minorEastAsia" w:eastAsiaTheme="minorEastAsia"/>
          <w:sz w:val="32"/>
          <w:szCs w:val="32"/>
          <w:highlight w:val="none"/>
          <w:lang w:val="en-US" w:eastAsia="zh-CN"/>
        </w:rPr>
        <w:t>3450.07</w:t>
      </w:r>
      <w:r>
        <w:rPr>
          <w:rFonts w:hint="eastAsia" w:asciiTheme="minorEastAsia" w:hAnsiTheme="minorEastAsia" w:eastAsiaTheme="minorEastAsia"/>
          <w:sz w:val="32"/>
          <w:szCs w:val="32"/>
          <w:highlight w:val="none"/>
        </w:rPr>
        <w:t>万元</w:t>
      </w:r>
      <w:r>
        <w:rPr>
          <w:rFonts w:hint="eastAsia" w:asciiTheme="minorEastAsia" w:hAnsiTheme="minorEastAsia" w:eastAsiaTheme="minorEastAsia"/>
          <w:sz w:val="32"/>
          <w:szCs w:val="32"/>
          <w:highlight w:val="none"/>
          <w:lang w:eastAsia="zh-CN"/>
        </w:rPr>
        <w:t>，本年收入</w:t>
      </w:r>
      <w:r>
        <w:rPr>
          <w:rFonts w:hint="eastAsia" w:asciiTheme="minorEastAsia" w:hAnsiTheme="minorEastAsia" w:eastAsiaTheme="minorEastAsia"/>
          <w:sz w:val="32"/>
          <w:szCs w:val="32"/>
          <w:highlight w:val="none"/>
          <w:lang w:val="en-US" w:eastAsia="zh-CN"/>
        </w:rPr>
        <w:t>2907.38万元，年初结转结余542.69万元</w:t>
      </w:r>
      <w:r>
        <w:rPr>
          <w:rFonts w:hint="eastAsia" w:asciiTheme="minorEastAsia" w:hAnsiTheme="minorEastAsia" w:eastAsiaTheme="minorEastAsia"/>
          <w:sz w:val="32"/>
          <w:szCs w:val="32"/>
          <w:highlight w:val="none"/>
        </w:rPr>
        <w:t>。与上年相比，减少万元</w:t>
      </w:r>
      <w:r>
        <w:rPr>
          <w:rFonts w:hint="eastAsia" w:asciiTheme="minorEastAsia" w:hAnsiTheme="minorEastAsia" w:eastAsiaTheme="minorEastAsia"/>
          <w:sz w:val="32"/>
          <w:szCs w:val="32"/>
          <w:highlight w:val="none"/>
          <w:lang w:val="en-US" w:eastAsia="zh-CN"/>
        </w:rPr>
        <w:t>1368.12万元</w:t>
      </w:r>
      <w:r>
        <w:rPr>
          <w:rFonts w:hint="eastAsia" w:asciiTheme="minorEastAsia" w:hAnsiTheme="minorEastAsia" w:eastAsiaTheme="minorEastAsia"/>
          <w:sz w:val="32"/>
          <w:szCs w:val="32"/>
          <w:highlight w:val="none"/>
        </w:rPr>
        <w:t>，减少</w:t>
      </w:r>
      <w:r>
        <w:rPr>
          <w:rFonts w:hint="eastAsia" w:asciiTheme="minorEastAsia" w:hAnsiTheme="minorEastAsia" w:eastAsiaTheme="minorEastAsia"/>
          <w:sz w:val="32"/>
          <w:szCs w:val="32"/>
          <w:highlight w:val="none"/>
          <w:lang w:val="en-US" w:eastAsia="zh-CN"/>
        </w:rPr>
        <w:t>28.39</w:t>
      </w:r>
      <w:r>
        <w:rPr>
          <w:rFonts w:hint="eastAsia" w:asciiTheme="minorEastAsia" w:hAnsiTheme="minorEastAsia" w:eastAsiaTheme="minorEastAsia"/>
          <w:sz w:val="32"/>
          <w:szCs w:val="32"/>
          <w:highlight w:val="none"/>
        </w:rPr>
        <w:t>%，主要是因为</w:t>
      </w:r>
      <w:r>
        <w:rPr>
          <w:rFonts w:hint="eastAsia" w:asciiTheme="minorEastAsia" w:hAnsiTheme="minorEastAsia" w:eastAsiaTheme="minorEastAsia"/>
          <w:sz w:val="32"/>
          <w:szCs w:val="32"/>
          <w:highlight w:val="none"/>
          <w:lang w:eastAsia="zh-CN"/>
        </w:rPr>
        <w:t>本年收入减少</w:t>
      </w:r>
      <w:r>
        <w:rPr>
          <w:rFonts w:hint="eastAsia" w:asciiTheme="minorEastAsia" w:hAnsiTheme="minorEastAsia" w:eastAsiaTheme="minorEastAsia"/>
          <w:sz w:val="32"/>
          <w:szCs w:val="32"/>
          <w:highlight w:val="none"/>
          <w:lang w:val="en-US" w:eastAsia="zh-CN"/>
        </w:rPr>
        <w:t>1180.70万元，年初结转结余减少187.42万元。</w:t>
      </w:r>
    </w:p>
    <w:p>
      <w:pPr>
        <w:pStyle w:val="15"/>
        <w:ind w:firstLine="640" w:firstLineChars="200"/>
        <w:rPr>
          <w:rFonts w:hAnsi="黑体"/>
          <w:b/>
          <w:sz w:val="32"/>
          <w:szCs w:val="32"/>
          <w:highlight w:val="none"/>
        </w:rPr>
      </w:pPr>
      <w:r>
        <w:rPr>
          <w:rFonts w:hint="eastAsia" w:hAnsi="黑体"/>
          <w:b/>
          <w:sz w:val="32"/>
          <w:szCs w:val="32"/>
          <w:highlight w:val="none"/>
        </w:rPr>
        <w:t>二、收入决算情况说明</w:t>
      </w:r>
    </w:p>
    <w:p>
      <w:pPr>
        <w:pStyle w:val="15"/>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2021年度收入合计</w:t>
      </w:r>
      <w:r>
        <w:rPr>
          <w:rFonts w:hint="eastAsia" w:asciiTheme="minorEastAsia" w:hAnsiTheme="minorEastAsia" w:eastAsiaTheme="minorEastAsia"/>
          <w:sz w:val="32"/>
          <w:szCs w:val="32"/>
          <w:highlight w:val="none"/>
          <w:lang w:val="en-US" w:eastAsia="zh-CN"/>
        </w:rPr>
        <w:t>2907.38</w:t>
      </w:r>
      <w:r>
        <w:rPr>
          <w:rFonts w:hint="eastAsia" w:asciiTheme="minorEastAsia" w:hAnsiTheme="minorEastAsia" w:eastAsiaTheme="minorEastAsia"/>
          <w:sz w:val="32"/>
          <w:szCs w:val="32"/>
          <w:highlight w:val="none"/>
        </w:rPr>
        <w:t>万元，其中：财政拨款收入</w:t>
      </w:r>
      <w:r>
        <w:rPr>
          <w:rFonts w:hint="eastAsia" w:asciiTheme="minorEastAsia" w:hAnsiTheme="minorEastAsia" w:eastAsiaTheme="minorEastAsia"/>
          <w:sz w:val="32"/>
          <w:szCs w:val="32"/>
          <w:highlight w:val="none"/>
          <w:lang w:val="en-US" w:eastAsia="zh-CN"/>
        </w:rPr>
        <w:t>2907.38</w:t>
      </w:r>
      <w:r>
        <w:rPr>
          <w:rFonts w:hint="eastAsia" w:asciiTheme="minorEastAsia" w:hAnsiTheme="minorEastAsia" w:eastAsiaTheme="minorEastAsia"/>
          <w:sz w:val="32"/>
          <w:szCs w:val="32"/>
          <w:highlight w:val="none"/>
        </w:rPr>
        <w:t>万元，占</w:t>
      </w:r>
      <w:r>
        <w:rPr>
          <w:rFonts w:hint="eastAsia" w:asciiTheme="minorEastAsia" w:hAnsiTheme="minorEastAsia" w:eastAsiaTheme="minorEastAsia"/>
          <w:sz w:val="32"/>
          <w:szCs w:val="32"/>
          <w:highlight w:val="none"/>
          <w:lang w:val="en-US" w:eastAsia="zh-CN"/>
        </w:rPr>
        <w:t>100</w:t>
      </w:r>
      <w:r>
        <w:rPr>
          <w:rFonts w:hint="eastAsia" w:asciiTheme="minorEastAsia" w:hAnsiTheme="minorEastAsia" w:eastAsiaTheme="minorEastAsia"/>
          <w:sz w:val="32"/>
          <w:szCs w:val="32"/>
          <w:highlight w:val="none"/>
        </w:rPr>
        <w:t>%。</w:t>
      </w:r>
    </w:p>
    <w:p>
      <w:pPr>
        <w:pStyle w:val="15"/>
        <w:ind w:firstLine="640" w:firstLineChars="200"/>
        <w:rPr>
          <w:rFonts w:hAnsi="黑体"/>
          <w:b/>
          <w:sz w:val="32"/>
          <w:szCs w:val="32"/>
          <w:highlight w:val="none"/>
        </w:rPr>
      </w:pPr>
      <w:r>
        <w:rPr>
          <w:rFonts w:hint="eastAsia" w:hAnsi="黑体"/>
          <w:b/>
          <w:sz w:val="32"/>
          <w:szCs w:val="32"/>
          <w:highlight w:val="none"/>
        </w:rPr>
        <w:t>三、支出决算情况说明</w:t>
      </w:r>
    </w:p>
    <w:p>
      <w:pPr>
        <w:pStyle w:val="15"/>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2021年度支出合计</w:t>
      </w:r>
      <w:r>
        <w:rPr>
          <w:rFonts w:hint="eastAsia" w:asciiTheme="minorEastAsia" w:hAnsiTheme="minorEastAsia" w:eastAsiaTheme="minorEastAsia"/>
          <w:sz w:val="32"/>
          <w:szCs w:val="32"/>
          <w:highlight w:val="none"/>
          <w:lang w:val="en-US" w:eastAsia="zh-CN"/>
        </w:rPr>
        <w:t>3029.90</w:t>
      </w:r>
      <w:r>
        <w:rPr>
          <w:rFonts w:hint="eastAsia" w:asciiTheme="minorEastAsia" w:hAnsiTheme="minorEastAsia" w:eastAsiaTheme="minorEastAsia"/>
          <w:sz w:val="32"/>
          <w:szCs w:val="32"/>
          <w:highlight w:val="none"/>
        </w:rPr>
        <w:t>万元，其中：基本支出</w:t>
      </w:r>
      <w:r>
        <w:rPr>
          <w:rFonts w:hint="eastAsia" w:asciiTheme="minorEastAsia" w:hAnsiTheme="minorEastAsia" w:eastAsiaTheme="minorEastAsia"/>
          <w:sz w:val="32"/>
          <w:szCs w:val="32"/>
          <w:highlight w:val="none"/>
          <w:lang w:val="en-US" w:eastAsia="zh-CN"/>
        </w:rPr>
        <w:t>1680.32</w:t>
      </w:r>
      <w:r>
        <w:rPr>
          <w:rFonts w:hint="eastAsia" w:asciiTheme="minorEastAsia" w:hAnsiTheme="minorEastAsia" w:eastAsiaTheme="minorEastAsia"/>
          <w:sz w:val="32"/>
          <w:szCs w:val="32"/>
          <w:highlight w:val="none"/>
        </w:rPr>
        <w:t>万元，占</w:t>
      </w:r>
      <w:r>
        <w:rPr>
          <w:rFonts w:hint="eastAsia" w:asciiTheme="minorEastAsia" w:hAnsiTheme="minorEastAsia" w:eastAsiaTheme="minorEastAsia"/>
          <w:sz w:val="32"/>
          <w:szCs w:val="32"/>
          <w:highlight w:val="none"/>
          <w:lang w:val="en-US" w:eastAsia="zh-CN"/>
        </w:rPr>
        <w:t>55.46</w:t>
      </w:r>
      <w:r>
        <w:rPr>
          <w:rFonts w:hint="eastAsia" w:asciiTheme="minorEastAsia" w:hAnsiTheme="minorEastAsia" w:eastAsiaTheme="minorEastAsia"/>
          <w:sz w:val="32"/>
          <w:szCs w:val="32"/>
          <w:highlight w:val="none"/>
        </w:rPr>
        <w:t>%；项目支出</w:t>
      </w:r>
      <w:r>
        <w:rPr>
          <w:rFonts w:hint="eastAsia" w:asciiTheme="minorEastAsia" w:hAnsiTheme="minorEastAsia" w:eastAsiaTheme="minorEastAsia"/>
          <w:sz w:val="32"/>
          <w:szCs w:val="32"/>
          <w:highlight w:val="none"/>
          <w:lang w:val="en-US" w:eastAsia="zh-CN"/>
        </w:rPr>
        <w:t>1349.58</w:t>
      </w:r>
      <w:r>
        <w:rPr>
          <w:rFonts w:hint="eastAsia" w:asciiTheme="minorEastAsia" w:hAnsiTheme="minorEastAsia" w:eastAsiaTheme="minorEastAsia"/>
          <w:sz w:val="32"/>
          <w:szCs w:val="32"/>
          <w:highlight w:val="none"/>
        </w:rPr>
        <w:t>万元，占</w:t>
      </w:r>
      <w:r>
        <w:rPr>
          <w:rFonts w:hint="eastAsia" w:asciiTheme="minorEastAsia" w:hAnsiTheme="minorEastAsia" w:eastAsiaTheme="minorEastAsia"/>
          <w:sz w:val="32"/>
          <w:szCs w:val="32"/>
          <w:highlight w:val="none"/>
          <w:lang w:val="en-US" w:eastAsia="zh-CN"/>
        </w:rPr>
        <w:t>44.54</w:t>
      </w:r>
      <w:r>
        <w:rPr>
          <w:rFonts w:hint="eastAsia" w:asciiTheme="minorEastAsia" w:hAnsiTheme="minorEastAsia" w:eastAsiaTheme="minorEastAsia"/>
          <w:sz w:val="32"/>
          <w:szCs w:val="32"/>
          <w:highlight w:val="none"/>
        </w:rPr>
        <w:t>%。</w:t>
      </w:r>
    </w:p>
    <w:p>
      <w:pPr>
        <w:pStyle w:val="15"/>
        <w:ind w:firstLine="640" w:firstLineChars="200"/>
        <w:rPr>
          <w:rFonts w:hAnsi="黑体"/>
          <w:b/>
          <w:sz w:val="32"/>
          <w:szCs w:val="32"/>
          <w:highlight w:val="none"/>
        </w:rPr>
      </w:pPr>
      <w:r>
        <w:rPr>
          <w:rFonts w:hint="eastAsia" w:hAnsi="黑体"/>
          <w:b/>
          <w:sz w:val="32"/>
          <w:szCs w:val="32"/>
          <w:highlight w:val="none"/>
        </w:rPr>
        <w:t>四、财政拨款收入支出决算总体情况说明</w:t>
      </w:r>
    </w:p>
    <w:p>
      <w:pPr>
        <w:pStyle w:val="15"/>
        <w:rPr>
          <w:rFonts w:hint="eastAsia" w:asciiTheme="minorEastAsia" w:hAnsiTheme="minorEastAsia" w:eastAsiaTheme="minorEastAsia"/>
          <w:sz w:val="32"/>
          <w:szCs w:val="32"/>
          <w:highlight w:val="none"/>
          <w:lang w:eastAsia="zh-CN"/>
        </w:rPr>
      </w:pPr>
      <w:r>
        <w:rPr>
          <w:rFonts w:hint="eastAsia" w:asciiTheme="minorEastAsia" w:hAnsiTheme="minorEastAsia" w:eastAsiaTheme="minorEastAsia"/>
          <w:sz w:val="32"/>
          <w:szCs w:val="32"/>
          <w:highlight w:val="none"/>
        </w:rPr>
        <w:t xml:space="preserve">    2021年度财政拨款收、支总计</w:t>
      </w:r>
      <w:r>
        <w:rPr>
          <w:rFonts w:hint="eastAsia" w:asciiTheme="minorEastAsia" w:hAnsiTheme="minorEastAsia" w:eastAsiaTheme="minorEastAsia"/>
          <w:sz w:val="32"/>
          <w:szCs w:val="32"/>
          <w:highlight w:val="none"/>
          <w:lang w:val="en-US" w:eastAsia="zh-CN"/>
        </w:rPr>
        <w:t>2907.38</w:t>
      </w:r>
      <w:r>
        <w:rPr>
          <w:rFonts w:hint="eastAsia" w:asciiTheme="minorEastAsia" w:hAnsiTheme="minorEastAsia" w:eastAsiaTheme="minorEastAsia"/>
          <w:sz w:val="32"/>
          <w:szCs w:val="32"/>
          <w:highlight w:val="none"/>
        </w:rPr>
        <w:t>万元，与上年相比，减少</w:t>
      </w:r>
      <w:r>
        <w:rPr>
          <w:rFonts w:hint="eastAsia" w:asciiTheme="minorEastAsia" w:hAnsiTheme="minorEastAsia" w:eastAsiaTheme="minorEastAsia"/>
          <w:sz w:val="32"/>
          <w:szCs w:val="32"/>
          <w:highlight w:val="none"/>
          <w:lang w:val="en-US" w:eastAsia="zh-CN"/>
        </w:rPr>
        <w:t>1050.83</w:t>
      </w:r>
      <w:r>
        <w:rPr>
          <w:rFonts w:hint="eastAsia" w:asciiTheme="minorEastAsia" w:hAnsiTheme="minorEastAsia" w:eastAsiaTheme="minorEastAsia"/>
          <w:sz w:val="32"/>
          <w:szCs w:val="32"/>
          <w:highlight w:val="none"/>
        </w:rPr>
        <w:t>万元,减少</w:t>
      </w:r>
      <w:r>
        <w:rPr>
          <w:rFonts w:hint="eastAsia" w:asciiTheme="minorEastAsia" w:hAnsiTheme="minorEastAsia" w:eastAsiaTheme="minorEastAsia"/>
          <w:sz w:val="32"/>
          <w:szCs w:val="32"/>
          <w:highlight w:val="none"/>
          <w:lang w:val="en-US" w:eastAsia="zh-CN"/>
        </w:rPr>
        <w:t>26.55</w:t>
      </w:r>
      <w:r>
        <w:rPr>
          <w:rFonts w:hint="eastAsia" w:asciiTheme="minorEastAsia" w:hAnsiTheme="minorEastAsia" w:eastAsiaTheme="minorEastAsia"/>
          <w:sz w:val="32"/>
          <w:szCs w:val="32"/>
          <w:highlight w:val="none"/>
        </w:rPr>
        <w:t>%，主要是因为</w:t>
      </w:r>
      <w:r>
        <w:rPr>
          <w:rFonts w:hint="eastAsia" w:asciiTheme="minorEastAsia" w:hAnsiTheme="minorEastAsia" w:eastAsiaTheme="minorEastAsia"/>
          <w:sz w:val="32"/>
          <w:szCs w:val="32"/>
          <w:highlight w:val="none"/>
          <w:lang w:eastAsia="zh-CN"/>
        </w:rPr>
        <w:t>本年政府性基金预算财政拨款与上年相比减少</w:t>
      </w:r>
      <w:r>
        <w:rPr>
          <w:rFonts w:hint="eastAsia" w:asciiTheme="minorEastAsia" w:hAnsiTheme="minorEastAsia" w:eastAsiaTheme="minorEastAsia"/>
          <w:sz w:val="32"/>
          <w:szCs w:val="32"/>
          <w:highlight w:val="none"/>
          <w:lang w:val="en-US" w:eastAsia="zh-CN"/>
        </w:rPr>
        <w:t>100%，一般公共预算财政拨款与上年相比减少950.83万元</w:t>
      </w:r>
      <w:r>
        <w:rPr>
          <w:rFonts w:hint="eastAsia" w:asciiTheme="minorEastAsia" w:hAnsiTheme="minorEastAsia" w:eastAsiaTheme="minorEastAsia"/>
          <w:sz w:val="32"/>
          <w:szCs w:val="32"/>
          <w:highlight w:val="none"/>
          <w:lang w:eastAsia="zh-CN"/>
        </w:rPr>
        <w:t>。</w:t>
      </w:r>
    </w:p>
    <w:p>
      <w:pPr>
        <w:pStyle w:val="15"/>
        <w:ind w:firstLine="640" w:firstLineChars="200"/>
        <w:rPr>
          <w:rFonts w:hAnsi="黑体"/>
          <w:b/>
          <w:sz w:val="32"/>
          <w:szCs w:val="32"/>
          <w:highlight w:val="none"/>
        </w:rPr>
      </w:pPr>
      <w:r>
        <w:rPr>
          <w:rFonts w:hint="eastAsia" w:hAnsi="黑体"/>
          <w:b/>
          <w:sz w:val="32"/>
          <w:szCs w:val="32"/>
          <w:highlight w:val="none"/>
        </w:rPr>
        <w:t>五、一般公共预算财政拨款支出决算情况说明</w:t>
      </w:r>
    </w:p>
    <w:p>
      <w:pPr>
        <w:pStyle w:val="15"/>
        <w:ind w:firstLine="640" w:firstLineChars="200"/>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（一）财政拨款支出决算总体情况</w:t>
      </w:r>
    </w:p>
    <w:p>
      <w:pPr>
        <w:pStyle w:val="15"/>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2021年度财政拨款支出</w:t>
      </w:r>
      <w:r>
        <w:rPr>
          <w:rFonts w:hint="eastAsia" w:asciiTheme="minorEastAsia" w:hAnsiTheme="minorEastAsia" w:eastAsiaTheme="minorEastAsia"/>
          <w:sz w:val="32"/>
          <w:szCs w:val="32"/>
          <w:highlight w:val="none"/>
          <w:lang w:val="en-US" w:eastAsia="zh-CN"/>
        </w:rPr>
        <w:t>2907.38</w:t>
      </w:r>
      <w:r>
        <w:rPr>
          <w:rFonts w:hint="eastAsia" w:asciiTheme="minorEastAsia" w:hAnsiTheme="minorEastAsia" w:eastAsiaTheme="minorEastAsia"/>
          <w:sz w:val="32"/>
          <w:szCs w:val="32"/>
          <w:highlight w:val="none"/>
        </w:rPr>
        <w:t>万元，占本年支出合计的</w:t>
      </w:r>
      <w:r>
        <w:rPr>
          <w:rFonts w:hint="eastAsia" w:asciiTheme="minorEastAsia" w:hAnsiTheme="minorEastAsia" w:eastAsiaTheme="minorEastAsia"/>
          <w:sz w:val="32"/>
          <w:szCs w:val="32"/>
          <w:highlight w:val="none"/>
          <w:lang w:val="en-US" w:eastAsia="zh-CN"/>
        </w:rPr>
        <w:t>100</w:t>
      </w:r>
      <w:r>
        <w:rPr>
          <w:rFonts w:hint="eastAsia" w:asciiTheme="minorEastAsia" w:hAnsiTheme="minorEastAsia" w:eastAsiaTheme="minorEastAsia"/>
          <w:sz w:val="32"/>
          <w:szCs w:val="32"/>
          <w:highlight w:val="none"/>
        </w:rPr>
        <w:t>%，与上年相比，财政拨款支出减少</w:t>
      </w:r>
      <w:r>
        <w:rPr>
          <w:rFonts w:hint="eastAsia" w:asciiTheme="minorEastAsia" w:hAnsiTheme="minorEastAsia" w:eastAsiaTheme="minorEastAsia"/>
          <w:sz w:val="32"/>
          <w:szCs w:val="32"/>
          <w:highlight w:val="none"/>
          <w:lang w:val="en-US" w:eastAsia="zh-CN"/>
        </w:rPr>
        <w:t>1050.83</w:t>
      </w:r>
      <w:r>
        <w:rPr>
          <w:rFonts w:hint="eastAsia" w:asciiTheme="minorEastAsia" w:hAnsiTheme="minorEastAsia" w:eastAsiaTheme="minorEastAsia"/>
          <w:sz w:val="32"/>
          <w:szCs w:val="32"/>
          <w:highlight w:val="none"/>
        </w:rPr>
        <w:t>万元，减</w:t>
      </w:r>
      <w:r>
        <w:rPr>
          <w:rFonts w:hint="eastAsia" w:asciiTheme="minorEastAsia" w:hAnsiTheme="minorEastAsia" w:eastAsiaTheme="minorEastAsia"/>
          <w:sz w:val="32"/>
          <w:szCs w:val="32"/>
          <w:highlight w:val="none"/>
          <w:lang w:eastAsia="zh-CN"/>
        </w:rPr>
        <w:t>少</w:t>
      </w:r>
      <w:r>
        <w:rPr>
          <w:rFonts w:hint="eastAsia" w:asciiTheme="minorEastAsia" w:hAnsiTheme="minorEastAsia" w:eastAsiaTheme="minorEastAsia"/>
          <w:sz w:val="32"/>
          <w:szCs w:val="32"/>
          <w:highlight w:val="none"/>
          <w:lang w:val="en-US" w:eastAsia="zh-CN"/>
        </w:rPr>
        <w:t>26.55</w:t>
      </w:r>
      <w:r>
        <w:rPr>
          <w:rFonts w:hint="eastAsia" w:asciiTheme="minorEastAsia" w:hAnsiTheme="minorEastAsia" w:eastAsiaTheme="minorEastAsia"/>
          <w:sz w:val="32"/>
          <w:szCs w:val="32"/>
          <w:highlight w:val="none"/>
        </w:rPr>
        <w:t>%，主要是因为</w:t>
      </w:r>
      <w:r>
        <w:rPr>
          <w:rFonts w:hint="eastAsia" w:asciiTheme="minorEastAsia" w:hAnsiTheme="minorEastAsia" w:eastAsiaTheme="minorEastAsia"/>
          <w:sz w:val="32"/>
          <w:szCs w:val="32"/>
          <w:highlight w:val="none"/>
          <w:lang w:eastAsia="zh-CN"/>
        </w:rPr>
        <w:t>本年政府性基金预算财政拨款与上年相比减少</w:t>
      </w:r>
      <w:r>
        <w:rPr>
          <w:rFonts w:hint="eastAsia" w:asciiTheme="minorEastAsia" w:hAnsiTheme="minorEastAsia" w:eastAsiaTheme="minorEastAsia"/>
          <w:sz w:val="32"/>
          <w:szCs w:val="32"/>
          <w:highlight w:val="none"/>
          <w:lang w:val="en-US" w:eastAsia="zh-CN"/>
        </w:rPr>
        <w:t>100%，一般公共预算财政拨款与上年相比减少950.83万元</w:t>
      </w:r>
      <w:r>
        <w:rPr>
          <w:rFonts w:hint="eastAsia" w:asciiTheme="minorEastAsia" w:hAnsiTheme="minorEastAsia" w:eastAsiaTheme="minorEastAsia"/>
          <w:sz w:val="32"/>
          <w:szCs w:val="32"/>
          <w:highlight w:val="none"/>
          <w:lang w:eastAsia="zh-CN"/>
        </w:rPr>
        <w:t>。</w:t>
      </w:r>
    </w:p>
    <w:p>
      <w:pPr>
        <w:pStyle w:val="15"/>
        <w:ind w:firstLine="480" w:firstLineChars="150"/>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（二）财政拨款支出决算结构情况</w:t>
      </w:r>
    </w:p>
    <w:p>
      <w:pPr>
        <w:pStyle w:val="15"/>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2021年度财政拨款支出</w:t>
      </w:r>
      <w:r>
        <w:rPr>
          <w:rFonts w:hint="eastAsia" w:asciiTheme="minorEastAsia" w:hAnsiTheme="minorEastAsia" w:eastAsiaTheme="minorEastAsia"/>
          <w:sz w:val="32"/>
          <w:szCs w:val="32"/>
          <w:highlight w:val="none"/>
          <w:lang w:val="en-US" w:eastAsia="zh-CN"/>
        </w:rPr>
        <w:t>2907.38</w:t>
      </w:r>
      <w:r>
        <w:rPr>
          <w:rFonts w:hint="eastAsia" w:asciiTheme="minorEastAsia" w:hAnsiTheme="minorEastAsia" w:eastAsiaTheme="minorEastAsia"/>
          <w:sz w:val="32"/>
          <w:szCs w:val="32"/>
          <w:highlight w:val="none"/>
        </w:rPr>
        <w:t>万元，主要用于以下方面：一般公共服务（类）支出</w:t>
      </w:r>
      <w:r>
        <w:rPr>
          <w:rFonts w:hint="eastAsia" w:asciiTheme="minorEastAsia" w:hAnsiTheme="minorEastAsia" w:eastAsiaTheme="minorEastAsia"/>
          <w:sz w:val="32"/>
          <w:szCs w:val="32"/>
          <w:highlight w:val="none"/>
          <w:lang w:val="en-US" w:eastAsia="zh-CN"/>
        </w:rPr>
        <w:t>30.43</w:t>
      </w:r>
      <w:r>
        <w:rPr>
          <w:rFonts w:hint="eastAsia" w:asciiTheme="minorEastAsia" w:hAnsiTheme="minorEastAsia" w:eastAsiaTheme="minorEastAsia"/>
          <w:sz w:val="32"/>
          <w:szCs w:val="32"/>
          <w:highlight w:val="none"/>
        </w:rPr>
        <w:t>万元，占</w:t>
      </w:r>
      <w:r>
        <w:rPr>
          <w:rFonts w:hint="eastAsia" w:asciiTheme="minorEastAsia" w:hAnsiTheme="minorEastAsia" w:eastAsiaTheme="minorEastAsia"/>
          <w:sz w:val="32"/>
          <w:szCs w:val="32"/>
          <w:highlight w:val="none"/>
          <w:lang w:val="en-US" w:eastAsia="zh-CN"/>
        </w:rPr>
        <w:t>1.05</w:t>
      </w:r>
      <w:r>
        <w:rPr>
          <w:rFonts w:hint="eastAsia" w:asciiTheme="minorEastAsia" w:hAnsiTheme="minorEastAsia" w:eastAsiaTheme="minorEastAsia"/>
          <w:sz w:val="32"/>
          <w:szCs w:val="32"/>
          <w:highlight w:val="none"/>
        </w:rPr>
        <w:t>%</w:t>
      </w:r>
      <w:r>
        <w:rPr>
          <w:rFonts w:hint="eastAsia" w:asciiTheme="minorEastAsia" w:hAnsiTheme="minorEastAsia" w:eastAsiaTheme="minorEastAsia"/>
          <w:sz w:val="32"/>
          <w:szCs w:val="32"/>
          <w:highlight w:val="none"/>
          <w:lang w:eastAsia="zh-CN"/>
        </w:rPr>
        <w:t>；</w:t>
      </w:r>
      <w:r>
        <w:rPr>
          <w:rFonts w:hint="eastAsia" w:asciiTheme="minorEastAsia" w:hAnsiTheme="minorEastAsia" w:eastAsiaTheme="minorEastAsia"/>
          <w:sz w:val="32"/>
          <w:szCs w:val="32"/>
          <w:highlight w:val="none"/>
        </w:rPr>
        <w:t>社会保障和就业支出</w:t>
      </w:r>
      <w:r>
        <w:rPr>
          <w:rFonts w:hint="eastAsia" w:asciiTheme="minorEastAsia" w:hAnsiTheme="minorEastAsia" w:eastAsiaTheme="minorEastAsia"/>
          <w:sz w:val="32"/>
          <w:szCs w:val="32"/>
          <w:highlight w:val="none"/>
          <w:lang w:val="en-US" w:eastAsia="zh-CN"/>
        </w:rPr>
        <w:t>194.48</w:t>
      </w:r>
      <w:r>
        <w:rPr>
          <w:rFonts w:hint="eastAsia" w:asciiTheme="minorEastAsia" w:hAnsiTheme="minorEastAsia" w:eastAsiaTheme="minorEastAsia"/>
          <w:sz w:val="32"/>
          <w:szCs w:val="32"/>
          <w:highlight w:val="none"/>
        </w:rPr>
        <w:t>万元，占</w:t>
      </w:r>
      <w:r>
        <w:rPr>
          <w:rFonts w:hint="eastAsia" w:asciiTheme="minorEastAsia" w:hAnsiTheme="minorEastAsia" w:eastAsiaTheme="minorEastAsia"/>
          <w:sz w:val="32"/>
          <w:szCs w:val="32"/>
          <w:highlight w:val="none"/>
          <w:lang w:val="en-US" w:eastAsia="zh-CN"/>
        </w:rPr>
        <w:t>6.69</w:t>
      </w:r>
      <w:r>
        <w:rPr>
          <w:rFonts w:hint="eastAsia" w:asciiTheme="minorEastAsia" w:hAnsiTheme="minorEastAsia" w:eastAsiaTheme="minorEastAsia"/>
          <w:sz w:val="32"/>
          <w:szCs w:val="32"/>
          <w:highlight w:val="none"/>
        </w:rPr>
        <w:t>%</w:t>
      </w:r>
      <w:r>
        <w:rPr>
          <w:rFonts w:hint="eastAsia" w:asciiTheme="minorEastAsia" w:hAnsiTheme="minorEastAsia" w:eastAsiaTheme="minorEastAsia"/>
          <w:sz w:val="32"/>
          <w:szCs w:val="32"/>
          <w:highlight w:val="none"/>
          <w:lang w:eastAsia="zh-CN"/>
        </w:rPr>
        <w:t>；</w:t>
      </w:r>
      <w:r>
        <w:rPr>
          <w:rFonts w:hint="eastAsia" w:asciiTheme="minorEastAsia" w:hAnsiTheme="minorEastAsia" w:eastAsiaTheme="minorEastAsia"/>
          <w:sz w:val="32"/>
          <w:szCs w:val="32"/>
          <w:highlight w:val="none"/>
        </w:rPr>
        <w:t>卫生健康支出</w:t>
      </w:r>
      <w:r>
        <w:rPr>
          <w:rFonts w:hint="eastAsia" w:asciiTheme="minorEastAsia" w:hAnsiTheme="minorEastAsia" w:eastAsiaTheme="minorEastAsia"/>
          <w:sz w:val="32"/>
          <w:szCs w:val="32"/>
          <w:highlight w:val="none"/>
          <w:lang w:val="en-US" w:eastAsia="zh-CN"/>
        </w:rPr>
        <w:t>60.14万元，占2.07%；节能环保支出200万元，占6.88%；城乡社区支出2320.84万元，占79.83%；住房保障支出101.49万元，占3.48%。</w:t>
      </w:r>
    </w:p>
    <w:p>
      <w:pPr>
        <w:pStyle w:val="15"/>
        <w:ind w:firstLine="800" w:firstLineChars="250"/>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（三）财政拨款支出决算具体情况</w:t>
      </w:r>
    </w:p>
    <w:p>
      <w:pPr>
        <w:pStyle w:val="15"/>
        <w:ind w:firstLine="800" w:firstLineChars="25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2021年度财政拨款支出年初预算数为</w:t>
      </w:r>
      <w:r>
        <w:rPr>
          <w:rFonts w:hint="eastAsia" w:asciiTheme="minorEastAsia" w:hAnsiTheme="minorEastAsia" w:eastAsiaTheme="minorEastAsia"/>
          <w:sz w:val="32"/>
          <w:szCs w:val="32"/>
          <w:highlight w:val="none"/>
          <w:lang w:val="en-US" w:eastAsia="zh-CN"/>
        </w:rPr>
        <w:t>1577.87</w:t>
      </w:r>
      <w:r>
        <w:rPr>
          <w:rFonts w:hint="eastAsia" w:asciiTheme="minorEastAsia" w:hAnsiTheme="minorEastAsia" w:eastAsiaTheme="minorEastAsia"/>
          <w:sz w:val="32"/>
          <w:szCs w:val="32"/>
          <w:highlight w:val="none"/>
        </w:rPr>
        <w:t>万元，支出决算数为</w:t>
      </w:r>
      <w:r>
        <w:rPr>
          <w:rFonts w:hint="eastAsia" w:asciiTheme="minorEastAsia" w:hAnsiTheme="minorEastAsia" w:eastAsiaTheme="minorEastAsia"/>
          <w:sz w:val="32"/>
          <w:szCs w:val="32"/>
          <w:highlight w:val="none"/>
          <w:lang w:val="en-US" w:eastAsia="zh-CN"/>
        </w:rPr>
        <w:t>1577.87</w:t>
      </w:r>
      <w:r>
        <w:rPr>
          <w:rFonts w:hint="eastAsia" w:asciiTheme="minorEastAsia" w:hAnsiTheme="minorEastAsia" w:eastAsiaTheme="minorEastAsia"/>
          <w:sz w:val="32"/>
          <w:szCs w:val="32"/>
          <w:highlight w:val="none"/>
        </w:rPr>
        <w:t>万元，完成年初预算的</w:t>
      </w:r>
      <w:r>
        <w:rPr>
          <w:rFonts w:hint="eastAsia" w:asciiTheme="minorEastAsia" w:hAnsiTheme="minorEastAsia" w:eastAsiaTheme="minorEastAsia"/>
          <w:sz w:val="32"/>
          <w:szCs w:val="32"/>
          <w:highlight w:val="none"/>
          <w:lang w:val="en-US" w:eastAsia="zh-CN"/>
        </w:rPr>
        <w:t>184.26</w:t>
      </w:r>
      <w:r>
        <w:rPr>
          <w:rFonts w:hint="eastAsia" w:asciiTheme="minorEastAsia" w:hAnsiTheme="minorEastAsia" w:eastAsiaTheme="minorEastAsia"/>
          <w:sz w:val="32"/>
          <w:szCs w:val="32"/>
          <w:highlight w:val="none"/>
        </w:rPr>
        <w:t>%，其中：</w:t>
      </w:r>
    </w:p>
    <w:p>
      <w:pPr>
        <w:pStyle w:val="15"/>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1、社会保障和就业支出。</w:t>
      </w:r>
    </w:p>
    <w:p>
      <w:pPr>
        <w:pStyle w:val="15"/>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年初预算为</w:t>
      </w:r>
      <w:r>
        <w:rPr>
          <w:rFonts w:hint="eastAsia" w:asciiTheme="minorEastAsia" w:hAnsiTheme="minorEastAsia" w:eastAsiaTheme="minorEastAsia"/>
          <w:sz w:val="32"/>
          <w:szCs w:val="32"/>
          <w:highlight w:val="none"/>
          <w:lang w:val="en-US" w:eastAsia="zh-CN"/>
        </w:rPr>
        <w:t>145.74</w:t>
      </w:r>
      <w:r>
        <w:rPr>
          <w:rFonts w:hint="eastAsia" w:asciiTheme="minorEastAsia" w:hAnsiTheme="minorEastAsia" w:eastAsiaTheme="minorEastAsia"/>
          <w:sz w:val="32"/>
          <w:szCs w:val="32"/>
          <w:highlight w:val="none"/>
        </w:rPr>
        <w:t>万元，支出决算为</w:t>
      </w:r>
      <w:r>
        <w:rPr>
          <w:rFonts w:hint="eastAsia" w:asciiTheme="minorEastAsia" w:hAnsiTheme="minorEastAsia" w:eastAsiaTheme="minorEastAsia"/>
          <w:sz w:val="32"/>
          <w:szCs w:val="32"/>
          <w:highlight w:val="none"/>
          <w:lang w:val="en-US" w:eastAsia="zh-CN"/>
        </w:rPr>
        <w:t>194.48</w:t>
      </w:r>
      <w:r>
        <w:rPr>
          <w:rFonts w:hint="eastAsia" w:asciiTheme="minorEastAsia" w:hAnsiTheme="minorEastAsia" w:eastAsiaTheme="minorEastAsia"/>
          <w:sz w:val="32"/>
          <w:szCs w:val="32"/>
          <w:highlight w:val="none"/>
        </w:rPr>
        <w:t>万元，完成年初预算的</w:t>
      </w:r>
      <w:r>
        <w:rPr>
          <w:rFonts w:hint="eastAsia" w:asciiTheme="minorEastAsia" w:hAnsiTheme="minorEastAsia" w:eastAsiaTheme="minorEastAsia"/>
          <w:sz w:val="32"/>
          <w:szCs w:val="32"/>
          <w:highlight w:val="none"/>
          <w:lang w:val="en-US" w:eastAsia="zh-CN"/>
        </w:rPr>
        <w:t>133.43</w:t>
      </w:r>
      <w:r>
        <w:rPr>
          <w:rFonts w:hint="eastAsia" w:asciiTheme="minorEastAsia" w:hAnsiTheme="minorEastAsia" w:eastAsiaTheme="minorEastAsia"/>
          <w:sz w:val="32"/>
          <w:szCs w:val="32"/>
          <w:highlight w:val="none"/>
        </w:rPr>
        <w:t>%，决算数大于年初预算数的主要原因是：</w:t>
      </w:r>
      <w:r>
        <w:rPr>
          <w:rFonts w:hint="eastAsia" w:asciiTheme="minorEastAsia" w:hAnsiTheme="minorEastAsia" w:eastAsiaTheme="minorEastAsia"/>
          <w:sz w:val="32"/>
          <w:szCs w:val="32"/>
          <w:highlight w:val="none"/>
          <w:lang w:eastAsia="zh-CN"/>
        </w:rPr>
        <w:t>每年人员工资调增，导致社会保障和就业支出相应增加。</w:t>
      </w:r>
    </w:p>
    <w:p>
      <w:pPr>
        <w:pStyle w:val="15"/>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2、卫生健康支出。</w:t>
      </w:r>
    </w:p>
    <w:p>
      <w:pPr>
        <w:pStyle w:val="15"/>
        <w:ind w:firstLine="640" w:firstLineChars="200"/>
        <w:rPr>
          <w:rFonts w:hint="eastAsia" w:asciiTheme="minorEastAsia" w:hAnsiTheme="minorEastAsia" w:eastAsiaTheme="minorEastAsia"/>
          <w:sz w:val="32"/>
          <w:szCs w:val="32"/>
          <w:highlight w:val="none"/>
          <w:lang w:eastAsia="zh-CN"/>
        </w:rPr>
      </w:pPr>
      <w:r>
        <w:rPr>
          <w:rFonts w:hint="eastAsia" w:asciiTheme="minorEastAsia" w:hAnsiTheme="minorEastAsia" w:eastAsiaTheme="minorEastAsia"/>
          <w:sz w:val="32"/>
          <w:szCs w:val="32"/>
          <w:highlight w:val="none"/>
        </w:rPr>
        <w:t>年初预算为</w:t>
      </w:r>
      <w:r>
        <w:rPr>
          <w:rFonts w:hint="eastAsia" w:asciiTheme="minorEastAsia" w:hAnsiTheme="minorEastAsia" w:eastAsiaTheme="minorEastAsia"/>
          <w:sz w:val="32"/>
          <w:szCs w:val="32"/>
          <w:highlight w:val="none"/>
          <w:lang w:val="en-US" w:eastAsia="zh-CN"/>
        </w:rPr>
        <w:t>60.14</w:t>
      </w:r>
      <w:r>
        <w:rPr>
          <w:rFonts w:hint="eastAsia" w:asciiTheme="minorEastAsia" w:hAnsiTheme="minorEastAsia" w:eastAsiaTheme="minorEastAsia"/>
          <w:sz w:val="32"/>
          <w:szCs w:val="32"/>
          <w:highlight w:val="none"/>
        </w:rPr>
        <w:t>万元，支出决算为</w:t>
      </w:r>
      <w:r>
        <w:rPr>
          <w:rFonts w:hint="eastAsia" w:asciiTheme="minorEastAsia" w:hAnsiTheme="minorEastAsia" w:eastAsiaTheme="minorEastAsia"/>
          <w:sz w:val="32"/>
          <w:szCs w:val="32"/>
          <w:highlight w:val="none"/>
          <w:lang w:val="en-US" w:eastAsia="zh-CN"/>
        </w:rPr>
        <w:t>60.14</w:t>
      </w:r>
      <w:r>
        <w:rPr>
          <w:rFonts w:hint="eastAsia" w:asciiTheme="minorEastAsia" w:hAnsiTheme="minorEastAsia" w:eastAsiaTheme="minorEastAsia"/>
          <w:sz w:val="32"/>
          <w:szCs w:val="32"/>
          <w:highlight w:val="none"/>
        </w:rPr>
        <w:t>万元，完成年初预算的</w:t>
      </w:r>
      <w:r>
        <w:rPr>
          <w:rFonts w:hint="eastAsia" w:asciiTheme="minorEastAsia" w:hAnsiTheme="minorEastAsia" w:eastAsiaTheme="minorEastAsia"/>
          <w:sz w:val="32"/>
          <w:szCs w:val="32"/>
          <w:highlight w:val="none"/>
          <w:lang w:val="en-US" w:eastAsia="zh-CN"/>
        </w:rPr>
        <w:t>100</w:t>
      </w:r>
      <w:r>
        <w:rPr>
          <w:rFonts w:hint="eastAsia" w:asciiTheme="minorEastAsia" w:hAnsiTheme="minorEastAsia" w:eastAsiaTheme="minorEastAsia"/>
          <w:sz w:val="32"/>
          <w:szCs w:val="32"/>
          <w:highlight w:val="none"/>
        </w:rPr>
        <w:t>%，决算数</w:t>
      </w:r>
      <w:r>
        <w:rPr>
          <w:rFonts w:hint="eastAsia" w:asciiTheme="minorEastAsia" w:hAnsiTheme="minorEastAsia" w:eastAsiaTheme="minorEastAsia"/>
          <w:sz w:val="32"/>
          <w:szCs w:val="32"/>
          <w:highlight w:val="none"/>
          <w:lang w:eastAsia="zh-CN"/>
        </w:rPr>
        <w:t>与</w:t>
      </w:r>
      <w:r>
        <w:rPr>
          <w:rFonts w:hint="eastAsia" w:asciiTheme="minorEastAsia" w:hAnsiTheme="minorEastAsia" w:eastAsiaTheme="minorEastAsia"/>
          <w:sz w:val="32"/>
          <w:szCs w:val="32"/>
          <w:highlight w:val="none"/>
        </w:rPr>
        <w:t>年初预算数</w:t>
      </w:r>
      <w:r>
        <w:rPr>
          <w:rFonts w:hint="eastAsia" w:asciiTheme="minorEastAsia" w:hAnsiTheme="minorEastAsia" w:eastAsiaTheme="minorEastAsia"/>
          <w:sz w:val="32"/>
          <w:szCs w:val="32"/>
          <w:highlight w:val="none"/>
          <w:lang w:eastAsia="zh-CN"/>
        </w:rPr>
        <w:t>持平。</w:t>
      </w:r>
    </w:p>
    <w:p>
      <w:pPr>
        <w:pStyle w:val="15"/>
        <w:numPr>
          <w:ilvl w:val="0"/>
          <w:numId w:val="0"/>
        </w:numPr>
        <w:ind w:firstLine="640" w:firstLineChars="200"/>
        <w:rPr>
          <w:rFonts w:hint="eastAsia" w:asciiTheme="minorEastAsia" w:hAnsiTheme="minorEastAsia" w:eastAsiaTheme="minorEastAsia"/>
          <w:sz w:val="32"/>
          <w:szCs w:val="32"/>
          <w:highlight w:val="none"/>
          <w:lang w:val="en-US" w:eastAsia="zh-CN"/>
        </w:rPr>
      </w:pPr>
      <w:r>
        <w:rPr>
          <w:rFonts w:hint="eastAsia" w:asciiTheme="minorEastAsia" w:hAnsiTheme="minorEastAsia" w:eastAsiaTheme="minorEastAsia"/>
          <w:sz w:val="32"/>
          <w:szCs w:val="32"/>
          <w:highlight w:val="none"/>
          <w:lang w:val="en-US" w:eastAsia="zh-CN"/>
        </w:rPr>
        <w:t>3、节能环保支出。</w:t>
      </w:r>
    </w:p>
    <w:p>
      <w:pPr>
        <w:pStyle w:val="15"/>
        <w:numPr>
          <w:ilvl w:val="0"/>
          <w:numId w:val="0"/>
        </w:numPr>
        <w:ind w:firstLine="640" w:firstLineChars="200"/>
        <w:rPr>
          <w:rFonts w:hint="eastAsia" w:asciiTheme="minorEastAsia" w:hAnsiTheme="minorEastAsia" w:eastAsiaTheme="minorEastAsia"/>
          <w:sz w:val="32"/>
          <w:szCs w:val="32"/>
          <w:highlight w:val="none"/>
          <w:lang w:eastAsia="zh-CN"/>
        </w:rPr>
      </w:pPr>
      <w:r>
        <w:rPr>
          <w:rFonts w:hint="eastAsia" w:asciiTheme="minorEastAsia" w:hAnsiTheme="minorEastAsia" w:eastAsiaTheme="minorEastAsia"/>
          <w:sz w:val="32"/>
          <w:szCs w:val="32"/>
          <w:highlight w:val="none"/>
        </w:rPr>
        <w:t>年初预算为</w:t>
      </w:r>
      <w:r>
        <w:rPr>
          <w:rFonts w:hint="eastAsia" w:asciiTheme="minorEastAsia" w:hAnsiTheme="minorEastAsia" w:eastAsiaTheme="minorEastAsia"/>
          <w:sz w:val="32"/>
          <w:szCs w:val="32"/>
          <w:highlight w:val="none"/>
          <w:lang w:val="en-US" w:eastAsia="zh-CN"/>
        </w:rPr>
        <w:t>0</w:t>
      </w:r>
      <w:r>
        <w:rPr>
          <w:rFonts w:hint="eastAsia" w:asciiTheme="minorEastAsia" w:hAnsiTheme="minorEastAsia" w:eastAsiaTheme="minorEastAsia"/>
          <w:sz w:val="32"/>
          <w:szCs w:val="32"/>
          <w:highlight w:val="none"/>
        </w:rPr>
        <w:t>万元，支出决算为</w:t>
      </w:r>
      <w:r>
        <w:rPr>
          <w:rFonts w:hint="eastAsia" w:asciiTheme="minorEastAsia" w:hAnsiTheme="minorEastAsia" w:eastAsiaTheme="minorEastAsia"/>
          <w:sz w:val="32"/>
          <w:szCs w:val="32"/>
          <w:highlight w:val="none"/>
          <w:lang w:val="en-US" w:eastAsia="zh-CN"/>
        </w:rPr>
        <w:t>200</w:t>
      </w:r>
      <w:r>
        <w:rPr>
          <w:rFonts w:hint="eastAsia" w:asciiTheme="minorEastAsia" w:hAnsiTheme="minorEastAsia" w:eastAsiaTheme="minorEastAsia"/>
          <w:sz w:val="32"/>
          <w:szCs w:val="32"/>
          <w:highlight w:val="none"/>
        </w:rPr>
        <w:t>万元，完成年初预算的</w:t>
      </w:r>
      <w:r>
        <w:rPr>
          <w:rFonts w:hint="eastAsia" w:asciiTheme="minorEastAsia" w:hAnsiTheme="minorEastAsia" w:eastAsiaTheme="minorEastAsia"/>
          <w:sz w:val="32"/>
          <w:szCs w:val="32"/>
          <w:highlight w:val="none"/>
          <w:lang w:val="en-US" w:eastAsia="zh-CN"/>
        </w:rPr>
        <w:t>100</w:t>
      </w:r>
      <w:r>
        <w:rPr>
          <w:rFonts w:hint="eastAsia" w:asciiTheme="minorEastAsia" w:hAnsiTheme="minorEastAsia" w:eastAsiaTheme="minorEastAsia"/>
          <w:sz w:val="32"/>
          <w:szCs w:val="32"/>
          <w:highlight w:val="none"/>
        </w:rPr>
        <w:t>%，决算数大于年初预算数的主要原因是：</w:t>
      </w:r>
      <w:r>
        <w:rPr>
          <w:rFonts w:hint="eastAsia" w:asciiTheme="minorEastAsia" w:hAnsiTheme="minorEastAsia" w:eastAsiaTheme="minorEastAsia"/>
          <w:sz w:val="32"/>
          <w:szCs w:val="32"/>
          <w:highlight w:val="none"/>
          <w:lang w:eastAsia="zh-CN"/>
        </w:rPr>
        <w:t>年中追加环保督</w:t>
      </w:r>
      <w:r>
        <w:rPr>
          <w:rFonts w:hint="eastAsia" w:asciiTheme="minorEastAsia" w:hAnsiTheme="minorEastAsia" w:eastAsiaTheme="minorEastAsia"/>
          <w:sz w:val="32"/>
          <w:szCs w:val="32"/>
          <w:highlight w:val="none"/>
          <w:lang w:val="en-US" w:eastAsia="zh-CN"/>
        </w:rPr>
        <w:t>察</w:t>
      </w:r>
      <w:r>
        <w:rPr>
          <w:rFonts w:hint="eastAsia" w:asciiTheme="minorEastAsia" w:hAnsiTheme="minorEastAsia" w:eastAsiaTheme="minorEastAsia"/>
          <w:sz w:val="32"/>
          <w:szCs w:val="32"/>
          <w:highlight w:val="none"/>
          <w:lang w:eastAsia="zh-CN"/>
        </w:rPr>
        <w:t>项目整治工作，导致该项开支增加。</w:t>
      </w:r>
    </w:p>
    <w:p>
      <w:pPr>
        <w:pStyle w:val="15"/>
        <w:ind w:firstLine="640" w:firstLineChars="200"/>
        <w:rPr>
          <w:rFonts w:hint="eastAsia" w:asciiTheme="minorEastAsia" w:hAnsiTheme="minorEastAsia" w:eastAsiaTheme="minorEastAsia"/>
          <w:sz w:val="32"/>
          <w:szCs w:val="32"/>
          <w:highlight w:val="none"/>
          <w:lang w:val="en-US" w:eastAsia="zh-CN"/>
        </w:rPr>
      </w:pPr>
      <w:r>
        <w:rPr>
          <w:rFonts w:hint="eastAsia" w:asciiTheme="minorEastAsia" w:hAnsiTheme="minorEastAsia" w:eastAsiaTheme="minorEastAsia"/>
          <w:sz w:val="32"/>
          <w:szCs w:val="32"/>
          <w:highlight w:val="none"/>
          <w:lang w:val="en-US" w:eastAsia="zh-CN"/>
        </w:rPr>
        <w:t>4、城乡社区支出。</w:t>
      </w:r>
    </w:p>
    <w:p>
      <w:pPr>
        <w:pStyle w:val="15"/>
        <w:ind w:firstLine="640" w:firstLineChars="200"/>
        <w:rPr>
          <w:rFonts w:hint="eastAsia" w:asciiTheme="minorEastAsia" w:hAnsiTheme="minorEastAsia" w:eastAsiaTheme="minorEastAsia"/>
          <w:sz w:val="32"/>
          <w:szCs w:val="32"/>
          <w:highlight w:val="none"/>
          <w:lang w:eastAsia="zh-CN"/>
        </w:rPr>
      </w:pPr>
      <w:r>
        <w:rPr>
          <w:rFonts w:hint="eastAsia" w:asciiTheme="minorEastAsia" w:hAnsiTheme="minorEastAsia" w:eastAsiaTheme="minorEastAsia"/>
          <w:sz w:val="32"/>
          <w:szCs w:val="32"/>
          <w:highlight w:val="none"/>
        </w:rPr>
        <w:t>年初预算为</w:t>
      </w:r>
      <w:r>
        <w:rPr>
          <w:rFonts w:hint="eastAsia" w:asciiTheme="minorEastAsia" w:hAnsiTheme="minorEastAsia" w:eastAsiaTheme="minorEastAsia"/>
          <w:sz w:val="32"/>
          <w:szCs w:val="32"/>
          <w:highlight w:val="none"/>
          <w:lang w:val="en-US" w:eastAsia="zh-CN"/>
        </w:rPr>
        <w:t>1270.50</w:t>
      </w:r>
      <w:r>
        <w:rPr>
          <w:rFonts w:hint="eastAsia" w:asciiTheme="minorEastAsia" w:hAnsiTheme="minorEastAsia" w:eastAsiaTheme="minorEastAsia"/>
          <w:sz w:val="32"/>
          <w:szCs w:val="32"/>
          <w:highlight w:val="none"/>
        </w:rPr>
        <w:t>万元，支出决算为</w:t>
      </w:r>
      <w:r>
        <w:rPr>
          <w:rFonts w:hint="eastAsia" w:asciiTheme="minorEastAsia" w:hAnsiTheme="minorEastAsia" w:eastAsiaTheme="minorEastAsia"/>
          <w:sz w:val="32"/>
          <w:szCs w:val="32"/>
          <w:highlight w:val="none"/>
          <w:lang w:val="en-US" w:eastAsia="zh-CN"/>
        </w:rPr>
        <w:t>2320.84</w:t>
      </w:r>
      <w:r>
        <w:rPr>
          <w:rFonts w:hint="eastAsia" w:asciiTheme="minorEastAsia" w:hAnsiTheme="minorEastAsia" w:eastAsiaTheme="minorEastAsia"/>
          <w:sz w:val="32"/>
          <w:szCs w:val="32"/>
          <w:highlight w:val="none"/>
        </w:rPr>
        <w:t>万元，完成年初预算的</w:t>
      </w:r>
      <w:r>
        <w:rPr>
          <w:rFonts w:hint="eastAsia" w:asciiTheme="minorEastAsia" w:hAnsiTheme="minorEastAsia" w:eastAsiaTheme="minorEastAsia"/>
          <w:sz w:val="32"/>
          <w:szCs w:val="32"/>
          <w:highlight w:val="none"/>
          <w:lang w:val="en-US" w:eastAsia="zh-CN"/>
        </w:rPr>
        <w:t>182.67</w:t>
      </w:r>
      <w:r>
        <w:rPr>
          <w:rFonts w:hint="eastAsia" w:asciiTheme="minorEastAsia" w:hAnsiTheme="minorEastAsia" w:eastAsiaTheme="minorEastAsia"/>
          <w:sz w:val="32"/>
          <w:szCs w:val="32"/>
          <w:highlight w:val="none"/>
        </w:rPr>
        <w:t>%，决算数大于年初预算数的主要原因是：</w:t>
      </w:r>
      <w:r>
        <w:rPr>
          <w:rFonts w:hint="eastAsia" w:asciiTheme="minorEastAsia" w:hAnsiTheme="minorEastAsia" w:eastAsiaTheme="minorEastAsia"/>
          <w:sz w:val="32"/>
          <w:szCs w:val="32"/>
          <w:highlight w:val="none"/>
          <w:lang w:eastAsia="zh-CN"/>
        </w:rPr>
        <w:t>城乡社区专项未纳入部门预算支出，年中追加城乡社区专项项目，导致该项开支增加。</w:t>
      </w:r>
    </w:p>
    <w:p>
      <w:pPr>
        <w:pStyle w:val="15"/>
        <w:numPr>
          <w:ilvl w:val="0"/>
          <w:numId w:val="0"/>
        </w:numPr>
        <w:ind w:firstLine="640" w:firstLineChars="200"/>
        <w:rPr>
          <w:rFonts w:hint="eastAsia" w:asciiTheme="minorEastAsia" w:hAnsiTheme="minorEastAsia" w:eastAsiaTheme="minorEastAsia"/>
          <w:sz w:val="32"/>
          <w:szCs w:val="32"/>
          <w:highlight w:val="none"/>
          <w:lang w:val="en-US" w:eastAsia="zh-CN"/>
        </w:rPr>
      </w:pPr>
      <w:r>
        <w:rPr>
          <w:rFonts w:hint="eastAsia" w:asciiTheme="minorEastAsia" w:hAnsiTheme="minorEastAsia" w:eastAsiaTheme="minorEastAsia"/>
          <w:sz w:val="32"/>
          <w:szCs w:val="32"/>
          <w:highlight w:val="none"/>
          <w:lang w:val="en-US" w:eastAsia="zh-CN"/>
        </w:rPr>
        <w:t>5、住房保障支出。</w:t>
      </w:r>
    </w:p>
    <w:p>
      <w:pPr>
        <w:pStyle w:val="15"/>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年初预算为</w:t>
      </w:r>
      <w:r>
        <w:rPr>
          <w:rFonts w:hint="eastAsia" w:asciiTheme="minorEastAsia" w:hAnsiTheme="minorEastAsia" w:eastAsiaTheme="minorEastAsia"/>
          <w:sz w:val="32"/>
          <w:szCs w:val="32"/>
          <w:highlight w:val="none"/>
          <w:lang w:val="en-US" w:eastAsia="zh-CN"/>
        </w:rPr>
        <w:t>101.49</w:t>
      </w:r>
      <w:r>
        <w:rPr>
          <w:rFonts w:hint="eastAsia" w:asciiTheme="minorEastAsia" w:hAnsiTheme="minorEastAsia" w:eastAsiaTheme="minorEastAsia"/>
          <w:sz w:val="32"/>
          <w:szCs w:val="32"/>
          <w:highlight w:val="none"/>
        </w:rPr>
        <w:t>万元，支出决算为</w:t>
      </w:r>
      <w:r>
        <w:rPr>
          <w:rFonts w:hint="eastAsia" w:asciiTheme="minorEastAsia" w:hAnsiTheme="minorEastAsia" w:eastAsiaTheme="minorEastAsia"/>
          <w:sz w:val="32"/>
          <w:szCs w:val="32"/>
          <w:highlight w:val="none"/>
          <w:lang w:val="en-US" w:eastAsia="zh-CN"/>
        </w:rPr>
        <w:t>101.49</w:t>
      </w:r>
      <w:r>
        <w:rPr>
          <w:rFonts w:hint="eastAsia" w:asciiTheme="minorEastAsia" w:hAnsiTheme="minorEastAsia" w:eastAsiaTheme="minorEastAsia"/>
          <w:sz w:val="32"/>
          <w:szCs w:val="32"/>
          <w:highlight w:val="none"/>
        </w:rPr>
        <w:t>万元，完成年初预算的</w:t>
      </w:r>
      <w:r>
        <w:rPr>
          <w:rFonts w:hint="eastAsia" w:asciiTheme="minorEastAsia" w:hAnsiTheme="minorEastAsia" w:eastAsiaTheme="minorEastAsia"/>
          <w:sz w:val="32"/>
          <w:szCs w:val="32"/>
          <w:highlight w:val="none"/>
          <w:lang w:val="en-US" w:eastAsia="zh-CN"/>
        </w:rPr>
        <w:t>100</w:t>
      </w:r>
      <w:r>
        <w:rPr>
          <w:rFonts w:hint="eastAsia" w:asciiTheme="minorEastAsia" w:hAnsiTheme="minorEastAsia" w:eastAsiaTheme="minorEastAsia"/>
          <w:sz w:val="32"/>
          <w:szCs w:val="32"/>
          <w:highlight w:val="none"/>
        </w:rPr>
        <w:t>%，决算数</w:t>
      </w:r>
      <w:r>
        <w:rPr>
          <w:rFonts w:hint="eastAsia" w:asciiTheme="minorEastAsia" w:hAnsiTheme="minorEastAsia" w:eastAsiaTheme="minorEastAsia"/>
          <w:sz w:val="32"/>
          <w:szCs w:val="32"/>
          <w:highlight w:val="none"/>
          <w:lang w:eastAsia="zh-CN"/>
        </w:rPr>
        <w:t>与</w:t>
      </w:r>
      <w:r>
        <w:rPr>
          <w:rFonts w:hint="eastAsia" w:asciiTheme="minorEastAsia" w:hAnsiTheme="minorEastAsia" w:eastAsiaTheme="minorEastAsia"/>
          <w:sz w:val="32"/>
          <w:szCs w:val="32"/>
          <w:highlight w:val="none"/>
        </w:rPr>
        <w:t>年初预算数</w:t>
      </w:r>
      <w:r>
        <w:rPr>
          <w:rFonts w:hint="eastAsia" w:asciiTheme="minorEastAsia" w:hAnsiTheme="minorEastAsia" w:eastAsiaTheme="minorEastAsia"/>
          <w:sz w:val="32"/>
          <w:szCs w:val="32"/>
          <w:highlight w:val="none"/>
          <w:lang w:eastAsia="zh-CN"/>
        </w:rPr>
        <w:t>持平。</w:t>
      </w:r>
    </w:p>
    <w:p>
      <w:pPr>
        <w:pStyle w:val="15"/>
        <w:ind w:firstLine="640" w:firstLineChars="200"/>
        <w:rPr>
          <w:rFonts w:hAnsi="黑体"/>
          <w:b/>
          <w:sz w:val="32"/>
          <w:szCs w:val="32"/>
          <w:highlight w:val="none"/>
        </w:rPr>
      </w:pPr>
      <w:r>
        <w:rPr>
          <w:rFonts w:hint="eastAsia" w:hAnsi="黑体"/>
          <w:b/>
          <w:sz w:val="32"/>
          <w:szCs w:val="32"/>
          <w:highlight w:val="none"/>
        </w:rPr>
        <w:t>六、一般公共预算财政拨款基本支出决算情况说明</w:t>
      </w:r>
    </w:p>
    <w:p>
      <w:pPr>
        <w:pStyle w:val="15"/>
        <w:ind w:firstLine="640" w:firstLineChars="200"/>
        <w:rPr>
          <w:rFonts w:asciiTheme="minorEastAsia" w:hAnsiTheme="minorEastAsia" w:eastAsiaTheme="minorEastAsia"/>
          <w:i/>
          <w:color w:val="FF0000"/>
          <w:sz w:val="32"/>
          <w:szCs w:val="32"/>
          <w:highlight w:val="none"/>
        </w:rPr>
      </w:pPr>
      <w:r>
        <w:rPr>
          <w:rFonts w:hint="eastAsia" w:asciiTheme="minorEastAsia" w:hAnsiTheme="minorEastAsia" w:eastAsiaTheme="minorEastAsia"/>
          <w:sz w:val="32"/>
          <w:szCs w:val="32"/>
          <w:highlight w:val="none"/>
        </w:rPr>
        <w:t>2021年度财政拨款基本支出</w:t>
      </w:r>
      <w:r>
        <w:rPr>
          <w:rFonts w:hint="eastAsia" w:asciiTheme="minorEastAsia" w:hAnsiTheme="minorEastAsia" w:eastAsiaTheme="minorEastAsia"/>
          <w:sz w:val="32"/>
          <w:szCs w:val="32"/>
          <w:highlight w:val="none"/>
          <w:lang w:val="en-US" w:eastAsia="zh-CN"/>
        </w:rPr>
        <w:t>1562.73</w:t>
      </w:r>
      <w:r>
        <w:rPr>
          <w:rFonts w:hint="eastAsia" w:asciiTheme="minorEastAsia" w:hAnsiTheme="minorEastAsia" w:eastAsiaTheme="minorEastAsia"/>
          <w:sz w:val="32"/>
          <w:szCs w:val="32"/>
          <w:highlight w:val="none"/>
        </w:rPr>
        <w:t>万元，其中：人员经费</w:t>
      </w:r>
      <w:r>
        <w:rPr>
          <w:rFonts w:hint="eastAsia" w:asciiTheme="minorEastAsia" w:hAnsiTheme="minorEastAsia" w:eastAsiaTheme="minorEastAsia"/>
          <w:sz w:val="32"/>
          <w:szCs w:val="32"/>
          <w:highlight w:val="none"/>
          <w:lang w:val="en-US" w:eastAsia="zh-CN"/>
        </w:rPr>
        <w:t>1349.08</w:t>
      </w:r>
      <w:r>
        <w:rPr>
          <w:rFonts w:hint="eastAsia" w:asciiTheme="minorEastAsia" w:hAnsiTheme="minorEastAsia" w:eastAsiaTheme="minorEastAsia"/>
          <w:sz w:val="32"/>
          <w:szCs w:val="32"/>
          <w:highlight w:val="none"/>
        </w:rPr>
        <w:t>万元，占基本支出的</w:t>
      </w:r>
      <w:r>
        <w:rPr>
          <w:rFonts w:hint="eastAsia" w:asciiTheme="minorEastAsia" w:hAnsiTheme="minorEastAsia" w:eastAsiaTheme="minorEastAsia"/>
          <w:sz w:val="32"/>
          <w:szCs w:val="32"/>
          <w:highlight w:val="none"/>
          <w:lang w:val="en-US" w:eastAsia="zh-CN"/>
        </w:rPr>
        <w:t>86.33</w:t>
      </w:r>
      <w:r>
        <w:rPr>
          <w:rFonts w:hint="eastAsia" w:asciiTheme="minorEastAsia" w:hAnsiTheme="minorEastAsia" w:eastAsiaTheme="minorEastAsia"/>
          <w:sz w:val="32"/>
          <w:szCs w:val="32"/>
          <w:highlight w:val="none"/>
        </w:rPr>
        <w:t>%,主要包括基本工资、津贴补贴、奖金、伙食补助费</w:t>
      </w:r>
      <w:r>
        <w:rPr>
          <w:rFonts w:hint="eastAsia" w:asciiTheme="minorEastAsia" w:hAnsiTheme="minorEastAsia" w:eastAsiaTheme="minorEastAsia"/>
          <w:sz w:val="32"/>
          <w:szCs w:val="32"/>
          <w:highlight w:val="none"/>
          <w:lang w:eastAsia="zh-CN"/>
        </w:rPr>
        <w:t>等支出</w:t>
      </w:r>
      <w:r>
        <w:rPr>
          <w:rFonts w:hint="eastAsia" w:asciiTheme="minorEastAsia" w:hAnsiTheme="minorEastAsia" w:eastAsiaTheme="minorEastAsia"/>
          <w:sz w:val="32"/>
          <w:szCs w:val="32"/>
          <w:highlight w:val="none"/>
        </w:rPr>
        <w:t>；公用经费</w:t>
      </w:r>
      <w:r>
        <w:rPr>
          <w:rFonts w:hint="eastAsia" w:asciiTheme="minorEastAsia" w:hAnsiTheme="minorEastAsia" w:eastAsiaTheme="minorEastAsia"/>
          <w:sz w:val="32"/>
          <w:szCs w:val="32"/>
          <w:highlight w:val="none"/>
          <w:lang w:val="en-US" w:eastAsia="zh-CN"/>
        </w:rPr>
        <w:t>213.65</w:t>
      </w:r>
      <w:r>
        <w:rPr>
          <w:rFonts w:hint="eastAsia" w:asciiTheme="minorEastAsia" w:hAnsiTheme="minorEastAsia" w:eastAsiaTheme="minorEastAsia"/>
          <w:sz w:val="32"/>
          <w:szCs w:val="32"/>
          <w:highlight w:val="none"/>
        </w:rPr>
        <w:t>万元，占基本支出的</w:t>
      </w:r>
      <w:r>
        <w:rPr>
          <w:rFonts w:hint="eastAsia" w:asciiTheme="minorEastAsia" w:hAnsiTheme="minorEastAsia" w:eastAsiaTheme="minorEastAsia"/>
          <w:sz w:val="32"/>
          <w:szCs w:val="32"/>
          <w:highlight w:val="none"/>
          <w:lang w:val="en-US" w:eastAsia="zh-CN"/>
        </w:rPr>
        <w:t>13.67</w:t>
      </w:r>
      <w:r>
        <w:rPr>
          <w:rFonts w:hint="eastAsia" w:asciiTheme="minorEastAsia" w:hAnsiTheme="minorEastAsia" w:eastAsiaTheme="minorEastAsia"/>
          <w:sz w:val="32"/>
          <w:szCs w:val="32"/>
          <w:highlight w:val="none"/>
        </w:rPr>
        <w:t>%，主要包括办公费、印刷费、咨询费、手续费</w:t>
      </w:r>
      <w:r>
        <w:rPr>
          <w:rFonts w:hint="eastAsia" w:asciiTheme="minorEastAsia" w:hAnsiTheme="minorEastAsia" w:eastAsiaTheme="minorEastAsia"/>
          <w:sz w:val="32"/>
          <w:szCs w:val="32"/>
          <w:highlight w:val="none"/>
          <w:lang w:eastAsia="zh-CN"/>
        </w:rPr>
        <w:t>等支出</w:t>
      </w:r>
      <w:r>
        <w:rPr>
          <w:rFonts w:hint="eastAsia" w:asciiTheme="minorEastAsia" w:hAnsiTheme="minorEastAsia" w:eastAsiaTheme="minorEastAsia"/>
          <w:sz w:val="32"/>
          <w:szCs w:val="32"/>
          <w:highlight w:val="none"/>
        </w:rPr>
        <w:t>。</w:t>
      </w:r>
    </w:p>
    <w:p>
      <w:pPr>
        <w:pStyle w:val="15"/>
        <w:ind w:firstLine="640" w:firstLineChars="200"/>
        <w:rPr>
          <w:rFonts w:hAnsi="黑体"/>
          <w:b/>
          <w:sz w:val="32"/>
          <w:szCs w:val="32"/>
          <w:highlight w:val="none"/>
        </w:rPr>
      </w:pPr>
      <w:r>
        <w:rPr>
          <w:rFonts w:hint="eastAsia" w:hAnsi="黑体"/>
          <w:b/>
          <w:sz w:val="32"/>
          <w:szCs w:val="32"/>
          <w:highlight w:val="none"/>
        </w:rPr>
        <w:t>七、一般公共预算财政拨款“三公”经费支出决算情况说明</w:t>
      </w:r>
    </w:p>
    <w:p>
      <w:pPr>
        <w:pStyle w:val="15"/>
        <w:ind w:firstLine="640" w:firstLineChars="200"/>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（一）“三公”经费财政拨款支出决算总体情况说明</w:t>
      </w:r>
    </w:p>
    <w:p>
      <w:pPr>
        <w:pStyle w:val="15"/>
        <w:ind w:firstLine="800" w:firstLineChars="25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2021年度“三公”经费财政拨款支出预算为</w:t>
      </w:r>
      <w:r>
        <w:rPr>
          <w:rFonts w:hint="eastAsia" w:asciiTheme="minorEastAsia" w:hAnsiTheme="minorEastAsia" w:eastAsiaTheme="minorEastAsia"/>
          <w:sz w:val="32"/>
          <w:szCs w:val="32"/>
          <w:highlight w:val="none"/>
          <w:lang w:val="en-US" w:eastAsia="zh-CN"/>
        </w:rPr>
        <w:t>39.6</w:t>
      </w:r>
      <w:r>
        <w:rPr>
          <w:rFonts w:hint="eastAsia" w:asciiTheme="minorEastAsia" w:hAnsiTheme="minorEastAsia" w:eastAsiaTheme="minorEastAsia"/>
          <w:sz w:val="32"/>
          <w:szCs w:val="32"/>
          <w:highlight w:val="none"/>
        </w:rPr>
        <w:t>万元，支出决算为</w:t>
      </w:r>
      <w:r>
        <w:rPr>
          <w:rFonts w:hint="eastAsia" w:asciiTheme="minorEastAsia" w:hAnsiTheme="minorEastAsia" w:eastAsiaTheme="minorEastAsia"/>
          <w:sz w:val="32"/>
          <w:szCs w:val="32"/>
          <w:highlight w:val="none"/>
          <w:lang w:val="en-US" w:eastAsia="zh-CN"/>
        </w:rPr>
        <w:t>1.13</w:t>
      </w:r>
      <w:r>
        <w:rPr>
          <w:rFonts w:hint="eastAsia" w:asciiTheme="minorEastAsia" w:hAnsiTheme="minorEastAsia" w:eastAsiaTheme="minorEastAsia"/>
          <w:sz w:val="32"/>
          <w:szCs w:val="32"/>
          <w:highlight w:val="none"/>
        </w:rPr>
        <w:t>万元，完成预算的</w:t>
      </w:r>
      <w:r>
        <w:rPr>
          <w:rFonts w:hint="eastAsia" w:asciiTheme="minorEastAsia" w:hAnsiTheme="minorEastAsia" w:eastAsiaTheme="minorEastAsia"/>
          <w:sz w:val="32"/>
          <w:szCs w:val="32"/>
          <w:highlight w:val="none"/>
          <w:lang w:val="en-US" w:eastAsia="zh-CN"/>
        </w:rPr>
        <w:t>2.85</w:t>
      </w:r>
      <w:r>
        <w:rPr>
          <w:rFonts w:hint="eastAsia" w:asciiTheme="minorEastAsia" w:hAnsiTheme="minorEastAsia" w:eastAsiaTheme="minorEastAsia"/>
          <w:sz w:val="32"/>
          <w:szCs w:val="32"/>
          <w:highlight w:val="none"/>
        </w:rPr>
        <w:t>%，其中：</w:t>
      </w:r>
    </w:p>
    <w:p>
      <w:pPr>
        <w:pStyle w:val="15"/>
        <w:ind w:firstLine="800" w:firstLineChars="25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因公出国（境）费支出预算为</w:t>
      </w:r>
      <w:r>
        <w:rPr>
          <w:rFonts w:hint="eastAsia" w:asciiTheme="minorEastAsia" w:hAnsiTheme="minorEastAsia" w:eastAsiaTheme="minorEastAsia"/>
          <w:sz w:val="32"/>
          <w:szCs w:val="32"/>
          <w:highlight w:val="none"/>
          <w:lang w:val="en-US" w:eastAsia="zh-CN"/>
        </w:rPr>
        <w:t>0</w:t>
      </w:r>
      <w:r>
        <w:rPr>
          <w:rFonts w:hint="eastAsia" w:asciiTheme="minorEastAsia" w:hAnsiTheme="minorEastAsia" w:eastAsiaTheme="minorEastAsia"/>
          <w:sz w:val="32"/>
          <w:szCs w:val="32"/>
          <w:highlight w:val="none"/>
        </w:rPr>
        <w:t>万元，支出决算为</w:t>
      </w:r>
      <w:r>
        <w:rPr>
          <w:rFonts w:hint="eastAsia" w:asciiTheme="minorEastAsia" w:hAnsiTheme="minorEastAsia" w:eastAsiaTheme="minorEastAsia"/>
          <w:sz w:val="32"/>
          <w:szCs w:val="32"/>
          <w:highlight w:val="none"/>
          <w:lang w:val="en-US" w:eastAsia="zh-CN"/>
        </w:rPr>
        <w:t>0</w:t>
      </w:r>
      <w:r>
        <w:rPr>
          <w:rFonts w:hint="eastAsia" w:asciiTheme="minorEastAsia" w:hAnsiTheme="minorEastAsia" w:eastAsiaTheme="minorEastAsia"/>
          <w:sz w:val="32"/>
          <w:szCs w:val="32"/>
          <w:highlight w:val="none"/>
        </w:rPr>
        <w:t>万元，</w:t>
      </w:r>
      <w:r>
        <w:rPr>
          <w:rFonts w:hint="eastAsia" w:asciiTheme="minorEastAsia" w:hAnsiTheme="minorEastAsia" w:eastAsiaTheme="minorEastAsia"/>
          <w:sz w:val="32"/>
          <w:szCs w:val="32"/>
          <w:highlight w:val="none"/>
          <w:lang w:eastAsia="zh-CN"/>
        </w:rPr>
        <w:t>与上年持平</w:t>
      </w:r>
      <w:r>
        <w:rPr>
          <w:rFonts w:hint="eastAsia" w:asciiTheme="minorEastAsia" w:hAnsiTheme="minorEastAsia" w:eastAsiaTheme="minorEastAsia"/>
          <w:sz w:val="32"/>
          <w:szCs w:val="32"/>
          <w:highlight w:val="none"/>
        </w:rPr>
        <w:t>。</w:t>
      </w:r>
    </w:p>
    <w:p>
      <w:pPr>
        <w:pStyle w:val="15"/>
        <w:ind w:firstLine="800" w:firstLineChars="25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公务接待费支出预算为</w:t>
      </w:r>
      <w:r>
        <w:rPr>
          <w:rFonts w:hint="eastAsia" w:asciiTheme="minorEastAsia" w:hAnsiTheme="minorEastAsia" w:eastAsiaTheme="minorEastAsia"/>
          <w:sz w:val="32"/>
          <w:szCs w:val="32"/>
          <w:highlight w:val="none"/>
          <w:lang w:val="en-US" w:eastAsia="zh-CN"/>
        </w:rPr>
        <w:t>24</w:t>
      </w:r>
      <w:r>
        <w:rPr>
          <w:rFonts w:hint="eastAsia" w:asciiTheme="minorEastAsia" w:hAnsiTheme="minorEastAsia" w:eastAsiaTheme="minorEastAsia"/>
          <w:sz w:val="32"/>
          <w:szCs w:val="32"/>
          <w:highlight w:val="none"/>
        </w:rPr>
        <w:t>万元，支出决算为</w:t>
      </w:r>
      <w:r>
        <w:rPr>
          <w:rFonts w:hint="eastAsia" w:asciiTheme="minorEastAsia" w:hAnsiTheme="minorEastAsia" w:eastAsiaTheme="minorEastAsia"/>
          <w:sz w:val="32"/>
          <w:szCs w:val="32"/>
          <w:highlight w:val="none"/>
          <w:lang w:val="en-US" w:eastAsia="zh-CN"/>
        </w:rPr>
        <w:t>0.22</w:t>
      </w:r>
      <w:r>
        <w:rPr>
          <w:rFonts w:hint="eastAsia" w:asciiTheme="minorEastAsia" w:hAnsiTheme="minorEastAsia" w:eastAsiaTheme="minorEastAsia"/>
          <w:sz w:val="32"/>
          <w:szCs w:val="32"/>
          <w:highlight w:val="none"/>
        </w:rPr>
        <w:t>万元，完成预算的</w:t>
      </w:r>
      <w:r>
        <w:rPr>
          <w:rFonts w:hint="eastAsia" w:asciiTheme="minorEastAsia" w:hAnsiTheme="minorEastAsia" w:eastAsiaTheme="minorEastAsia"/>
          <w:sz w:val="32"/>
          <w:szCs w:val="32"/>
          <w:highlight w:val="none"/>
          <w:lang w:val="en-US" w:eastAsia="zh-CN"/>
        </w:rPr>
        <w:t>0.92</w:t>
      </w:r>
      <w:r>
        <w:rPr>
          <w:rFonts w:hint="eastAsia" w:asciiTheme="minorEastAsia" w:hAnsiTheme="minorEastAsia" w:eastAsiaTheme="minorEastAsia"/>
          <w:sz w:val="32"/>
          <w:szCs w:val="32"/>
          <w:highlight w:val="none"/>
        </w:rPr>
        <w:t>%，决算数小于预算数的主要原因是我局</w:t>
      </w:r>
      <w:r>
        <w:rPr>
          <w:rFonts w:hint="eastAsia" w:asciiTheme="minorEastAsia" w:hAnsiTheme="minorEastAsia" w:eastAsiaTheme="minorEastAsia"/>
          <w:sz w:val="32"/>
          <w:szCs w:val="32"/>
          <w:highlight w:val="none"/>
          <w:lang w:eastAsia="zh-CN"/>
        </w:rPr>
        <w:t>厉行节约压缩开支</w:t>
      </w:r>
      <w:r>
        <w:rPr>
          <w:rFonts w:hint="eastAsia" w:asciiTheme="minorEastAsia" w:hAnsiTheme="minorEastAsia" w:eastAsiaTheme="minorEastAsia"/>
          <w:sz w:val="32"/>
          <w:szCs w:val="32"/>
          <w:highlight w:val="none"/>
        </w:rPr>
        <w:t>，与上年</w:t>
      </w:r>
      <w:r>
        <w:rPr>
          <w:rFonts w:hint="eastAsia" w:asciiTheme="minorEastAsia" w:hAnsiTheme="minorEastAsia" w:eastAsiaTheme="minorEastAsia"/>
          <w:sz w:val="32"/>
          <w:szCs w:val="32"/>
          <w:highlight w:val="none"/>
          <w:lang w:eastAsia="zh-CN"/>
        </w:rPr>
        <w:t>决算</w:t>
      </w:r>
      <w:r>
        <w:rPr>
          <w:rFonts w:hint="eastAsia" w:asciiTheme="minorEastAsia" w:hAnsiTheme="minorEastAsia" w:eastAsiaTheme="minorEastAsia"/>
          <w:sz w:val="32"/>
          <w:szCs w:val="32"/>
          <w:highlight w:val="none"/>
        </w:rPr>
        <w:t>相比减少</w:t>
      </w:r>
      <w:r>
        <w:rPr>
          <w:rFonts w:hint="eastAsia" w:asciiTheme="minorEastAsia" w:hAnsiTheme="minorEastAsia" w:eastAsiaTheme="minorEastAsia"/>
          <w:sz w:val="32"/>
          <w:szCs w:val="32"/>
          <w:highlight w:val="none"/>
          <w:lang w:val="en-US" w:eastAsia="zh-CN"/>
        </w:rPr>
        <w:t>0.12</w:t>
      </w:r>
      <w:r>
        <w:rPr>
          <w:rFonts w:hint="eastAsia" w:asciiTheme="minorEastAsia" w:hAnsiTheme="minorEastAsia" w:eastAsiaTheme="minorEastAsia"/>
          <w:sz w:val="32"/>
          <w:szCs w:val="32"/>
          <w:highlight w:val="none"/>
        </w:rPr>
        <w:t>万元，减少</w:t>
      </w:r>
      <w:r>
        <w:rPr>
          <w:rFonts w:hint="eastAsia" w:asciiTheme="minorEastAsia" w:hAnsiTheme="minorEastAsia" w:eastAsiaTheme="minorEastAsia"/>
          <w:sz w:val="32"/>
          <w:szCs w:val="32"/>
          <w:highlight w:val="none"/>
          <w:lang w:val="en-US" w:eastAsia="zh-CN"/>
        </w:rPr>
        <w:t>35.29</w:t>
      </w:r>
      <w:r>
        <w:rPr>
          <w:rFonts w:hint="eastAsia" w:asciiTheme="minorEastAsia" w:hAnsiTheme="minorEastAsia" w:eastAsiaTheme="minorEastAsia"/>
          <w:sz w:val="32"/>
          <w:szCs w:val="32"/>
          <w:highlight w:val="none"/>
        </w:rPr>
        <w:t>%,减少的主要原因是</w:t>
      </w:r>
      <w:r>
        <w:rPr>
          <w:rFonts w:hint="eastAsia" w:asciiTheme="minorEastAsia" w:hAnsiTheme="minorEastAsia" w:eastAsiaTheme="minorEastAsia"/>
          <w:sz w:val="32"/>
          <w:szCs w:val="32"/>
          <w:highlight w:val="none"/>
          <w:lang w:val="en-US" w:eastAsia="zh-CN"/>
        </w:rPr>
        <w:t>我局</w:t>
      </w:r>
      <w:r>
        <w:rPr>
          <w:rFonts w:hint="eastAsia" w:asciiTheme="minorEastAsia" w:hAnsiTheme="minorEastAsia" w:eastAsiaTheme="minorEastAsia"/>
          <w:sz w:val="32"/>
          <w:szCs w:val="32"/>
          <w:highlight w:val="none"/>
        </w:rPr>
        <w:t>严格遵守中央八项规定，制订完善相关制度，厉行节约，严格控制三公经费支出，故三公经费开支大幅缩减。</w:t>
      </w:r>
    </w:p>
    <w:p>
      <w:pPr>
        <w:pStyle w:val="15"/>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公务用车购置费支出预算为</w:t>
      </w:r>
      <w:r>
        <w:rPr>
          <w:rFonts w:hint="eastAsia" w:asciiTheme="minorEastAsia" w:hAnsiTheme="minorEastAsia" w:eastAsiaTheme="minorEastAsia"/>
          <w:sz w:val="32"/>
          <w:szCs w:val="32"/>
          <w:highlight w:val="none"/>
          <w:lang w:val="en-US" w:eastAsia="zh-CN"/>
        </w:rPr>
        <w:t>0</w:t>
      </w:r>
      <w:r>
        <w:rPr>
          <w:rFonts w:hint="eastAsia" w:asciiTheme="minorEastAsia" w:hAnsiTheme="minorEastAsia" w:eastAsiaTheme="minorEastAsia"/>
          <w:sz w:val="32"/>
          <w:szCs w:val="32"/>
          <w:highlight w:val="none"/>
        </w:rPr>
        <w:t>万元，支出决算为</w:t>
      </w:r>
      <w:r>
        <w:rPr>
          <w:rFonts w:hint="eastAsia" w:asciiTheme="minorEastAsia" w:hAnsiTheme="minorEastAsia" w:eastAsiaTheme="minorEastAsia"/>
          <w:sz w:val="32"/>
          <w:szCs w:val="32"/>
          <w:highlight w:val="none"/>
          <w:lang w:val="en-US" w:eastAsia="zh-CN"/>
        </w:rPr>
        <w:t>0</w:t>
      </w:r>
      <w:r>
        <w:rPr>
          <w:rFonts w:hint="eastAsia" w:asciiTheme="minorEastAsia" w:hAnsiTheme="minorEastAsia" w:eastAsiaTheme="minorEastAsia"/>
          <w:sz w:val="32"/>
          <w:szCs w:val="32"/>
          <w:highlight w:val="none"/>
        </w:rPr>
        <w:t>万元，</w:t>
      </w:r>
      <w:r>
        <w:rPr>
          <w:rFonts w:hint="eastAsia" w:asciiTheme="minorEastAsia" w:hAnsiTheme="minorEastAsia" w:eastAsiaTheme="minorEastAsia"/>
          <w:sz w:val="32"/>
          <w:szCs w:val="32"/>
          <w:highlight w:val="none"/>
          <w:lang w:eastAsia="zh-CN"/>
        </w:rPr>
        <w:t>与上年持平</w:t>
      </w:r>
      <w:r>
        <w:rPr>
          <w:rFonts w:hint="eastAsia" w:asciiTheme="minorEastAsia" w:hAnsiTheme="minorEastAsia" w:eastAsiaTheme="minorEastAsia"/>
          <w:sz w:val="32"/>
          <w:szCs w:val="32"/>
          <w:highlight w:val="none"/>
        </w:rPr>
        <w:t>。</w:t>
      </w:r>
    </w:p>
    <w:p>
      <w:pPr>
        <w:pStyle w:val="15"/>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公务用车运行维护费支出预算为</w:t>
      </w:r>
      <w:r>
        <w:rPr>
          <w:rFonts w:hint="eastAsia" w:asciiTheme="minorEastAsia" w:hAnsiTheme="minorEastAsia" w:eastAsiaTheme="minorEastAsia"/>
          <w:sz w:val="32"/>
          <w:szCs w:val="32"/>
          <w:highlight w:val="none"/>
          <w:lang w:val="en-US" w:eastAsia="zh-CN"/>
        </w:rPr>
        <w:t>15.6</w:t>
      </w:r>
      <w:r>
        <w:rPr>
          <w:rFonts w:hint="eastAsia" w:asciiTheme="minorEastAsia" w:hAnsiTheme="minorEastAsia" w:eastAsiaTheme="minorEastAsia"/>
          <w:sz w:val="32"/>
          <w:szCs w:val="32"/>
          <w:highlight w:val="none"/>
        </w:rPr>
        <w:t>万元，支出决算为</w:t>
      </w:r>
      <w:r>
        <w:rPr>
          <w:rFonts w:hint="eastAsia" w:asciiTheme="minorEastAsia" w:hAnsiTheme="minorEastAsia" w:eastAsiaTheme="minorEastAsia"/>
          <w:sz w:val="32"/>
          <w:szCs w:val="32"/>
          <w:highlight w:val="none"/>
          <w:lang w:val="en-US" w:eastAsia="zh-CN"/>
        </w:rPr>
        <w:t>0.91</w:t>
      </w:r>
      <w:r>
        <w:rPr>
          <w:rFonts w:hint="eastAsia" w:asciiTheme="minorEastAsia" w:hAnsiTheme="minorEastAsia" w:eastAsiaTheme="minorEastAsia"/>
          <w:sz w:val="32"/>
          <w:szCs w:val="32"/>
          <w:highlight w:val="none"/>
        </w:rPr>
        <w:t>万元，完成预算的</w:t>
      </w:r>
      <w:r>
        <w:rPr>
          <w:rFonts w:hint="eastAsia" w:asciiTheme="minorEastAsia" w:hAnsiTheme="minorEastAsia" w:eastAsiaTheme="minorEastAsia"/>
          <w:sz w:val="32"/>
          <w:szCs w:val="32"/>
          <w:highlight w:val="none"/>
          <w:lang w:val="en-US" w:eastAsia="zh-CN"/>
        </w:rPr>
        <w:t>5.83</w:t>
      </w:r>
      <w:r>
        <w:rPr>
          <w:rFonts w:hint="eastAsia" w:asciiTheme="minorEastAsia" w:hAnsiTheme="minorEastAsia" w:eastAsiaTheme="minorEastAsia"/>
          <w:sz w:val="32"/>
          <w:szCs w:val="32"/>
          <w:highlight w:val="none"/>
        </w:rPr>
        <w:t>%，决算数小于预算数的主要原因是我局</w:t>
      </w:r>
      <w:r>
        <w:rPr>
          <w:rFonts w:hint="eastAsia" w:asciiTheme="minorEastAsia" w:hAnsiTheme="minorEastAsia" w:eastAsiaTheme="minorEastAsia"/>
          <w:sz w:val="32"/>
          <w:szCs w:val="32"/>
          <w:highlight w:val="none"/>
          <w:lang w:eastAsia="zh-CN"/>
        </w:rPr>
        <w:t>严格遵照相关文件执行开支</w:t>
      </w:r>
      <w:r>
        <w:rPr>
          <w:rFonts w:hint="eastAsia" w:asciiTheme="minorEastAsia" w:hAnsiTheme="minorEastAsia" w:eastAsiaTheme="minorEastAsia"/>
          <w:sz w:val="32"/>
          <w:szCs w:val="32"/>
          <w:highlight w:val="none"/>
        </w:rPr>
        <w:t>，与上年</w:t>
      </w:r>
      <w:r>
        <w:rPr>
          <w:rFonts w:hint="eastAsia" w:asciiTheme="minorEastAsia" w:hAnsiTheme="minorEastAsia" w:eastAsiaTheme="minorEastAsia"/>
          <w:sz w:val="32"/>
          <w:szCs w:val="32"/>
          <w:highlight w:val="none"/>
          <w:lang w:eastAsia="zh-CN"/>
        </w:rPr>
        <w:t>决算</w:t>
      </w:r>
      <w:r>
        <w:rPr>
          <w:rFonts w:hint="eastAsia" w:asciiTheme="minorEastAsia" w:hAnsiTheme="minorEastAsia" w:eastAsiaTheme="minorEastAsia"/>
          <w:sz w:val="32"/>
          <w:szCs w:val="32"/>
          <w:highlight w:val="none"/>
        </w:rPr>
        <w:t>相比减少</w:t>
      </w:r>
      <w:r>
        <w:rPr>
          <w:rFonts w:hint="eastAsia" w:asciiTheme="minorEastAsia" w:hAnsiTheme="minorEastAsia" w:eastAsiaTheme="minorEastAsia"/>
          <w:sz w:val="32"/>
          <w:szCs w:val="32"/>
          <w:highlight w:val="none"/>
          <w:lang w:val="en-US" w:eastAsia="zh-CN"/>
        </w:rPr>
        <w:t>2.04</w:t>
      </w:r>
      <w:r>
        <w:rPr>
          <w:rFonts w:hint="eastAsia" w:asciiTheme="minorEastAsia" w:hAnsiTheme="minorEastAsia" w:eastAsiaTheme="minorEastAsia"/>
          <w:sz w:val="32"/>
          <w:szCs w:val="32"/>
          <w:highlight w:val="none"/>
        </w:rPr>
        <w:t>万元，减少</w:t>
      </w:r>
      <w:r>
        <w:rPr>
          <w:rFonts w:hint="eastAsia" w:asciiTheme="minorEastAsia" w:hAnsiTheme="minorEastAsia" w:eastAsiaTheme="minorEastAsia"/>
          <w:sz w:val="32"/>
          <w:szCs w:val="32"/>
          <w:highlight w:val="none"/>
          <w:lang w:val="en-US" w:eastAsia="zh-CN"/>
        </w:rPr>
        <w:t>69.15</w:t>
      </w:r>
      <w:r>
        <w:rPr>
          <w:rFonts w:hint="eastAsia" w:asciiTheme="minorEastAsia" w:hAnsiTheme="minorEastAsia" w:eastAsiaTheme="minorEastAsia"/>
          <w:sz w:val="32"/>
          <w:szCs w:val="32"/>
          <w:highlight w:val="none"/>
        </w:rPr>
        <w:t>%,减少的主要原因一是公车改革后未新增车辆购置，压缩原有公车开支；</w:t>
      </w:r>
      <w:r>
        <w:rPr>
          <w:rFonts w:hint="eastAsia" w:asciiTheme="minorEastAsia" w:hAnsiTheme="minorEastAsia" w:eastAsiaTheme="minorEastAsia"/>
          <w:sz w:val="32"/>
          <w:szCs w:val="32"/>
          <w:highlight w:val="none"/>
          <w:lang w:eastAsia="zh-CN"/>
        </w:rPr>
        <w:t>二</w:t>
      </w:r>
      <w:r>
        <w:rPr>
          <w:rFonts w:hint="eastAsia" w:asciiTheme="minorEastAsia" w:hAnsiTheme="minorEastAsia" w:eastAsiaTheme="minorEastAsia"/>
          <w:sz w:val="32"/>
          <w:szCs w:val="32"/>
          <w:highlight w:val="none"/>
        </w:rPr>
        <w:t>是我局严格遵守中央八项规定，制订完善相关制度，厉行节约，严格控制三公经费支出。</w:t>
      </w:r>
    </w:p>
    <w:p>
      <w:pPr>
        <w:pStyle w:val="15"/>
        <w:ind w:firstLine="640" w:firstLineChars="200"/>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（二）“三公”经费财政拨款支出决算具体情况说明</w:t>
      </w:r>
    </w:p>
    <w:p>
      <w:pPr>
        <w:pStyle w:val="15"/>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2021年度“三公”经费财政拨款支出决算中，公务接待费支出决算</w:t>
      </w:r>
      <w:r>
        <w:rPr>
          <w:rFonts w:hint="eastAsia" w:asciiTheme="minorEastAsia" w:hAnsiTheme="minorEastAsia" w:eastAsiaTheme="minorEastAsia"/>
          <w:sz w:val="32"/>
          <w:szCs w:val="32"/>
          <w:highlight w:val="none"/>
          <w:lang w:val="en-US" w:eastAsia="zh-CN"/>
        </w:rPr>
        <w:t>0.22</w:t>
      </w:r>
      <w:r>
        <w:rPr>
          <w:rFonts w:hint="eastAsia" w:asciiTheme="minorEastAsia" w:hAnsiTheme="minorEastAsia" w:eastAsiaTheme="minorEastAsia"/>
          <w:sz w:val="32"/>
          <w:szCs w:val="32"/>
          <w:highlight w:val="none"/>
        </w:rPr>
        <w:t>万元，占</w:t>
      </w:r>
      <w:r>
        <w:rPr>
          <w:rFonts w:hint="eastAsia" w:asciiTheme="minorEastAsia" w:hAnsiTheme="minorEastAsia" w:eastAsiaTheme="minorEastAsia"/>
          <w:sz w:val="32"/>
          <w:szCs w:val="32"/>
          <w:highlight w:val="none"/>
          <w:lang w:val="en-US" w:eastAsia="zh-CN"/>
        </w:rPr>
        <w:t>19.47</w:t>
      </w:r>
      <w:r>
        <w:rPr>
          <w:rFonts w:hint="eastAsia" w:asciiTheme="minorEastAsia" w:hAnsiTheme="minorEastAsia" w:eastAsiaTheme="minorEastAsia"/>
          <w:sz w:val="32"/>
          <w:szCs w:val="32"/>
          <w:highlight w:val="none"/>
        </w:rPr>
        <w:t>%,因公出国（境）费支出决算</w:t>
      </w:r>
      <w:r>
        <w:rPr>
          <w:rFonts w:hint="eastAsia" w:asciiTheme="minorEastAsia" w:hAnsiTheme="minorEastAsia" w:eastAsiaTheme="minorEastAsia"/>
          <w:sz w:val="32"/>
          <w:szCs w:val="32"/>
          <w:highlight w:val="none"/>
          <w:lang w:val="en-US" w:eastAsia="zh-CN"/>
        </w:rPr>
        <w:t>0</w:t>
      </w:r>
      <w:r>
        <w:rPr>
          <w:rFonts w:hint="eastAsia" w:asciiTheme="minorEastAsia" w:hAnsiTheme="minorEastAsia" w:eastAsiaTheme="minorEastAsia"/>
          <w:sz w:val="32"/>
          <w:szCs w:val="32"/>
          <w:highlight w:val="none"/>
        </w:rPr>
        <w:t>万元,公务用车购置费及运行维护费支出决算</w:t>
      </w:r>
      <w:r>
        <w:rPr>
          <w:rFonts w:hint="eastAsia" w:asciiTheme="minorEastAsia" w:hAnsiTheme="minorEastAsia" w:eastAsiaTheme="minorEastAsia"/>
          <w:sz w:val="32"/>
          <w:szCs w:val="32"/>
          <w:highlight w:val="none"/>
          <w:lang w:val="en-US" w:eastAsia="zh-CN"/>
        </w:rPr>
        <w:t>0.91</w:t>
      </w:r>
      <w:r>
        <w:rPr>
          <w:rFonts w:hint="eastAsia" w:asciiTheme="minorEastAsia" w:hAnsiTheme="minorEastAsia" w:eastAsiaTheme="minorEastAsia"/>
          <w:sz w:val="32"/>
          <w:szCs w:val="32"/>
          <w:highlight w:val="none"/>
        </w:rPr>
        <w:t>万元，占</w:t>
      </w:r>
      <w:r>
        <w:rPr>
          <w:rFonts w:hint="eastAsia" w:asciiTheme="minorEastAsia" w:hAnsiTheme="minorEastAsia" w:eastAsiaTheme="minorEastAsia"/>
          <w:sz w:val="32"/>
          <w:szCs w:val="32"/>
          <w:highlight w:val="none"/>
          <w:lang w:val="en-US" w:eastAsia="zh-CN"/>
        </w:rPr>
        <w:t>80.53</w:t>
      </w:r>
      <w:r>
        <w:rPr>
          <w:rFonts w:hint="eastAsia" w:asciiTheme="minorEastAsia" w:hAnsiTheme="minorEastAsia" w:eastAsiaTheme="minorEastAsia"/>
          <w:sz w:val="32"/>
          <w:szCs w:val="32"/>
          <w:highlight w:val="none"/>
        </w:rPr>
        <w:t>%。其中：</w:t>
      </w:r>
    </w:p>
    <w:p>
      <w:pPr>
        <w:pStyle w:val="15"/>
        <w:ind w:firstLine="640" w:firstLineChars="200"/>
        <w:rPr>
          <w:rFonts w:hint="eastAsia" w:asciiTheme="minorEastAsia" w:hAnsiTheme="minorEastAsia" w:eastAsiaTheme="minorEastAsia"/>
          <w:sz w:val="32"/>
          <w:szCs w:val="32"/>
          <w:highlight w:val="none"/>
          <w:lang w:val="en-US" w:eastAsia="zh-CN"/>
        </w:rPr>
      </w:pPr>
      <w:r>
        <w:rPr>
          <w:rFonts w:hint="eastAsia" w:asciiTheme="minorEastAsia" w:hAnsiTheme="minorEastAsia" w:eastAsiaTheme="minorEastAsia"/>
          <w:sz w:val="32"/>
          <w:szCs w:val="32"/>
          <w:highlight w:val="none"/>
        </w:rPr>
        <w:t>1、因公出国（境）费支出决算为</w:t>
      </w:r>
      <w:r>
        <w:rPr>
          <w:rFonts w:hint="eastAsia" w:asciiTheme="minorEastAsia" w:hAnsiTheme="minorEastAsia" w:eastAsiaTheme="minorEastAsia"/>
          <w:sz w:val="32"/>
          <w:szCs w:val="32"/>
          <w:highlight w:val="none"/>
          <w:lang w:val="en-US" w:eastAsia="zh-CN"/>
        </w:rPr>
        <w:t>0</w:t>
      </w:r>
      <w:r>
        <w:rPr>
          <w:rFonts w:hint="eastAsia" w:asciiTheme="minorEastAsia" w:hAnsiTheme="minorEastAsia" w:eastAsiaTheme="minorEastAsia"/>
          <w:sz w:val="32"/>
          <w:szCs w:val="32"/>
          <w:highlight w:val="none"/>
        </w:rPr>
        <w:t>万元</w:t>
      </w:r>
      <w:r>
        <w:rPr>
          <w:rFonts w:hint="eastAsia" w:asciiTheme="minorEastAsia" w:hAnsiTheme="minorEastAsia" w:eastAsiaTheme="minorEastAsia"/>
          <w:sz w:val="32"/>
          <w:szCs w:val="32"/>
          <w:highlight w:val="none"/>
          <w:lang w:eastAsia="zh-CN"/>
        </w:rPr>
        <w:t>。</w:t>
      </w:r>
    </w:p>
    <w:p>
      <w:pPr>
        <w:pStyle w:val="15"/>
        <w:ind w:firstLine="800" w:firstLineChars="25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2、公务接待费支出决算为</w:t>
      </w:r>
      <w:r>
        <w:rPr>
          <w:rFonts w:hint="eastAsia" w:asciiTheme="minorEastAsia" w:hAnsiTheme="minorEastAsia" w:eastAsiaTheme="minorEastAsia"/>
          <w:sz w:val="32"/>
          <w:szCs w:val="32"/>
          <w:highlight w:val="none"/>
          <w:lang w:val="en-US" w:eastAsia="zh-CN"/>
        </w:rPr>
        <w:t>0.22</w:t>
      </w:r>
      <w:r>
        <w:rPr>
          <w:rFonts w:hint="eastAsia" w:asciiTheme="minorEastAsia" w:hAnsiTheme="minorEastAsia" w:eastAsiaTheme="minorEastAsia"/>
          <w:sz w:val="32"/>
          <w:szCs w:val="32"/>
          <w:highlight w:val="none"/>
        </w:rPr>
        <w:t>万元，全年共接待来访团组</w:t>
      </w:r>
      <w:r>
        <w:rPr>
          <w:rFonts w:hint="eastAsia" w:asciiTheme="minorEastAsia" w:hAnsiTheme="minorEastAsia" w:eastAsiaTheme="minorEastAsia"/>
          <w:sz w:val="32"/>
          <w:szCs w:val="32"/>
          <w:highlight w:val="none"/>
          <w:lang w:val="en-US" w:eastAsia="zh-CN"/>
        </w:rPr>
        <w:t>4</w:t>
      </w:r>
      <w:r>
        <w:rPr>
          <w:rFonts w:hint="eastAsia" w:asciiTheme="minorEastAsia" w:hAnsiTheme="minorEastAsia" w:eastAsiaTheme="minorEastAsia"/>
          <w:sz w:val="32"/>
          <w:szCs w:val="32"/>
          <w:highlight w:val="none"/>
        </w:rPr>
        <w:t>个、来宾</w:t>
      </w:r>
      <w:r>
        <w:rPr>
          <w:rFonts w:hint="eastAsia" w:asciiTheme="minorEastAsia" w:hAnsiTheme="minorEastAsia" w:eastAsiaTheme="minorEastAsia"/>
          <w:sz w:val="32"/>
          <w:szCs w:val="32"/>
          <w:highlight w:val="none"/>
          <w:lang w:val="en-US" w:eastAsia="zh-CN"/>
        </w:rPr>
        <w:t>12</w:t>
      </w:r>
      <w:r>
        <w:rPr>
          <w:rFonts w:hint="eastAsia" w:asciiTheme="minorEastAsia" w:hAnsiTheme="minorEastAsia" w:eastAsiaTheme="minorEastAsia"/>
          <w:sz w:val="32"/>
          <w:szCs w:val="32"/>
          <w:highlight w:val="none"/>
        </w:rPr>
        <w:t>人次，主要是</w:t>
      </w:r>
      <w:r>
        <w:rPr>
          <w:rFonts w:hint="eastAsia" w:asciiTheme="minorEastAsia" w:hAnsiTheme="minorEastAsia" w:eastAsiaTheme="minorEastAsia"/>
          <w:sz w:val="32"/>
          <w:szCs w:val="32"/>
          <w:highlight w:val="none"/>
          <w:lang w:eastAsia="zh-CN"/>
        </w:rPr>
        <w:t>农村危房改造迎检、创省级文明卫生城市、环保督</w:t>
      </w:r>
      <w:r>
        <w:rPr>
          <w:rFonts w:hint="eastAsia" w:asciiTheme="minorEastAsia" w:hAnsiTheme="minorEastAsia" w:eastAsiaTheme="minorEastAsia"/>
          <w:sz w:val="32"/>
          <w:szCs w:val="32"/>
          <w:highlight w:val="none"/>
          <w:lang w:val="en-US" w:eastAsia="zh-CN"/>
        </w:rPr>
        <w:t>察</w:t>
      </w:r>
      <w:bookmarkStart w:id="3" w:name="_GoBack"/>
      <w:bookmarkEnd w:id="3"/>
      <w:r>
        <w:rPr>
          <w:rFonts w:hint="eastAsia" w:asciiTheme="minorEastAsia" w:hAnsiTheme="minorEastAsia" w:eastAsiaTheme="minorEastAsia"/>
          <w:sz w:val="32"/>
          <w:szCs w:val="32"/>
          <w:highlight w:val="none"/>
          <w:lang w:eastAsia="zh-CN"/>
        </w:rPr>
        <w:t>迎检</w:t>
      </w:r>
      <w:r>
        <w:rPr>
          <w:rFonts w:hint="eastAsia" w:asciiTheme="minorEastAsia" w:hAnsiTheme="minorEastAsia" w:eastAsiaTheme="minorEastAsia"/>
          <w:sz w:val="32"/>
          <w:szCs w:val="32"/>
          <w:highlight w:val="none"/>
        </w:rPr>
        <w:t>发生的接待支出。</w:t>
      </w:r>
    </w:p>
    <w:p>
      <w:pPr>
        <w:ind w:firstLine="640" w:firstLineChars="200"/>
        <w:rPr>
          <w:rFonts w:cs="黑体" w:asciiTheme="minorEastAsia" w:hAnsiTheme="minorEastAsia"/>
          <w:color w:val="000000"/>
          <w:kern w:val="0"/>
          <w:sz w:val="32"/>
          <w:szCs w:val="32"/>
          <w:highlight w:val="none"/>
        </w:rPr>
      </w:pPr>
      <w:r>
        <w:rPr>
          <w:rFonts w:hint="eastAsia" w:asciiTheme="minorEastAsia" w:hAnsiTheme="minorEastAsia"/>
          <w:sz w:val="32"/>
          <w:szCs w:val="32"/>
          <w:highlight w:val="none"/>
        </w:rPr>
        <w:t>3、公务用车购置费及运行维护费支出决算为</w:t>
      </w:r>
      <w:r>
        <w:rPr>
          <w:rFonts w:hint="eastAsia" w:asciiTheme="minorEastAsia" w:hAnsiTheme="minorEastAsia"/>
          <w:sz w:val="32"/>
          <w:szCs w:val="32"/>
          <w:highlight w:val="none"/>
          <w:lang w:val="en-US" w:eastAsia="zh-CN"/>
        </w:rPr>
        <w:t>0.91</w:t>
      </w:r>
      <w:r>
        <w:rPr>
          <w:rFonts w:hint="eastAsia" w:asciiTheme="minorEastAsia" w:hAnsiTheme="minorEastAsia"/>
          <w:sz w:val="32"/>
          <w:szCs w:val="32"/>
          <w:highlight w:val="none"/>
        </w:rPr>
        <w:t>万元，其中：公务用车购置费</w:t>
      </w:r>
      <w:r>
        <w:rPr>
          <w:rFonts w:hint="eastAsia" w:asciiTheme="minorEastAsia" w:hAnsiTheme="minorEastAsia"/>
          <w:sz w:val="32"/>
          <w:szCs w:val="32"/>
          <w:highlight w:val="none"/>
          <w:lang w:val="en-US" w:eastAsia="zh-CN"/>
        </w:rPr>
        <w:t>0</w:t>
      </w:r>
      <w:r>
        <w:rPr>
          <w:rFonts w:hint="eastAsia" w:asciiTheme="minorEastAsia" w:hAnsiTheme="minorEastAsia"/>
          <w:sz w:val="32"/>
          <w:szCs w:val="32"/>
          <w:highlight w:val="none"/>
        </w:rPr>
        <w:t>元</w:t>
      </w:r>
      <w:r>
        <w:rPr>
          <w:rFonts w:hint="eastAsia" w:asciiTheme="minorEastAsia" w:hAnsiTheme="minorEastAsia"/>
          <w:color w:val="000000" w:themeColor="text1"/>
          <w:sz w:val="32"/>
          <w:szCs w:val="32"/>
          <w:highlight w:val="none"/>
          <w14:textFill>
            <w14:solidFill>
              <w14:schemeClr w14:val="tx1"/>
            </w14:solidFill>
          </w14:textFill>
        </w:rPr>
        <w:t>。</w:t>
      </w:r>
      <w:r>
        <w:rPr>
          <w:rFonts w:hint="eastAsia" w:asciiTheme="minorEastAsia" w:hAnsiTheme="minorEastAsia"/>
          <w:sz w:val="32"/>
          <w:szCs w:val="32"/>
          <w:highlight w:val="none"/>
        </w:rPr>
        <w:t>公务用车运行维护费</w:t>
      </w:r>
      <w:r>
        <w:rPr>
          <w:rFonts w:hint="eastAsia" w:asciiTheme="minorEastAsia" w:hAnsiTheme="minorEastAsia"/>
          <w:sz w:val="32"/>
          <w:szCs w:val="32"/>
          <w:highlight w:val="none"/>
          <w:lang w:val="en-US" w:eastAsia="zh-CN"/>
        </w:rPr>
        <w:t>0.91</w:t>
      </w:r>
      <w:r>
        <w:rPr>
          <w:rFonts w:hint="eastAsia" w:asciiTheme="minorEastAsia" w:hAnsiTheme="minorEastAsia"/>
          <w:sz w:val="32"/>
          <w:szCs w:val="32"/>
          <w:highlight w:val="none"/>
        </w:rPr>
        <w:t>万元，</w:t>
      </w:r>
      <w:r>
        <w:rPr>
          <w:rFonts w:hint="eastAsia" w:asciiTheme="minorEastAsia" w:hAnsiTheme="minorEastAsia"/>
          <w:sz w:val="32"/>
          <w:szCs w:val="32"/>
          <w:highlight w:val="none"/>
          <w:lang w:eastAsia="zh-CN"/>
        </w:rPr>
        <w:t>公车运行维护</w:t>
      </w:r>
      <w:r>
        <w:rPr>
          <w:rFonts w:hint="eastAsia" w:asciiTheme="minorEastAsia" w:hAnsiTheme="minorEastAsia"/>
          <w:sz w:val="32"/>
          <w:szCs w:val="32"/>
          <w:highlight w:val="none"/>
        </w:rPr>
        <w:t>支出，截止202</w:t>
      </w:r>
      <w:r>
        <w:rPr>
          <w:rFonts w:hint="eastAsia" w:asciiTheme="minorEastAsia" w:hAnsiTheme="minorEastAsia"/>
          <w:sz w:val="32"/>
          <w:szCs w:val="32"/>
          <w:highlight w:val="none"/>
          <w:lang w:val="en-US" w:eastAsia="zh-CN"/>
        </w:rPr>
        <w:t>1</w:t>
      </w:r>
      <w:r>
        <w:rPr>
          <w:rFonts w:hint="eastAsia" w:asciiTheme="minorEastAsia" w:hAnsiTheme="minorEastAsia"/>
          <w:sz w:val="32"/>
          <w:szCs w:val="32"/>
          <w:highlight w:val="none"/>
        </w:rPr>
        <w:t>年12月31日，我单位开支财政拨款的公务用车保有量为</w:t>
      </w:r>
      <w:r>
        <w:rPr>
          <w:rFonts w:hint="eastAsia" w:asciiTheme="minorEastAsia" w:hAnsiTheme="minorEastAsia"/>
          <w:sz w:val="32"/>
          <w:szCs w:val="32"/>
          <w:highlight w:val="none"/>
          <w:lang w:val="en-US" w:eastAsia="zh-CN"/>
        </w:rPr>
        <w:t>1</w:t>
      </w:r>
      <w:r>
        <w:rPr>
          <w:rFonts w:hint="eastAsia" w:asciiTheme="minorEastAsia" w:hAnsiTheme="minorEastAsia"/>
          <w:sz w:val="32"/>
          <w:szCs w:val="32"/>
          <w:highlight w:val="none"/>
        </w:rPr>
        <w:t>辆。</w:t>
      </w:r>
    </w:p>
    <w:p>
      <w:pPr>
        <w:pStyle w:val="15"/>
        <w:ind w:firstLine="640" w:firstLineChars="200"/>
        <w:rPr>
          <w:rFonts w:hAnsi="黑体"/>
          <w:b/>
          <w:sz w:val="32"/>
          <w:szCs w:val="32"/>
          <w:highlight w:val="none"/>
        </w:rPr>
      </w:pPr>
      <w:r>
        <w:rPr>
          <w:rFonts w:hint="eastAsia" w:hAnsi="黑体"/>
          <w:b/>
          <w:sz w:val="32"/>
          <w:szCs w:val="32"/>
          <w:highlight w:val="none"/>
        </w:rPr>
        <w:t>八、政府性基金预算收入支出决算情况</w:t>
      </w:r>
    </w:p>
    <w:p>
      <w:pPr>
        <w:pStyle w:val="15"/>
        <w:rPr>
          <w:rFonts w:hint="eastAsia" w:asciiTheme="minorEastAsia" w:hAnsiTheme="minorEastAsia" w:eastAsiaTheme="minorEastAsia"/>
          <w:sz w:val="32"/>
          <w:szCs w:val="32"/>
          <w:highlight w:val="none"/>
          <w:lang w:eastAsia="zh-CN"/>
        </w:rPr>
      </w:pPr>
      <w:r>
        <w:rPr>
          <w:rFonts w:hint="eastAsia" w:asciiTheme="minorEastAsia" w:hAnsiTheme="minorEastAsia" w:eastAsiaTheme="minorEastAsia"/>
          <w:sz w:val="32"/>
          <w:szCs w:val="32"/>
          <w:highlight w:val="none"/>
        </w:rPr>
        <w:t xml:space="preserve">     2021年</w:t>
      </w:r>
      <w:r>
        <w:rPr>
          <w:rFonts w:hint="eastAsia" w:asciiTheme="minorEastAsia" w:hAnsiTheme="minorEastAsia" w:eastAsiaTheme="minorEastAsia"/>
          <w:sz w:val="32"/>
          <w:szCs w:val="32"/>
          <w:highlight w:val="none"/>
          <w:lang w:eastAsia="zh-CN"/>
        </w:rPr>
        <w:t>我</w:t>
      </w:r>
      <w:r>
        <w:rPr>
          <w:rFonts w:hint="eastAsia" w:asciiTheme="minorEastAsia" w:hAnsiTheme="minorEastAsia" w:eastAsiaTheme="minorEastAsia"/>
          <w:sz w:val="32"/>
          <w:szCs w:val="32"/>
          <w:highlight w:val="none"/>
        </w:rPr>
        <w:t>单位没有政府性基金收入，也没有使用政府性基金安排的支出</w:t>
      </w:r>
      <w:r>
        <w:rPr>
          <w:rFonts w:hint="eastAsia" w:asciiTheme="minorEastAsia" w:hAnsiTheme="minorEastAsia" w:eastAsiaTheme="minorEastAsia"/>
          <w:sz w:val="32"/>
          <w:szCs w:val="32"/>
          <w:highlight w:val="none"/>
          <w:lang w:eastAsia="zh-CN"/>
        </w:rPr>
        <w:t>。</w:t>
      </w:r>
    </w:p>
    <w:p>
      <w:pPr>
        <w:pStyle w:val="15"/>
        <w:ind w:firstLine="640" w:firstLineChars="200"/>
        <w:rPr>
          <w:rFonts w:hAnsi="黑体"/>
          <w:b/>
          <w:sz w:val="32"/>
          <w:szCs w:val="32"/>
          <w:highlight w:val="none"/>
        </w:rPr>
      </w:pPr>
      <w:r>
        <w:rPr>
          <w:rFonts w:hint="eastAsia" w:hAnsi="黑体"/>
          <w:b/>
          <w:sz w:val="32"/>
          <w:szCs w:val="32"/>
          <w:highlight w:val="none"/>
        </w:rPr>
        <w:t>九、机关运行经费支出说明</w:t>
      </w:r>
    </w:p>
    <w:p>
      <w:pPr>
        <w:pStyle w:val="15"/>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本部门2021年度机关运行经费支出</w:t>
      </w:r>
      <w:r>
        <w:rPr>
          <w:rFonts w:hint="eastAsia" w:asciiTheme="minorEastAsia" w:hAnsiTheme="minorEastAsia" w:eastAsiaTheme="minorEastAsia"/>
          <w:sz w:val="32"/>
          <w:szCs w:val="32"/>
          <w:highlight w:val="none"/>
          <w:lang w:val="en-US" w:eastAsia="zh-CN"/>
        </w:rPr>
        <w:t>213.66</w:t>
      </w:r>
      <w:r>
        <w:rPr>
          <w:rFonts w:hint="eastAsia" w:asciiTheme="minorEastAsia" w:hAnsiTheme="minorEastAsia" w:eastAsiaTheme="minorEastAsia"/>
          <w:sz w:val="32"/>
          <w:szCs w:val="32"/>
          <w:highlight w:val="none"/>
        </w:rPr>
        <w:t>万元，比年初预算数增加</w:t>
      </w:r>
      <w:r>
        <w:rPr>
          <w:rFonts w:hint="eastAsia" w:asciiTheme="minorEastAsia" w:hAnsiTheme="minorEastAsia" w:eastAsiaTheme="minorEastAsia"/>
          <w:sz w:val="32"/>
          <w:szCs w:val="32"/>
          <w:highlight w:val="none"/>
          <w:lang w:val="en-US" w:eastAsia="zh-CN"/>
        </w:rPr>
        <w:t>104.66</w:t>
      </w:r>
      <w:r>
        <w:rPr>
          <w:rFonts w:hint="eastAsia" w:asciiTheme="minorEastAsia" w:hAnsiTheme="minorEastAsia" w:eastAsiaTheme="minorEastAsia"/>
          <w:sz w:val="32"/>
          <w:szCs w:val="32"/>
          <w:highlight w:val="none"/>
        </w:rPr>
        <w:t>万元，增长</w:t>
      </w:r>
      <w:r>
        <w:rPr>
          <w:rFonts w:hint="eastAsia" w:asciiTheme="minorEastAsia" w:hAnsiTheme="minorEastAsia" w:eastAsiaTheme="minorEastAsia"/>
          <w:sz w:val="32"/>
          <w:szCs w:val="32"/>
          <w:highlight w:val="none"/>
          <w:lang w:val="en-US" w:eastAsia="zh-CN"/>
        </w:rPr>
        <w:t>96.02</w:t>
      </w:r>
      <w:r>
        <w:rPr>
          <w:rFonts w:hint="eastAsia" w:asciiTheme="minorEastAsia" w:hAnsiTheme="minorEastAsia" w:eastAsiaTheme="minorEastAsia"/>
          <w:sz w:val="32"/>
          <w:szCs w:val="32"/>
          <w:highlight w:val="none"/>
        </w:rPr>
        <w:t>%。主要原因是：</w:t>
      </w:r>
      <w:r>
        <w:rPr>
          <w:rFonts w:hint="eastAsia" w:asciiTheme="minorEastAsia" w:hAnsiTheme="minorEastAsia" w:eastAsiaTheme="minorEastAsia"/>
          <w:sz w:val="32"/>
          <w:szCs w:val="32"/>
          <w:highlight w:val="none"/>
          <w:lang w:eastAsia="zh-CN"/>
        </w:rPr>
        <w:t>社会成本增加导致机关运行经费比预算增加</w:t>
      </w:r>
      <w:r>
        <w:rPr>
          <w:rFonts w:hint="eastAsia" w:asciiTheme="minorEastAsia" w:hAnsiTheme="minorEastAsia" w:eastAsiaTheme="minorEastAsia"/>
          <w:sz w:val="32"/>
          <w:szCs w:val="32"/>
          <w:highlight w:val="none"/>
        </w:rPr>
        <w:t>。</w:t>
      </w:r>
    </w:p>
    <w:p>
      <w:pPr>
        <w:pStyle w:val="15"/>
        <w:ind w:firstLine="640" w:firstLineChars="200"/>
        <w:rPr>
          <w:rFonts w:hAnsi="黑体"/>
          <w:b/>
          <w:sz w:val="32"/>
          <w:szCs w:val="32"/>
          <w:highlight w:val="none"/>
        </w:rPr>
      </w:pPr>
      <w:r>
        <w:rPr>
          <w:rFonts w:hint="eastAsia" w:hAnsi="黑体"/>
          <w:b/>
          <w:sz w:val="32"/>
          <w:szCs w:val="32"/>
          <w:highlight w:val="none"/>
        </w:rPr>
        <w:t>十、一般性支出情况说明</w:t>
      </w:r>
    </w:p>
    <w:p>
      <w:pPr>
        <w:pStyle w:val="15"/>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2021年本部门开支会议费</w:t>
      </w:r>
      <w:r>
        <w:rPr>
          <w:rFonts w:hint="eastAsia" w:asciiTheme="minorEastAsia" w:hAnsiTheme="minorEastAsia" w:eastAsiaTheme="minorEastAsia"/>
          <w:sz w:val="32"/>
          <w:szCs w:val="32"/>
          <w:highlight w:val="none"/>
          <w:lang w:val="en-US" w:eastAsia="zh-CN"/>
        </w:rPr>
        <w:t>3.84</w:t>
      </w:r>
      <w:r>
        <w:rPr>
          <w:rFonts w:hint="eastAsia" w:asciiTheme="minorEastAsia" w:hAnsiTheme="minorEastAsia" w:eastAsiaTheme="minorEastAsia"/>
          <w:sz w:val="32"/>
          <w:szCs w:val="32"/>
          <w:highlight w:val="none"/>
        </w:rPr>
        <w:t>万元，用于召开用于召开</w:t>
      </w:r>
      <w:r>
        <w:rPr>
          <w:rFonts w:hint="eastAsia" w:asciiTheme="minorEastAsia" w:hAnsiTheme="minorEastAsia" w:eastAsiaTheme="minorEastAsia"/>
          <w:sz w:val="32"/>
          <w:szCs w:val="32"/>
          <w:highlight w:val="none"/>
          <w:lang w:eastAsia="zh-CN"/>
        </w:rPr>
        <w:t>农村危改</w:t>
      </w:r>
      <w:r>
        <w:rPr>
          <w:rFonts w:hint="eastAsia" w:asciiTheme="minorEastAsia" w:hAnsiTheme="minorEastAsia" w:eastAsiaTheme="minorEastAsia"/>
          <w:sz w:val="32"/>
          <w:szCs w:val="32"/>
          <w:highlight w:val="none"/>
        </w:rPr>
        <w:t>会议</w:t>
      </w:r>
      <w:r>
        <w:rPr>
          <w:rFonts w:hint="eastAsia" w:asciiTheme="minorEastAsia" w:hAnsiTheme="minorEastAsia" w:eastAsiaTheme="minorEastAsia"/>
          <w:sz w:val="32"/>
          <w:szCs w:val="32"/>
          <w:highlight w:val="none"/>
          <w:lang w:eastAsia="zh-CN"/>
        </w:rPr>
        <w:t>、建筑行业年会、党建工作会议</w:t>
      </w:r>
      <w:r>
        <w:rPr>
          <w:rFonts w:hint="eastAsia" w:asciiTheme="minorEastAsia" w:hAnsiTheme="minorEastAsia" w:eastAsiaTheme="minorEastAsia"/>
          <w:sz w:val="32"/>
          <w:szCs w:val="32"/>
          <w:highlight w:val="none"/>
        </w:rPr>
        <w:t>，人数</w:t>
      </w:r>
      <w:r>
        <w:rPr>
          <w:rFonts w:hint="eastAsia" w:asciiTheme="minorEastAsia" w:hAnsiTheme="minorEastAsia" w:eastAsiaTheme="minorEastAsia"/>
          <w:sz w:val="32"/>
          <w:szCs w:val="32"/>
          <w:highlight w:val="none"/>
          <w:lang w:val="en-US" w:eastAsia="zh-CN"/>
        </w:rPr>
        <w:t>550</w:t>
      </w:r>
      <w:r>
        <w:rPr>
          <w:rFonts w:hint="eastAsia" w:asciiTheme="minorEastAsia" w:hAnsiTheme="minorEastAsia" w:eastAsiaTheme="minorEastAsia"/>
          <w:sz w:val="32"/>
          <w:szCs w:val="32"/>
          <w:highlight w:val="none"/>
        </w:rPr>
        <w:t>人，内容为</w:t>
      </w:r>
      <w:r>
        <w:rPr>
          <w:rFonts w:hint="eastAsia" w:asciiTheme="minorEastAsia" w:hAnsiTheme="minorEastAsia" w:eastAsiaTheme="minorEastAsia"/>
          <w:sz w:val="32"/>
          <w:szCs w:val="32"/>
          <w:highlight w:val="none"/>
          <w:lang w:eastAsia="zh-CN"/>
        </w:rPr>
        <w:t>农村危改、建筑行业年度总结会议、党建会议</w:t>
      </w:r>
      <w:r>
        <w:rPr>
          <w:rFonts w:hint="eastAsia" w:asciiTheme="minorEastAsia" w:hAnsiTheme="minorEastAsia" w:eastAsiaTheme="minorEastAsia"/>
          <w:sz w:val="32"/>
          <w:szCs w:val="32"/>
          <w:highlight w:val="none"/>
        </w:rPr>
        <w:t>；开支培训费</w:t>
      </w:r>
      <w:r>
        <w:rPr>
          <w:rFonts w:hint="eastAsia" w:asciiTheme="minorEastAsia" w:hAnsiTheme="minorEastAsia" w:eastAsiaTheme="minorEastAsia"/>
          <w:sz w:val="32"/>
          <w:szCs w:val="32"/>
          <w:highlight w:val="none"/>
          <w:lang w:val="en-US" w:eastAsia="zh-CN"/>
        </w:rPr>
        <w:t>6.39</w:t>
      </w:r>
      <w:r>
        <w:rPr>
          <w:rFonts w:hint="eastAsia" w:asciiTheme="minorEastAsia" w:hAnsiTheme="minorEastAsia" w:eastAsiaTheme="minorEastAsia"/>
          <w:sz w:val="32"/>
          <w:szCs w:val="32"/>
          <w:highlight w:val="none"/>
        </w:rPr>
        <w:t>万元，用于开展用于开展</w:t>
      </w:r>
      <w:r>
        <w:rPr>
          <w:rFonts w:hint="eastAsia" w:asciiTheme="minorEastAsia" w:hAnsiTheme="minorEastAsia" w:eastAsiaTheme="minorEastAsia"/>
          <w:sz w:val="32"/>
          <w:szCs w:val="32"/>
          <w:highlight w:val="none"/>
          <w:lang w:eastAsia="zh-CN"/>
        </w:rPr>
        <w:t>农村建筑工匠</w:t>
      </w:r>
      <w:r>
        <w:rPr>
          <w:rFonts w:hint="eastAsia" w:asciiTheme="minorEastAsia" w:hAnsiTheme="minorEastAsia" w:eastAsiaTheme="minorEastAsia"/>
          <w:sz w:val="32"/>
          <w:szCs w:val="32"/>
          <w:highlight w:val="none"/>
        </w:rPr>
        <w:t>培训，人数</w:t>
      </w:r>
      <w:r>
        <w:rPr>
          <w:rFonts w:hint="eastAsia" w:asciiTheme="minorEastAsia" w:hAnsiTheme="minorEastAsia" w:eastAsiaTheme="minorEastAsia"/>
          <w:sz w:val="32"/>
          <w:szCs w:val="32"/>
          <w:highlight w:val="none"/>
          <w:lang w:val="en-US" w:eastAsia="zh-CN"/>
        </w:rPr>
        <w:t>320</w:t>
      </w:r>
      <w:r>
        <w:rPr>
          <w:rFonts w:hint="eastAsia" w:asciiTheme="minorEastAsia" w:hAnsiTheme="minorEastAsia" w:eastAsiaTheme="minorEastAsia"/>
          <w:sz w:val="32"/>
          <w:szCs w:val="32"/>
          <w:highlight w:val="none"/>
        </w:rPr>
        <w:t>人，内容为</w:t>
      </w:r>
      <w:r>
        <w:rPr>
          <w:rFonts w:hint="eastAsia" w:asciiTheme="minorEastAsia" w:hAnsiTheme="minorEastAsia" w:eastAsiaTheme="minorEastAsia"/>
          <w:sz w:val="32"/>
          <w:szCs w:val="32"/>
          <w:highlight w:val="none"/>
          <w:lang w:eastAsia="zh-CN"/>
        </w:rPr>
        <w:t>建筑工匠技能培训</w:t>
      </w:r>
      <w:r>
        <w:rPr>
          <w:rFonts w:hint="eastAsia" w:asciiTheme="minorEastAsia" w:hAnsiTheme="minorEastAsia" w:eastAsiaTheme="minorEastAsia"/>
          <w:sz w:val="32"/>
          <w:szCs w:val="32"/>
          <w:highlight w:val="none"/>
        </w:rPr>
        <w:t>。</w:t>
      </w:r>
    </w:p>
    <w:p>
      <w:pPr>
        <w:pStyle w:val="15"/>
        <w:ind w:firstLine="640" w:firstLineChars="200"/>
        <w:rPr>
          <w:rFonts w:hAnsi="黑体"/>
          <w:b/>
          <w:sz w:val="32"/>
          <w:szCs w:val="32"/>
          <w:highlight w:val="none"/>
        </w:rPr>
      </w:pPr>
      <w:r>
        <w:rPr>
          <w:rFonts w:hint="eastAsia" w:hAnsi="黑体"/>
          <w:b/>
          <w:sz w:val="32"/>
          <w:szCs w:val="32"/>
          <w:highlight w:val="none"/>
        </w:rPr>
        <w:t>十一、政府采购支出说明</w:t>
      </w:r>
    </w:p>
    <w:p>
      <w:pPr>
        <w:pStyle w:val="15"/>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本部门2021年度政府采购支出总额</w:t>
      </w:r>
      <w:r>
        <w:rPr>
          <w:rFonts w:hint="eastAsia" w:asciiTheme="minorEastAsia" w:hAnsiTheme="minorEastAsia" w:eastAsiaTheme="minorEastAsia"/>
          <w:sz w:val="32"/>
          <w:szCs w:val="32"/>
          <w:highlight w:val="none"/>
          <w:lang w:val="en-US" w:eastAsia="zh-CN"/>
        </w:rPr>
        <w:t>122.56</w:t>
      </w:r>
      <w:r>
        <w:rPr>
          <w:rFonts w:hint="eastAsia" w:asciiTheme="minorEastAsia" w:hAnsiTheme="minorEastAsia" w:eastAsiaTheme="minorEastAsia"/>
          <w:sz w:val="32"/>
          <w:szCs w:val="32"/>
          <w:highlight w:val="none"/>
        </w:rPr>
        <w:t>万元，其中：政府采购货物支出</w:t>
      </w:r>
      <w:r>
        <w:rPr>
          <w:rFonts w:hint="eastAsia" w:asciiTheme="minorEastAsia" w:hAnsiTheme="minorEastAsia" w:eastAsiaTheme="minorEastAsia"/>
          <w:sz w:val="32"/>
          <w:szCs w:val="32"/>
          <w:highlight w:val="none"/>
          <w:lang w:val="en-US" w:eastAsia="zh-CN"/>
        </w:rPr>
        <w:t>22.41</w:t>
      </w:r>
      <w:r>
        <w:rPr>
          <w:rFonts w:hint="eastAsia" w:asciiTheme="minorEastAsia" w:hAnsiTheme="minorEastAsia" w:eastAsiaTheme="minorEastAsia"/>
          <w:sz w:val="32"/>
          <w:szCs w:val="32"/>
          <w:highlight w:val="none"/>
        </w:rPr>
        <w:t>万元、政府采购工程支出</w:t>
      </w:r>
      <w:r>
        <w:rPr>
          <w:rFonts w:hint="eastAsia" w:asciiTheme="minorEastAsia" w:hAnsiTheme="minorEastAsia" w:eastAsiaTheme="minorEastAsia"/>
          <w:sz w:val="32"/>
          <w:szCs w:val="32"/>
          <w:highlight w:val="none"/>
          <w:lang w:val="en-US" w:eastAsia="zh-CN"/>
        </w:rPr>
        <w:t>0.90</w:t>
      </w:r>
      <w:r>
        <w:rPr>
          <w:rFonts w:hint="eastAsia" w:asciiTheme="minorEastAsia" w:hAnsiTheme="minorEastAsia" w:eastAsiaTheme="minorEastAsia"/>
          <w:sz w:val="32"/>
          <w:szCs w:val="32"/>
          <w:highlight w:val="none"/>
        </w:rPr>
        <w:t>万元、政府采购服务支出</w:t>
      </w:r>
      <w:r>
        <w:rPr>
          <w:rFonts w:hint="eastAsia" w:asciiTheme="minorEastAsia" w:hAnsiTheme="minorEastAsia" w:eastAsiaTheme="minorEastAsia"/>
          <w:sz w:val="32"/>
          <w:szCs w:val="32"/>
          <w:highlight w:val="none"/>
          <w:lang w:val="en-US" w:eastAsia="zh-CN"/>
        </w:rPr>
        <w:t>99.26</w:t>
      </w:r>
      <w:r>
        <w:rPr>
          <w:rFonts w:hint="eastAsia" w:asciiTheme="minorEastAsia" w:hAnsiTheme="minorEastAsia" w:eastAsiaTheme="minorEastAsia"/>
          <w:sz w:val="32"/>
          <w:szCs w:val="32"/>
          <w:highlight w:val="none"/>
        </w:rPr>
        <w:t>万元。授予小微企业合同金额</w:t>
      </w:r>
      <w:r>
        <w:rPr>
          <w:rFonts w:hint="eastAsia" w:asciiTheme="minorEastAsia" w:hAnsiTheme="minorEastAsia" w:eastAsiaTheme="minorEastAsia"/>
          <w:sz w:val="32"/>
          <w:szCs w:val="32"/>
          <w:highlight w:val="none"/>
          <w:lang w:val="en-US" w:eastAsia="zh-CN"/>
        </w:rPr>
        <w:t>122.56</w:t>
      </w:r>
      <w:r>
        <w:rPr>
          <w:rFonts w:hint="eastAsia" w:asciiTheme="minorEastAsia" w:hAnsiTheme="minorEastAsia" w:eastAsiaTheme="minorEastAsia"/>
          <w:sz w:val="32"/>
          <w:szCs w:val="32"/>
          <w:highlight w:val="none"/>
        </w:rPr>
        <w:t>万元，占授予中小企业合同金额的</w:t>
      </w:r>
      <w:r>
        <w:rPr>
          <w:rFonts w:hint="eastAsia" w:asciiTheme="minorEastAsia" w:hAnsiTheme="minorEastAsia" w:eastAsiaTheme="minorEastAsia"/>
          <w:sz w:val="32"/>
          <w:szCs w:val="32"/>
          <w:highlight w:val="none"/>
          <w:lang w:val="en-US" w:eastAsia="zh-CN"/>
        </w:rPr>
        <w:t>100</w:t>
      </w:r>
      <w:r>
        <w:rPr>
          <w:rFonts w:hint="eastAsia" w:asciiTheme="minorEastAsia" w:hAnsiTheme="minorEastAsia" w:eastAsiaTheme="minorEastAsia"/>
          <w:sz w:val="32"/>
          <w:szCs w:val="32"/>
          <w:highlight w:val="none"/>
        </w:rPr>
        <w:t>%；货物采购授予小微企业合同金额占货物支出金额的</w:t>
      </w:r>
      <w:r>
        <w:rPr>
          <w:rFonts w:hint="eastAsia" w:asciiTheme="minorEastAsia" w:hAnsiTheme="minorEastAsia" w:eastAsiaTheme="minorEastAsia"/>
          <w:sz w:val="32"/>
          <w:szCs w:val="32"/>
          <w:highlight w:val="none"/>
          <w:lang w:val="en-US" w:eastAsia="zh-CN"/>
        </w:rPr>
        <w:t>18</w:t>
      </w:r>
      <w:r>
        <w:rPr>
          <w:rFonts w:hint="eastAsia" w:asciiTheme="minorEastAsia" w:hAnsiTheme="minorEastAsia" w:eastAsiaTheme="minorEastAsia"/>
          <w:sz w:val="32"/>
          <w:szCs w:val="32"/>
          <w:highlight w:val="none"/>
        </w:rPr>
        <w:t>%，工程采购授予小微企业合同金额占工程支出金额的</w:t>
      </w:r>
      <w:r>
        <w:rPr>
          <w:rFonts w:hint="eastAsia" w:asciiTheme="minorEastAsia" w:hAnsiTheme="minorEastAsia" w:eastAsiaTheme="minorEastAsia"/>
          <w:sz w:val="32"/>
          <w:szCs w:val="32"/>
          <w:highlight w:val="none"/>
          <w:lang w:val="en-US" w:eastAsia="zh-CN"/>
        </w:rPr>
        <w:t>1</w:t>
      </w:r>
      <w:r>
        <w:rPr>
          <w:rFonts w:hint="eastAsia" w:asciiTheme="minorEastAsia" w:hAnsiTheme="minorEastAsia" w:eastAsiaTheme="minorEastAsia"/>
          <w:sz w:val="32"/>
          <w:szCs w:val="32"/>
          <w:highlight w:val="none"/>
        </w:rPr>
        <w:t>%，服务采购授予小微企业合同金额占服务支出金额的</w:t>
      </w:r>
      <w:r>
        <w:rPr>
          <w:rFonts w:hint="eastAsia" w:asciiTheme="minorEastAsia" w:hAnsiTheme="minorEastAsia" w:eastAsiaTheme="minorEastAsia"/>
          <w:sz w:val="32"/>
          <w:szCs w:val="32"/>
          <w:highlight w:val="none"/>
          <w:lang w:val="en-US" w:eastAsia="zh-CN"/>
        </w:rPr>
        <w:t>81</w:t>
      </w:r>
      <w:r>
        <w:rPr>
          <w:rFonts w:hint="eastAsia" w:asciiTheme="minorEastAsia" w:hAnsiTheme="minorEastAsia" w:eastAsiaTheme="minorEastAsia"/>
          <w:sz w:val="32"/>
          <w:szCs w:val="32"/>
          <w:highlight w:val="none"/>
        </w:rPr>
        <w:t>%。</w:t>
      </w:r>
    </w:p>
    <w:p>
      <w:pPr>
        <w:pStyle w:val="15"/>
        <w:ind w:firstLine="640" w:firstLineChars="200"/>
        <w:rPr>
          <w:rFonts w:hAnsi="黑体"/>
          <w:b/>
          <w:color w:val="auto"/>
          <w:sz w:val="32"/>
          <w:szCs w:val="32"/>
          <w:highlight w:val="none"/>
        </w:rPr>
      </w:pPr>
      <w:r>
        <w:rPr>
          <w:rFonts w:hint="eastAsia" w:hAnsi="黑体"/>
          <w:b/>
          <w:color w:val="auto"/>
          <w:sz w:val="32"/>
          <w:szCs w:val="32"/>
          <w:highlight w:val="none"/>
        </w:rPr>
        <w:t>十二、国有资产占用情况说明</w:t>
      </w:r>
    </w:p>
    <w:p>
      <w:pPr>
        <w:pStyle w:val="15"/>
        <w:ind w:firstLine="640" w:firstLineChars="200"/>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截至2021年12月31日，</w:t>
      </w:r>
      <w:r>
        <w:rPr>
          <w:rFonts w:hint="eastAsia" w:asciiTheme="minorEastAsia" w:hAnsiTheme="minorEastAsia" w:eastAsiaTheme="minorEastAsia"/>
          <w:color w:val="auto"/>
          <w:sz w:val="32"/>
          <w:szCs w:val="32"/>
          <w:highlight w:val="none"/>
          <w:lang w:eastAsia="zh-CN"/>
        </w:rPr>
        <w:t>本</w:t>
      </w:r>
      <w:r>
        <w:rPr>
          <w:rFonts w:hint="eastAsia" w:asciiTheme="minorEastAsia" w:hAnsiTheme="minorEastAsia" w:eastAsiaTheme="minorEastAsia"/>
          <w:color w:val="auto"/>
          <w:sz w:val="32"/>
          <w:szCs w:val="32"/>
          <w:highlight w:val="none"/>
        </w:rPr>
        <w:t>单位共有车辆</w:t>
      </w:r>
      <w:r>
        <w:rPr>
          <w:rFonts w:hint="eastAsia" w:asciiTheme="minorEastAsia" w:hAnsiTheme="minorEastAsia" w:eastAsiaTheme="minorEastAsia"/>
          <w:color w:val="auto"/>
          <w:sz w:val="32"/>
          <w:szCs w:val="32"/>
          <w:highlight w:val="none"/>
          <w:lang w:val="en-US" w:eastAsia="zh-CN"/>
        </w:rPr>
        <w:t>2</w:t>
      </w:r>
      <w:r>
        <w:rPr>
          <w:rFonts w:hint="eastAsia" w:asciiTheme="minorEastAsia" w:hAnsiTheme="minorEastAsia" w:eastAsiaTheme="minorEastAsia"/>
          <w:color w:val="auto"/>
          <w:sz w:val="32"/>
          <w:szCs w:val="32"/>
          <w:highlight w:val="none"/>
        </w:rPr>
        <w:t>辆，其中，主要</w:t>
      </w:r>
      <w:r>
        <w:rPr>
          <w:rFonts w:hint="eastAsia" w:asciiTheme="minorEastAsia" w:hAnsiTheme="minorEastAsia" w:eastAsiaTheme="minorEastAsia"/>
          <w:color w:val="auto"/>
          <w:sz w:val="32"/>
          <w:szCs w:val="32"/>
          <w:highlight w:val="none"/>
          <w:lang w:eastAsia="zh-CN"/>
        </w:rPr>
        <w:t>为</w:t>
      </w:r>
      <w:r>
        <w:rPr>
          <w:rFonts w:hint="eastAsia" w:asciiTheme="minorEastAsia" w:hAnsiTheme="minorEastAsia" w:eastAsiaTheme="minorEastAsia"/>
          <w:color w:val="auto"/>
          <w:sz w:val="32"/>
          <w:szCs w:val="32"/>
          <w:highlight w:val="none"/>
        </w:rPr>
        <w:t>执法执勤用车</w:t>
      </w:r>
      <w:r>
        <w:rPr>
          <w:rFonts w:hint="eastAsia" w:asciiTheme="minorEastAsia" w:hAnsiTheme="minorEastAsia" w:eastAsiaTheme="minorEastAsia"/>
          <w:color w:val="auto"/>
          <w:sz w:val="32"/>
          <w:szCs w:val="32"/>
          <w:highlight w:val="none"/>
          <w:lang w:val="en-US" w:eastAsia="zh-CN"/>
        </w:rPr>
        <w:t>1</w:t>
      </w:r>
      <w:r>
        <w:rPr>
          <w:rFonts w:hint="eastAsia" w:asciiTheme="minorEastAsia" w:hAnsiTheme="minorEastAsia" w:eastAsiaTheme="minorEastAsia"/>
          <w:color w:val="auto"/>
          <w:sz w:val="32"/>
          <w:szCs w:val="32"/>
          <w:highlight w:val="none"/>
        </w:rPr>
        <w:t>辆</w:t>
      </w:r>
      <w:r>
        <w:rPr>
          <w:rFonts w:hint="eastAsia" w:asciiTheme="minorEastAsia" w:hAnsiTheme="minorEastAsia" w:eastAsiaTheme="minorEastAsia"/>
          <w:color w:val="auto"/>
          <w:sz w:val="32"/>
          <w:szCs w:val="32"/>
          <w:highlight w:val="none"/>
          <w:lang w:eastAsia="zh-CN"/>
        </w:rPr>
        <w:t>，</w:t>
      </w:r>
      <w:r>
        <w:rPr>
          <w:rFonts w:hint="eastAsia" w:asciiTheme="minorEastAsia" w:hAnsiTheme="minorEastAsia" w:eastAsiaTheme="minorEastAsia"/>
          <w:color w:val="auto"/>
          <w:sz w:val="32"/>
          <w:szCs w:val="32"/>
          <w:highlight w:val="none"/>
          <w:lang w:val="en-US" w:eastAsia="zh-CN"/>
        </w:rPr>
        <w:t>其他按照规定配备的公务用车1辆</w:t>
      </w:r>
      <w:r>
        <w:rPr>
          <w:rFonts w:hint="eastAsia" w:asciiTheme="minorEastAsia" w:hAnsiTheme="minorEastAsia" w:eastAsiaTheme="minorEastAsia"/>
          <w:color w:val="auto"/>
          <w:sz w:val="32"/>
          <w:szCs w:val="32"/>
          <w:highlight w:val="none"/>
        </w:rPr>
        <w:t>；单位</w:t>
      </w:r>
      <w:r>
        <w:rPr>
          <w:rFonts w:hint="eastAsia" w:asciiTheme="minorEastAsia" w:hAnsiTheme="minorEastAsia" w:eastAsiaTheme="minorEastAsia"/>
          <w:color w:val="auto"/>
          <w:sz w:val="32"/>
          <w:szCs w:val="32"/>
          <w:highlight w:val="none"/>
          <w:lang w:eastAsia="zh-CN"/>
        </w:rPr>
        <w:t>无</w:t>
      </w:r>
      <w:r>
        <w:rPr>
          <w:rFonts w:hint="eastAsia" w:asciiTheme="minorEastAsia" w:hAnsiTheme="minorEastAsia" w:eastAsiaTheme="minorEastAsia"/>
          <w:color w:val="auto"/>
          <w:sz w:val="32"/>
          <w:szCs w:val="32"/>
          <w:highlight w:val="none"/>
        </w:rPr>
        <w:t>价值50万元以上通用设备；单位</w:t>
      </w:r>
      <w:r>
        <w:rPr>
          <w:rFonts w:hint="eastAsia" w:asciiTheme="minorEastAsia" w:hAnsiTheme="minorEastAsia" w:eastAsiaTheme="minorEastAsia"/>
          <w:color w:val="auto"/>
          <w:sz w:val="32"/>
          <w:szCs w:val="32"/>
          <w:highlight w:val="none"/>
          <w:lang w:eastAsia="zh-CN"/>
        </w:rPr>
        <w:t>无</w:t>
      </w:r>
      <w:r>
        <w:rPr>
          <w:rFonts w:hint="eastAsia" w:asciiTheme="minorEastAsia" w:hAnsiTheme="minorEastAsia" w:eastAsiaTheme="minorEastAsia"/>
          <w:color w:val="auto"/>
          <w:sz w:val="32"/>
          <w:szCs w:val="32"/>
          <w:highlight w:val="none"/>
        </w:rPr>
        <w:t>价值100万元以上专用设备。</w:t>
      </w:r>
    </w:p>
    <w:p>
      <w:pPr>
        <w:pStyle w:val="15"/>
        <w:ind w:firstLine="640" w:firstLineChars="200"/>
        <w:rPr>
          <w:rFonts w:hAnsi="黑体"/>
          <w:b/>
          <w:sz w:val="32"/>
          <w:szCs w:val="32"/>
          <w:highlight w:val="none"/>
        </w:rPr>
      </w:pPr>
      <w:r>
        <w:rPr>
          <w:rFonts w:hint="eastAsia" w:hAnsi="黑体"/>
          <w:b/>
          <w:sz w:val="32"/>
          <w:szCs w:val="32"/>
          <w:highlight w:val="none"/>
        </w:rPr>
        <w:t>十三、2021年度预算绩效情况说明</w:t>
      </w:r>
    </w:p>
    <w:p>
      <w:pPr>
        <w:autoSpaceDE w:val="0"/>
        <w:autoSpaceDN w:val="0"/>
        <w:adjustRightInd w:val="0"/>
        <w:ind w:firstLine="640" w:firstLineChars="200"/>
        <w:jc w:val="left"/>
        <w:rPr>
          <w:rFonts w:cs="黑体" w:asciiTheme="minorEastAsia" w:hAnsiTheme="minorEastAsia"/>
          <w:color w:val="000000"/>
          <w:kern w:val="0"/>
          <w:sz w:val="32"/>
          <w:szCs w:val="32"/>
          <w:highlight w:val="none"/>
        </w:rPr>
      </w:pPr>
      <w:r>
        <w:rPr>
          <w:rFonts w:hint="eastAsia" w:cs="黑体" w:asciiTheme="minorEastAsia" w:hAnsiTheme="minorEastAsia"/>
          <w:b/>
          <w:color w:val="000000"/>
          <w:kern w:val="0"/>
          <w:sz w:val="32"/>
          <w:szCs w:val="32"/>
          <w:highlight w:val="none"/>
        </w:rPr>
        <w:t>（1）绩效管理评价工作开展情况</w:t>
      </w:r>
      <w:r>
        <w:rPr>
          <w:rFonts w:hint="eastAsia" w:cs="黑体" w:asciiTheme="minorEastAsia" w:hAnsiTheme="minorEastAsia"/>
          <w:color w:val="000000"/>
          <w:kern w:val="0"/>
          <w:sz w:val="32"/>
          <w:szCs w:val="32"/>
          <w:highlight w:val="none"/>
        </w:rPr>
        <w:t>。</w:t>
      </w:r>
    </w:p>
    <w:p>
      <w:pPr>
        <w:autoSpaceDE w:val="0"/>
        <w:autoSpaceDN w:val="0"/>
        <w:adjustRightInd w:val="0"/>
        <w:ind w:firstLine="640" w:firstLineChars="200"/>
        <w:jc w:val="left"/>
        <w:rPr>
          <w:rFonts w:hint="eastAsia" w:cs="黑体" w:asciiTheme="minorEastAsia" w:hAnsiTheme="minorEastAsia"/>
          <w:color w:val="000000"/>
          <w:kern w:val="0"/>
          <w:sz w:val="32"/>
          <w:szCs w:val="32"/>
          <w:highlight w:val="none"/>
        </w:rPr>
      </w:pPr>
      <w:r>
        <w:rPr>
          <w:rFonts w:hint="eastAsia" w:cs="黑体" w:asciiTheme="minorEastAsia" w:hAnsiTheme="minorEastAsia"/>
          <w:color w:val="000000"/>
          <w:kern w:val="0"/>
          <w:sz w:val="32"/>
          <w:szCs w:val="32"/>
          <w:highlight w:val="none"/>
        </w:rPr>
        <w:t>根据预算绩效管理要求，</w:t>
      </w:r>
      <w:r>
        <w:rPr>
          <w:rFonts w:hint="eastAsia" w:cs="黑体" w:asciiTheme="minorEastAsia" w:hAnsiTheme="minorEastAsia"/>
          <w:color w:val="000000"/>
          <w:kern w:val="0"/>
          <w:sz w:val="32"/>
          <w:szCs w:val="32"/>
          <w:highlight w:val="none"/>
          <w:lang w:val="en-US" w:eastAsia="zh-CN"/>
        </w:rPr>
        <w:t>经局党委研究决定处理了绩效管理评价工作领导小组，</w:t>
      </w:r>
      <w:r>
        <w:rPr>
          <w:rFonts w:hint="eastAsia" w:cs="黑体" w:asciiTheme="minorEastAsia" w:hAnsiTheme="minorEastAsia"/>
          <w:color w:val="000000"/>
          <w:kern w:val="0"/>
          <w:sz w:val="32"/>
          <w:szCs w:val="32"/>
          <w:highlight w:val="none"/>
        </w:rPr>
        <w:t>组织对</w:t>
      </w:r>
      <w:r>
        <w:rPr>
          <w:rFonts w:cs="黑体" w:asciiTheme="minorEastAsia" w:hAnsiTheme="minorEastAsia"/>
          <w:color w:val="000000"/>
          <w:kern w:val="0"/>
          <w:sz w:val="32"/>
          <w:szCs w:val="32"/>
          <w:highlight w:val="none"/>
        </w:rPr>
        <w:t>2021</w:t>
      </w:r>
      <w:r>
        <w:rPr>
          <w:rFonts w:hint="eastAsia" w:cs="黑体" w:asciiTheme="minorEastAsia" w:hAnsiTheme="minorEastAsia"/>
          <w:color w:val="000000"/>
          <w:kern w:val="0"/>
          <w:sz w:val="32"/>
          <w:szCs w:val="32"/>
          <w:highlight w:val="none"/>
        </w:rPr>
        <w:t>年度一般公共预算项目支出全面开展绩效自评，</w:t>
      </w:r>
      <w:r>
        <w:rPr>
          <w:rFonts w:hint="eastAsia" w:cs="黑体" w:asciiTheme="minorEastAsia" w:hAnsiTheme="minorEastAsia"/>
          <w:color w:val="000000"/>
          <w:kern w:val="0"/>
          <w:sz w:val="32"/>
          <w:szCs w:val="32"/>
          <w:highlight w:val="none"/>
          <w:lang w:val="en-US" w:eastAsia="zh-CN"/>
        </w:rPr>
        <w:t>3</w:t>
      </w:r>
      <w:r>
        <w:rPr>
          <w:rFonts w:hint="eastAsia" w:cs="黑体" w:asciiTheme="minorEastAsia" w:hAnsiTheme="minorEastAsia"/>
          <w:color w:val="000000"/>
          <w:kern w:val="0"/>
          <w:sz w:val="32"/>
          <w:szCs w:val="32"/>
          <w:highlight w:val="none"/>
        </w:rPr>
        <w:t>个</w:t>
      </w:r>
      <w:r>
        <w:rPr>
          <w:rFonts w:hint="eastAsia" w:cs="黑体" w:asciiTheme="minorEastAsia" w:hAnsiTheme="minorEastAsia"/>
          <w:color w:val="000000"/>
          <w:kern w:val="0"/>
          <w:sz w:val="32"/>
          <w:szCs w:val="32"/>
          <w:highlight w:val="none"/>
          <w:lang w:val="en-US" w:eastAsia="zh-CN"/>
        </w:rPr>
        <w:t>都是</w:t>
      </w:r>
      <w:r>
        <w:rPr>
          <w:rFonts w:hint="eastAsia" w:cs="黑体" w:asciiTheme="minorEastAsia" w:hAnsiTheme="minorEastAsia"/>
          <w:color w:val="000000"/>
          <w:kern w:val="0"/>
          <w:sz w:val="32"/>
          <w:szCs w:val="32"/>
          <w:highlight w:val="none"/>
        </w:rPr>
        <w:t>二级项目，共涉及资金</w:t>
      </w:r>
      <w:r>
        <w:rPr>
          <w:rFonts w:hint="eastAsia" w:cs="黑体" w:asciiTheme="minorEastAsia" w:hAnsiTheme="minorEastAsia"/>
          <w:color w:val="000000"/>
          <w:kern w:val="0"/>
          <w:sz w:val="32"/>
          <w:szCs w:val="32"/>
          <w:highlight w:val="none"/>
          <w:lang w:val="en-US" w:eastAsia="zh-CN"/>
        </w:rPr>
        <w:t>103.84</w:t>
      </w:r>
      <w:r>
        <w:rPr>
          <w:rFonts w:hint="eastAsia" w:cs="黑体" w:asciiTheme="minorEastAsia" w:hAnsiTheme="minorEastAsia"/>
          <w:color w:val="000000"/>
          <w:kern w:val="0"/>
          <w:sz w:val="32"/>
          <w:szCs w:val="32"/>
          <w:highlight w:val="none"/>
        </w:rPr>
        <w:t>万元，占一般公共预算项目支出总额的</w:t>
      </w:r>
      <w:r>
        <w:rPr>
          <w:rFonts w:hint="eastAsia" w:cs="黑体" w:asciiTheme="minorEastAsia" w:hAnsiTheme="minorEastAsia"/>
          <w:color w:val="000000"/>
          <w:kern w:val="0"/>
          <w:sz w:val="32"/>
          <w:szCs w:val="32"/>
          <w:highlight w:val="none"/>
          <w:lang w:val="en-US" w:eastAsia="zh-CN"/>
        </w:rPr>
        <w:t>40</w:t>
      </w:r>
      <w:r>
        <w:rPr>
          <w:rFonts w:cs="黑体" w:asciiTheme="minorEastAsia" w:hAnsiTheme="minorEastAsia"/>
          <w:color w:val="000000"/>
          <w:kern w:val="0"/>
          <w:sz w:val="32"/>
          <w:szCs w:val="32"/>
          <w:highlight w:val="none"/>
        </w:rPr>
        <w:t>%</w:t>
      </w:r>
      <w:r>
        <w:rPr>
          <w:rFonts w:hint="eastAsia" w:cs="黑体" w:asciiTheme="minorEastAsia" w:hAnsiTheme="minorEastAsia"/>
          <w:color w:val="000000"/>
          <w:kern w:val="0"/>
          <w:sz w:val="32"/>
          <w:szCs w:val="32"/>
          <w:highlight w:val="none"/>
        </w:rPr>
        <w:t>。</w:t>
      </w:r>
    </w:p>
    <w:p>
      <w:pPr>
        <w:autoSpaceDE w:val="0"/>
        <w:autoSpaceDN w:val="0"/>
        <w:adjustRightInd w:val="0"/>
        <w:ind w:firstLine="640" w:firstLineChars="200"/>
        <w:jc w:val="left"/>
        <w:rPr>
          <w:rFonts w:cs="黑体" w:asciiTheme="minorEastAsia" w:hAnsiTheme="minorEastAsia"/>
          <w:color w:val="000000"/>
          <w:kern w:val="0"/>
          <w:sz w:val="32"/>
          <w:szCs w:val="32"/>
          <w:highlight w:val="none"/>
        </w:rPr>
      </w:pPr>
      <w:r>
        <w:rPr>
          <w:rFonts w:hint="eastAsia" w:cs="黑体" w:asciiTheme="minorEastAsia" w:hAnsiTheme="minorEastAsia"/>
          <w:color w:val="000000"/>
          <w:kern w:val="0"/>
          <w:sz w:val="32"/>
          <w:szCs w:val="32"/>
          <w:highlight w:val="none"/>
        </w:rPr>
        <w:t>对“住建项目前期经费支出 ”“农村危房改造考核、督查、迎检、农村住房排查等支出”</w:t>
      </w:r>
      <w:r>
        <w:rPr>
          <w:rFonts w:hint="eastAsia" w:cs="黑体" w:asciiTheme="minorEastAsia" w:hAnsiTheme="minorEastAsia"/>
          <w:color w:val="000000"/>
          <w:kern w:val="0"/>
          <w:sz w:val="32"/>
          <w:szCs w:val="32"/>
          <w:highlight w:val="none"/>
          <w:lang w:eastAsia="zh-CN"/>
        </w:rPr>
        <w:t>“</w:t>
      </w:r>
      <w:r>
        <w:rPr>
          <w:rFonts w:hint="eastAsia" w:cs="黑体" w:asciiTheme="minorEastAsia" w:hAnsiTheme="minorEastAsia"/>
          <w:color w:val="000000"/>
          <w:kern w:val="0"/>
          <w:sz w:val="32"/>
          <w:szCs w:val="32"/>
          <w:highlight w:val="none"/>
          <w:lang w:val="en-US" w:eastAsia="zh-CN"/>
        </w:rPr>
        <w:t>物业精细化管理及物业纠纷调解支出</w:t>
      </w:r>
      <w:r>
        <w:rPr>
          <w:rFonts w:hint="eastAsia" w:cs="黑体" w:asciiTheme="minorEastAsia" w:hAnsiTheme="minorEastAsia"/>
          <w:color w:val="000000"/>
          <w:kern w:val="0"/>
          <w:sz w:val="32"/>
          <w:szCs w:val="32"/>
          <w:highlight w:val="none"/>
          <w:lang w:eastAsia="zh-CN"/>
        </w:rPr>
        <w:t>”</w:t>
      </w:r>
      <w:r>
        <w:rPr>
          <w:rFonts w:hint="eastAsia" w:cs="黑体" w:asciiTheme="minorEastAsia" w:hAnsiTheme="minorEastAsia"/>
          <w:color w:val="000000"/>
          <w:kern w:val="0"/>
          <w:sz w:val="32"/>
          <w:szCs w:val="32"/>
          <w:highlight w:val="none"/>
        </w:rPr>
        <w:t>等</w:t>
      </w:r>
      <w:r>
        <w:rPr>
          <w:rFonts w:hint="eastAsia" w:cs="黑体" w:asciiTheme="minorEastAsia" w:hAnsiTheme="minorEastAsia"/>
          <w:color w:val="000000"/>
          <w:kern w:val="0"/>
          <w:sz w:val="32"/>
          <w:szCs w:val="32"/>
          <w:highlight w:val="none"/>
          <w:lang w:val="en-US" w:eastAsia="zh-CN"/>
        </w:rPr>
        <w:t>3</w:t>
      </w:r>
      <w:r>
        <w:rPr>
          <w:rFonts w:hint="eastAsia" w:cs="黑体" w:asciiTheme="minorEastAsia" w:hAnsiTheme="minorEastAsia"/>
          <w:color w:val="000000"/>
          <w:kern w:val="0"/>
          <w:sz w:val="32"/>
          <w:szCs w:val="32"/>
          <w:highlight w:val="none"/>
        </w:rPr>
        <w:t>个项目开展了部门评价，涉及一般公共预算支出</w:t>
      </w:r>
      <w:r>
        <w:rPr>
          <w:rFonts w:hint="eastAsia" w:cs="黑体" w:asciiTheme="minorEastAsia" w:hAnsiTheme="minorEastAsia"/>
          <w:color w:val="000000"/>
          <w:kern w:val="0"/>
          <w:sz w:val="32"/>
          <w:szCs w:val="32"/>
          <w:highlight w:val="none"/>
          <w:lang w:val="en-US" w:eastAsia="zh-CN"/>
        </w:rPr>
        <w:t>103.84</w:t>
      </w:r>
      <w:r>
        <w:rPr>
          <w:rFonts w:hint="eastAsia" w:cs="黑体" w:asciiTheme="minorEastAsia" w:hAnsiTheme="minorEastAsia"/>
          <w:color w:val="000000"/>
          <w:kern w:val="0"/>
          <w:sz w:val="32"/>
          <w:szCs w:val="32"/>
          <w:highlight w:val="none"/>
        </w:rPr>
        <w:t>万元。</w:t>
      </w:r>
    </w:p>
    <w:p>
      <w:pPr>
        <w:autoSpaceDE w:val="0"/>
        <w:autoSpaceDN w:val="0"/>
        <w:adjustRightInd w:val="0"/>
        <w:ind w:firstLine="640" w:firstLineChars="200"/>
        <w:jc w:val="left"/>
        <w:rPr>
          <w:rFonts w:cs="黑体" w:asciiTheme="minorEastAsia" w:hAnsiTheme="minorEastAsia"/>
          <w:b/>
          <w:color w:val="000000"/>
          <w:kern w:val="0"/>
          <w:sz w:val="32"/>
          <w:szCs w:val="32"/>
          <w:highlight w:val="none"/>
        </w:rPr>
      </w:pPr>
      <w:r>
        <w:rPr>
          <w:rFonts w:hint="eastAsia" w:cs="黑体" w:asciiTheme="minorEastAsia" w:hAnsiTheme="minorEastAsia"/>
          <w:b/>
          <w:color w:val="000000"/>
          <w:kern w:val="0"/>
          <w:sz w:val="32"/>
          <w:szCs w:val="32"/>
          <w:highlight w:val="none"/>
        </w:rPr>
        <w:t>（2）部门决算中项目绩效自评结果。</w:t>
      </w:r>
    </w:p>
    <w:p>
      <w:pPr>
        <w:autoSpaceDE w:val="0"/>
        <w:autoSpaceDN w:val="0"/>
        <w:adjustRightInd w:val="0"/>
        <w:ind w:firstLine="640" w:firstLineChars="200"/>
        <w:jc w:val="left"/>
        <w:rPr>
          <w:rFonts w:cs="黑体" w:asciiTheme="minorEastAsia" w:hAnsiTheme="minorEastAsia"/>
          <w:color w:val="000000"/>
          <w:kern w:val="0"/>
          <w:sz w:val="32"/>
          <w:szCs w:val="32"/>
          <w:highlight w:val="none"/>
        </w:rPr>
      </w:pPr>
      <w:r>
        <w:rPr>
          <w:rFonts w:hint="eastAsia" w:cs="黑体" w:asciiTheme="minorEastAsia" w:hAnsiTheme="minorEastAsia"/>
          <w:color w:val="000000"/>
          <w:kern w:val="0"/>
          <w:sz w:val="32"/>
          <w:szCs w:val="32"/>
          <w:highlight w:val="none"/>
        </w:rPr>
        <w:t>住建项目前期经费支出项目绩效自评综述：根据年初设定的绩效目标，项目绩效自评</w:t>
      </w:r>
      <w:r>
        <w:rPr>
          <w:rFonts w:hint="eastAsia" w:cs="黑体" w:asciiTheme="minorEastAsia" w:hAnsiTheme="minorEastAsia"/>
          <w:color w:val="000000"/>
          <w:kern w:val="0"/>
          <w:sz w:val="32"/>
          <w:szCs w:val="32"/>
          <w:highlight w:val="none"/>
          <w:lang w:val="en-US" w:eastAsia="zh-CN"/>
        </w:rPr>
        <w:t>为良好；</w:t>
      </w:r>
      <w:r>
        <w:rPr>
          <w:rFonts w:hint="eastAsia" w:cs="黑体" w:asciiTheme="minorEastAsia" w:hAnsiTheme="minorEastAsia"/>
          <w:color w:val="000000"/>
          <w:kern w:val="0"/>
          <w:sz w:val="32"/>
          <w:szCs w:val="32"/>
          <w:highlight w:val="none"/>
        </w:rPr>
        <w:t>农村危房改造考核、督查、迎检、农村住房排查等支出项目绩效自评综述：根据年初设定的绩效目标，项目绩效自评得分为</w:t>
      </w:r>
      <w:r>
        <w:rPr>
          <w:rFonts w:hint="eastAsia" w:cs="黑体" w:asciiTheme="minorEastAsia" w:hAnsiTheme="minorEastAsia"/>
          <w:color w:val="000000"/>
          <w:kern w:val="0"/>
          <w:sz w:val="32"/>
          <w:szCs w:val="32"/>
          <w:highlight w:val="none"/>
          <w:lang w:val="en-US" w:eastAsia="zh-CN"/>
        </w:rPr>
        <w:t>良好</w:t>
      </w:r>
      <w:r>
        <w:rPr>
          <w:rFonts w:hint="eastAsia" w:cs="黑体" w:asciiTheme="minorEastAsia" w:hAnsiTheme="minorEastAsia"/>
          <w:color w:val="000000"/>
          <w:kern w:val="0"/>
          <w:sz w:val="32"/>
          <w:szCs w:val="32"/>
          <w:highlight w:val="none"/>
          <w:lang w:eastAsia="zh-CN"/>
        </w:rPr>
        <w:t>；</w:t>
      </w:r>
      <w:r>
        <w:rPr>
          <w:rFonts w:hint="eastAsia" w:cs="黑体" w:asciiTheme="minorEastAsia" w:hAnsiTheme="minorEastAsia"/>
          <w:color w:val="000000"/>
          <w:kern w:val="0"/>
          <w:sz w:val="32"/>
          <w:szCs w:val="32"/>
          <w:highlight w:val="none"/>
          <w:lang w:val="en-US" w:eastAsia="zh-CN"/>
        </w:rPr>
        <w:t>物业精细化管理及物业纠纷调解支出</w:t>
      </w:r>
      <w:r>
        <w:rPr>
          <w:rFonts w:hint="eastAsia" w:cs="黑体" w:asciiTheme="minorEastAsia" w:hAnsiTheme="minorEastAsia"/>
          <w:color w:val="000000"/>
          <w:kern w:val="0"/>
          <w:sz w:val="32"/>
          <w:szCs w:val="32"/>
          <w:highlight w:val="none"/>
        </w:rPr>
        <w:t>项目绩效自评综述：根据年初设定的绩效目标，项目绩效自评</w:t>
      </w:r>
      <w:r>
        <w:rPr>
          <w:rFonts w:hint="eastAsia" w:cs="黑体" w:asciiTheme="minorEastAsia" w:hAnsiTheme="minorEastAsia"/>
          <w:color w:val="000000"/>
          <w:kern w:val="0"/>
          <w:sz w:val="32"/>
          <w:szCs w:val="32"/>
          <w:highlight w:val="none"/>
          <w:lang w:val="en-US" w:eastAsia="zh-CN"/>
        </w:rPr>
        <w:t>为良好。</w:t>
      </w:r>
    </w:p>
    <w:p>
      <w:pPr>
        <w:autoSpaceDE w:val="0"/>
        <w:autoSpaceDN w:val="0"/>
        <w:adjustRightInd w:val="0"/>
        <w:ind w:firstLine="640" w:firstLineChars="200"/>
        <w:jc w:val="left"/>
        <w:rPr>
          <w:rFonts w:cs="黑体" w:asciiTheme="minorEastAsia" w:hAnsiTheme="minorEastAsia"/>
          <w:color w:val="000000"/>
          <w:kern w:val="0"/>
          <w:sz w:val="32"/>
          <w:szCs w:val="32"/>
          <w:highlight w:val="none"/>
        </w:rPr>
      </w:pPr>
      <w:r>
        <w:rPr>
          <w:rFonts w:hint="eastAsia" w:cs="黑体" w:asciiTheme="minorEastAsia" w:hAnsiTheme="minorEastAsia"/>
          <w:b/>
          <w:color w:val="000000"/>
          <w:kern w:val="0"/>
          <w:sz w:val="32"/>
          <w:szCs w:val="32"/>
          <w:highlight w:val="none"/>
        </w:rPr>
        <w:t>（</w:t>
      </w:r>
      <w:r>
        <w:rPr>
          <w:rFonts w:cs="黑体" w:asciiTheme="minorEastAsia" w:hAnsiTheme="minorEastAsia"/>
          <w:b/>
          <w:color w:val="000000"/>
          <w:kern w:val="0"/>
          <w:sz w:val="32"/>
          <w:szCs w:val="32"/>
          <w:highlight w:val="none"/>
        </w:rPr>
        <w:t>3</w:t>
      </w:r>
      <w:r>
        <w:rPr>
          <w:rFonts w:hint="eastAsia" w:cs="黑体" w:asciiTheme="minorEastAsia" w:hAnsiTheme="minorEastAsia"/>
          <w:b/>
          <w:color w:val="000000"/>
          <w:kern w:val="0"/>
          <w:sz w:val="32"/>
          <w:szCs w:val="32"/>
          <w:highlight w:val="none"/>
        </w:rPr>
        <w:t>）部门评价项目绩效评价结果。</w:t>
      </w:r>
    </w:p>
    <w:p>
      <w:pPr>
        <w:autoSpaceDE w:val="0"/>
        <w:autoSpaceDN w:val="0"/>
        <w:adjustRightInd w:val="0"/>
        <w:ind w:firstLine="640" w:firstLineChars="200"/>
        <w:jc w:val="left"/>
        <w:rPr>
          <w:rFonts w:hint="eastAsia" w:cs="黑体" w:asciiTheme="minorEastAsia" w:hAnsiTheme="minorEastAsia"/>
          <w:color w:val="000000"/>
          <w:kern w:val="0"/>
          <w:sz w:val="32"/>
          <w:szCs w:val="32"/>
          <w:highlight w:val="none"/>
          <w:lang w:eastAsia="zh-CN"/>
        </w:rPr>
      </w:pPr>
      <w:r>
        <w:rPr>
          <w:rFonts w:hint="eastAsia" w:cs="黑体" w:asciiTheme="minorEastAsia" w:hAnsiTheme="minorEastAsia"/>
          <w:color w:val="000000"/>
          <w:kern w:val="0"/>
          <w:sz w:val="32"/>
          <w:szCs w:val="32"/>
          <w:highlight w:val="none"/>
          <w:lang w:val="en-US" w:eastAsia="zh-CN"/>
        </w:rPr>
        <w:t>现</w:t>
      </w:r>
      <w:r>
        <w:rPr>
          <w:rFonts w:hint="eastAsia" w:cs="黑体" w:asciiTheme="minorEastAsia" w:hAnsiTheme="minorEastAsia"/>
          <w:color w:val="000000"/>
          <w:kern w:val="0"/>
          <w:sz w:val="32"/>
          <w:szCs w:val="32"/>
          <w:highlight w:val="none"/>
        </w:rPr>
        <w:t>将</w:t>
      </w:r>
      <w:r>
        <w:rPr>
          <w:rFonts w:hint="eastAsia" w:cs="黑体" w:asciiTheme="minorEastAsia" w:hAnsiTheme="minorEastAsia"/>
          <w:color w:val="000000"/>
          <w:kern w:val="0"/>
          <w:sz w:val="32"/>
          <w:szCs w:val="32"/>
          <w:highlight w:val="none"/>
          <w:lang w:val="en-US" w:eastAsia="zh-CN"/>
        </w:rPr>
        <w:t>2021年部门整体支出绩效自评报告</w:t>
      </w:r>
      <w:r>
        <w:rPr>
          <w:rFonts w:hint="eastAsia" w:cs="黑体" w:asciiTheme="minorEastAsia" w:hAnsiTheme="minorEastAsia"/>
          <w:color w:val="000000"/>
          <w:kern w:val="0"/>
          <w:sz w:val="32"/>
          <w:szCs w:val="32"/>
          <w:highlight w:val="none"/>
        </w:rPr>
        <w:t>向社会公开</w:t>
      </w:r>
      <w:r>
        <w:rPr>
          <w:rFonts w:hint="eastAsia" w:cs="黑体" w:asciiTheme="minorEastAsia" w:hAnsiTheme="minorEastAsia"/>
          <w:color w:val="000000"/>
          <w:kern w:val="0"/>
          <w:sz w:val="32"/>
          <w:szCs w:val="32"/>
          <w:highlight w:val="none"/>
          <w:lang w:eastAsia="zh-CN"/>
        </w:rPr>
        <w:t>。</w:t>
      </w:r>
    </w:p>
    <w:p>
      <w:pPr>
        <w:pStyle w:val="15"/>
        <w:jc w:val="center"/>
        <w:rPr>
          <w:rFonts w:hint="eastAsia"/>
          <w:sz w:val="72"/>
          <w:szCs w:val="72"/>
          <w:highlight w:val="none"/>
        </w:rPr>
      </w:pPr>
    </w:p>
    <w:p>
      <w:pPr>
        <w:pStyle w:val="15"/>
        <w:jc w:val="center"/>
        <w:rPr>
          <w:rFonts w:hint="eastAsia"/>
          <w:sz w:val="72"/>
          <w:szCs w:val="72"/>
          <w:highlight w:val="none"/>
        </w:rPr>
      </w:pPr>
    </w:p>
    <w:p>
      <w:pPr>
        <w:pStyle w:val="15"/>
        <w:jc w:val="center"/>
        <w:rPr>
          <w:rFonts w:hint="eastAsia"/>
          <w:sz w:val="72"/>
          <w:szCs w:val="72"/>
          <w:highlight w:val="none"/>
        </w:rPr>
      </w:pPr>
    </w:p>
    <w:p>
      <w:pPr>
        <w:pStyle w:val="15"/>
        <w:jc w:val="center"/>
        <w:rPr>
          <w:rFonts w:hint="eastAsia"/>
          <w:sz w:val="72"/>
          <w:szCs w:val="72"/>
          <w:highlight w:val="none"/>
        </w:rPr>
      </w:pPr>
    </w:p>
    <w:p>
      <w:pPr>
        <w:pStyle w:val="15"/>
        <w:jc w:val="center"/>
        <w:rPr>
          <w:rFonts w:hint="eastAsia"/>
          <w:sz w:val="72"/>
          <w:szCs w:val="72"/>
          <w:highlight w:val="none"/>
        </w:rPr>
      </w:pPr>
    </w:p>
    <w:p>
      <w:pPr>
        <w:pStyle w:val="15"/>
        <w:jc w:val="center"/>
        <w:rPr>
          <w:rFonts w:hint="eastAsia"/>
          <w:sz w:val="72"/>
          <w:szCs w:val="72"/>
          <w:highlight w:val="none"/>
        </w:rPr>
      </w:pPr>
    </w:p>
    <w:p>
      <w:pPr>
        <w:pStyle w:val="15"/>
        <w:jc w:val="center"/>
        <w:rPr>
          <w:rFonts w:hint="eastAsia"/>
          <w:sz w:val="72"/>
          <w:szCs w:val="72"/>
          <w:highlight w:val="none"/>
        </w:rPr>
      </w:pPr>
    </w:p>
    <w:p>
      <w:pPr>
        <w:pStyle w:val="15"/>
        <w:jc w:val="center"/>
        <w:rPr>
          <w:rFonts w:hint="eastAsia"/>
          <w:sz w:val="72"/>
          <w:szCs w:val="72"/>
          <w:highlight w:val="none"/>
        </w:rPr>
      </w:pPr>
    </w:p>
    <w:p>
      <w:pPr>
        <w:pStyle w:val="15"/>
        <w:jc w:val="center"/>
        <w:rPr>
          <w:rFonts w:hint="eastAsia"/>
          <w:sz w:val="72"/>
          <w:szCs w:val="72"/>
          <w:highlight w:val="none"/>
        </w:rPr>
      </w:pPr>
    </w:p>
    <w:p>
      <w:pPr>
        <w:pStyle w:val="15"/>
        <w:jc w:val="center"/>
        <w:rPr>
          <w:sz w:val="72"/>
          <w:szCs w:val="72"/>
          <w:highlight w:val="none"/>
        </w:rPr>
      </w:pPr>
      <w:r>
        <w:rPr>
          <w:rFonts w:hint="eastAsia"/>
          <w:sz w:val="72"/>
          <w:szCs w:val="72"/>
          <w:highlight w:val="none"/>
        </w:rPr>
        <w:t>第四部分</w:t>
      </w:r>
    </w:p>
    <w:p>
      <w:pPr>
        <w:jc w:val="center"/>
        <w:rPr>
          <w:rFonts w:ascii="黑体" w:eastAsia="黑体" w:cs="黑体"/>
          <w:color w:val="000000"/>
          <w:kern w:val="0"/>
          <w:sz w:val="70"/>
          <w:szCs w:val="70"/>
          <w:highlight w:val="none"/>
        </w:rPr>
      </w:pPr>
    </w:p>
    <w:p>
      <w:pPr>
        <w:jc w:val="center"/>
        <w:rPr>
          <w:rFonts w:ascii="黑体" w:eastAsia="黑体" w:cs="黑体"/>
          <w:color w:val="000000"/>
          <w:kern w:val="0"/>
          <w:sz w:val="70"/>
          <w:szCs w:val="70"/>
          <w:highlight w:val="none"/>
        </w:rPr>
      </w:pPr>
      <w:r>
        <w:rPr>
          <w:rFonts w:hint="eastAsia" w:ascii="黑体" w:eastAsia="黑体" w:cs="黑体"/>
          <w:color w:val="000000"/>
          <w:kern w:val="0"/>
          <w:sz w:val="70"/>
          <w:szCs w:val="70"/>
          <w:highlight w:val="none"/>
        </w:rPr>
        <w:t>名词解释</w:t>
      </w:r>
    </w:p>
    <w:p>
      <w:pPr>
        <w:widowControl/>
        <w:jc w:val="left"/>
        <w:rPr>
          <w:rFonts w:hint="eastAsia" w:cs="黑体" w:asciiTheme="minorEastAsia" w:hAnsiTheme="minorEastAsia" w:eastAsiaTheme="minorEastAsia"/>
          <w:color w:val="000000"/>
          <w:kern w:val="0"/>
          <w:sz w:val="32"/>
          <w:szCs w:val="32"/>
          <w:highlight w:val="none"/>
          <w:lang w:val="en-US" w:eastAsia="zh-CN" w:bidi="ar-SA"/>
        </w:rPr>
      </w:pPr>
    </w:p>
    <w:p>
      <w:pPr>
        <w:widowControl/>
        <w:jc w:val="left"/>
        <w:rPr>
          <w:rFonts w:hint="eastAsia" w:cs="黑体" w:asciiTheme="minorEastAsia" w:hAnsiTheme="minorEastAsia" w:eastAsiaTheme="minorEastAsia"/>
          <w:color w:val="000000"/>
          <w:kern w:val="0"/>
          <w:sz w:val="32"/>
          <w:szCs w:val="32"/>
          <w:highlight w:val="none"/>
          <w:lang w:val="en-US" w:eastAsia="zh-CN" w:bidi="ar-SA"/>
        </w:rPr>
      </w:pPr>
    </w:p>
    <w:p>
      <w:pPr>
        <w:widowControl/>
        <w:jc w:val="left"/>
        <w:rPr>
          <w:rFonts w:hint="eastAsia" w:cs="黑体" w:asciiTheme="minorEastAsia" w:hAnsiTheme="minorEastAsia" w:eastAsiaTheme="minorEastAsia"/>
          <w:color w:val="000000"/>
          <w:kern w:val="0"/>
          <w:sz w:val="32"/>
          <w:szCs w:val="32"/>
          <w:highlight w:val="none"/>
          <w:lang w:val="en-US" w:eastAsia="zh-CN" w:bidi="ar-SA"/>
        </w:rPr>
      </w:pPr>
    </w:p>
    <w:p>
      <w:pPr>
        <w:widowControl/>
        <w:jc w:val="left"/>
        <w:rPr>
          <w:rFonts w:hint="eastAsia" w:cs="黑体" w:asciiTheme="minorEastAsia" w:hAnsiTheme="minorEastAsia" w:eastAsiaTheme="minorEastAsia"/>
          <w:color w:val="000000"/>
          <w:kern w:val="0"/>
          <w:sz w:val="32"/>
          <w:szCs w:val="32"/>
          <w:highlight w:val="none"/>
          <w:lang w:val="en-US" w:eastAsia="zh-CN" w:bidi="ar-SA"/>
        </w:rPr>
      </w:pPr>
    </w:p>
    <w:p>
      <w:pPr>
        <w:widowControl/>
        <w:jc w:val="left"/>
        <w:rPr>
          <w:rFonts w:hint="eastAsia" w:cs="黑体" w:asciiTheme="minorEastAsia" w:hAnsiTheme="minorEastAsia" w:eastAsiaTheme="minorEastAsia"/>
          <w:color w:val="000000"/>
          <w:kern w:val="0"/>
          <w:sz w:val="32"/>
          <w:szCs w:val="32"/>
          <w:highlight w:val="none"/>
          <w:lang w:val="en-US" w:eastAsia="zh-CN" w:bidi="ar-SA"/>
        </w:rPr>
      </w:pPr>
    </w:p>
    <w:p>
      <w:pPr>
        <w:widowControl/>
        <w:jc w:val="left"/>
        <w:rPr>
          <w:rFonts w:hint="eastAsia" w:cs="黑体" w:asciiTheme="minorEastAsia" w:hAnsiTheme="minorEastAsia" w:eastAsiaTheme="minorEastAsia"/>
          <w:color w:val="000000"/>
          <w:kern w:val="0"/>
          <w:sz w:val="32"/>
          <w:szCs w:val="32"/>
          <w:highlight w:val="none"/>
          <w:lang w:val="en-US" w:eastAsia="zh-CN" w:bidi="ar-SA"/>
        </w:rPr>
      </w:pPr>
    </w:p>
    <w:p>
      <w:pPr>
        <w:widowControl/>
        <w:jc w:val="left"/>
        <w:rPr>
          <w:rFonts w:hint="eastAsia" w:cs="黑体" w:asciiTheme="minorEastAsia" w:hAnsiTheme="minorEastAsia" w:eastAsiaTheme="minorEastAsia"/>
          <w:color w:val="000000"/>
          <w:kern w:val="0"/>
          <w:sz w:val="32"/>
          <w:szCs w:val="32"/>
          <w:highlight w:val="none"/>
          <w:lang w:val="en-US" w:eastAsia="zh-CN" w:bidi="ar-SA"/>
        </w:rPr>
      </w:pPr>
    </w:p>
    <w:p>
      <w:pPr>
        <w:widowControl/>
        <w:jc w:val="left"/>
        <w:rPr>
          <w:rFonts w:hint="eastAsia" w:cs="黑体" w:asciiTheme="minorEastAsia" w:hAnsiTheme="minorEastAsia" w:eastAsiaTheme="minorEastAsia"/>
          <w:color w:val="000000"/>
          <w:kern w:val="0"/>
          <w:sz w:val="32"/>
          <w:szCs w:val="32"/>
          <w:highlight w:val="none"/>
          <w:lang w:val="en-US" w:eastAsia="zh-CN" w:bidi="ar-SA"/>
        </w:rPr>
      </w:pPr>
    </w:p>
    <w:p>
      <w:pPr>
        <w:widowControl/>
        <w:jc w:val="left"/>
        <w:rPr>
          <w:rFonts w:hint="eastAsia" w:cs="黑体" w:asciiTheme="minorEastAsia" w:hAnsiTheme="minorEastAsia" w:eastAsiaTheme="minorEastAsia"/>
          <w:color w:val="000000"/>
          <w:kern w:val="0"/>
          <w:sz w:val="32"/>
          <w:szCs w:val="32"/>
          <w:highlight w:val="none"/>
          <w:lang w:val="en-US" w:eastAsia="zh-CN" w:bidi="ar-SA"/>
        </w:rPr>
      </w:pPr>
    </w:p>
    <w:p>
      <w:pPr>
        <w:widowControl/>
        <w:jc w:val="left"/>
        <w:rPr>
          <w:rFonts w:hint="eastAsia" w:cs="黑体" w:asciiTheme="minorEastAsia" w:hAnsiTheme="minorEastAsia" w:eastAsiaTheme="minorEastAsia"/>
          <w:color w:val="000000"/>
          <w:kern w:val="0"/>
          <w:sz w:val="32"/>
          <w:szCs w:val="32"/>
          <w:highlight w:val="none"/>
          <w:lang w:val="en-US" w:eastAsia="zh-CN" w:bidi="ar-SA"/>
        </w:rPr>
      </w:pPr>
    </w:p>
    <w:p>
      <w:pPr>
        <w:widowControl/>
        <w:jc w:val="left"/>
        <w:rPr>
          <w:rFonts w:hint="eastAsia" w:cs="黑体" w:asciiTheme="minorEastAsia" w:hAnsiTheme="minorEastAsia" w:eastAsiaTheme="minorEastAsia"/>
          <w:color w:val="000000"/>
          <w:kern w:val="0"/>
          <w:sz w:val="32"/>
          <w:szCs w:val="32"/>
          <w:highlight w:val="none"/>
          <w:lang w:val="en-US" w:eastAsia="zh-CN" w:bidi="ar-SA"/>
        </w:rPr>
      </w:pPr>
    </w:p>
    <w:p>
      <w:pPr>
        <w:widowControl/>
        <w:ind w:firstLine="640" w:firstLineChars="200"/>
        <w:jc w:val="left"/>
        <w:rPr>
          <w:rFonts w:hint="eastAsia" w:cs="黑体" w:asciiTheme="minorEastAsia" w:hAnsiTheme="minorEastAsia" w:eastAsiaTheme="minorEastAsia"/>
          <w:color w:val="000000"/>
          <w:kern w:val="0"/>
          <w:sz w:val="32"/>
          <w:szCs w:val="32"/>
          <w:highlight w:val="none"/>
          <w:lang w:val="en-US" w:eastAsia="zh-CN" w:bidi="ar-SA"/>
        </w:rPr>
      </w:pPr>
      <w:r>
        <w:rPr>
          <w:rFonts w:hint="eastAsia" w:cs="黑体" w:asciiTheme="minorEastAsia" w:hAnsiTheme="minorEastAsia" w:eastAsiaTheme="minorEastAsia"/>
          <w:color w:val="000000"/>
          <w:kern w:val="0"/>
          <w:sz w:val="32"/>
          <w:szCs w:val="32"/>
          <w:highlight w:val="none"/>
          <w:lang w:val="en-US" w:eastAsia="zh-CN" w:bidi="ar-SA"/>
        </w:rPr>
        <w:t>一、“三公”经费：按照党中央、国务院有关文件及部门预算管理有关规定，“三公”经费包括因公出国（境）费、公务用车购置及运行费和公务接待费。（1）因公出国（境）费，指单位工作人员公务出国（境）的住宿费、旅费、伙食补助费、杂费、培训费等支出。（2）公务用车购置及运行费，指单位公务用车购置费（含车辆购置税）及租用费、燃料费、维修费、过路过桥费、保险费等支出。（3）公务接待费，指单位按规定开支的各类公务接待（含外宾接待）支出。</w:t>
      </w:r>
    </w:p>
    <w:p>
      <w:pPr>
        <w:pStyle w:val="15"/>
        <w:jc w:val="both"/>
        <w:rPr>
          <w:rFonts w:hint="eastAsia" w:cs="黑体" w:asciiTheme="minorEastAsia" w:hAnsiTheme="minorEastAsia" w:eastAsiaTheme="minorEastAsia"/>
          <w:color w:val="000000"/>
          <w:kern w:val="0"/>
          <w:sz w:val="32"/>
          <w:szCs w:val="32"/>
          <w:highlight w:val="none"/>
          <w:lang w:val="en-US" w:eastAsia="zh-CN" w:bidi="ar-SA"/>
        </w:rPr>
      </w:pPr>
      <w:r>
        <w:rPr>
          <w:rFonts w:hint="eastAsia" w:cs="黑体" w:asciiTheme="minorEastAsia" w:hAnsiTheme="minorEastAsia" w:eastAsiaTheme="minorEastAsia"/>
          <w:color w:val="000000"/>
          <w:kern w:val="0"/>
          <w:sz w:val="32"/>
          <w:szCs w:val="32"/>
          <w:highlight w:val="none"/>
          <w:lang w:val="en-US" w:eastAsia="zh-CN" w:bidi="ar-SA"/>
        </w:rPr>
        <w:t xml:space="preserve">    二、机关运行经费：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p>
    <w:p>
      <w:pPr>
        <w:pStyle w:val="15"/>
        <w:jc w:val="both"/>
        <w:rPr>
          <w:rFonts w:hint="eastAsia" w:cs="黑体" w:asciiTheme="minorEastAsia" w:hAnsiTheme="minorEastAsia" w:eastAsiaTheme="minorEastAsia"/>
          <w:color w:val="000000"/>
          <w:kern w:val="0"/>
          <w:sz w:val="32"/>
          <w:szCs w:val="32"/>
          <w:highlight w:val="none"/>
          <w:lang w:val="en-US" w:eastAsia="zh-CN" w:bidi="ar-SA"/>
        </w:rPr>
      </w:pPr>
    </w:p>
    <w:p>
      <w:pPr>
        <w:pStyle w:val="15"/>
        <w:jc w:val="both"/>
        <w:rPr>
          <w:rFonts w:hint="eastAsia" w:cs="黑体" w:asciiTheme="minorEastAsia" w:hAnsiTheme="minorEastAsia" w:eastAsiaTheme="minorEastAsia"/>
          <w:color w:val="000000"/>
          <w:kern w:val="0"/>
          <w:sz w:val="32"/>
          <w:szCs w:val="32"/>
          <w:highlight w:val="none"/>
          <w:lang w:val="en-US" w:eastAsia="zh-CN" w:bidi="ar-SA"/>
        </w:rPr>
      </w:pPr>
    </w:p>
    <w:p>
      <w:pPr>
        <w:pStyle w:val="15"/>
        <w:jc w:val="both"/>
        <w:rPr>
          <w:rFonts w:hint="eastAsia" w:cs="黑体" w:asciiTheme="minorEastAsia" w:hAnsiTheme="minorEastAsia" w:eastAsiaTheme="minorEastAsia"/>
          <w:color w:val="000000"/>
          <w:kern w:val="0"/>
          <w:sz w:val="32"/>
          <w:szCs w:val="32"/>
          <w:highlight w:val="none"/>
          <w:lang w:val="en-US" w:eastAsia="zh-CN" w:bidi="ar-SA"/>
        </w:rPr>
      </w:pPr>
    </w:p>
    <w:p>
      <w:pPr>
        <w:pStyle w:val="15"/>
        <w:jc w:val="both"/>
        <w:rPr>
          <w:rFonts w:hint="eastAsia" w:cs="黑体" w:asciiTheme="minorEastAsia" w:hAnsiTheme="minorEastAsia" w:eastAsiaTheme="minorEastAsia"/>
          <w:color w:val="000000"/>
          <w:kern w:val="0"/>
          <w:sz w:val="32"/>
          <w:szCs w:val="32"/>
          <w:highlight w:val="none"/>
          <w:lang w:val="en-US" w:eastAsia="zh-CN" w:bidi="ar-SA"/>
        </w:rPr>
      </w:pPr>
    </w:p>
    <w:p>
      <w:pPr>
        <w:pStyle w:val="15"/>
        <w:jc w:val="both"/>
        <w:rPr>
          <w:rFonts w:hint="eastAsia" w:cs="黑体" w:asciiTheme="minorEastAsia" w:hAnsiTheme="minorEastAsia" w:eastAsiaTheme="minorEastAsia"/>
          <w:color w:val="000000"/>
          <w:kern w:val="0"/>
          <w:sz w:val="32"/>
          <w:szCs w:val="32"/>
          <w:highlight w:val="none"/>
          <w:lang w:val="en-US" w:eastAsia="zh-CN" w:bidi="ar-SA"/>
        </w:rPr>
      </w:pPr>
    </w:p>
    <w:p>
      <w:pPr>
        <w:pStyle w:val="15"/>
        <w:jc w:val="both"/>
        <w:rPr>
          <w:rFonts w:hint="eastAsia" w:cs="黑体" w:asciiTheme="minorEastAsia" w:hAnsiTheme="minorEastAsia" w:eastAsiaTheme="minorEastAsia"/>
          <w:color w:val="000000"/>
          <w:kern w:val="0"/>
          <w:sz w:val="32"/>
          <w:szCs w:val="32"/>
          <w:highlight w:val="none"/>
          <w:lang w:val="en-US" w:eastAsia="zh-CN" w:bidi="ar-SA"/>
        </w:rPr>
      </w:pPr>
    </w:p>
    <w:p>
      <w:pPr>
        <w:pStyle w:val="15"/>
        <w:jc w:val="both"/>
        <w:rPr>
          <w:rFonts w:hint="eastAsia" w:cs="黑体" w:asciiTheme="minorEastAsia" w:hAnsiTheme="minorEastAsia" w:eastAsiaTheme="minorEastAsia"/>
          <w:color w:val="000000"/>
          <w:kern w:val="0"/>
          <w:sz w:val="32"/>
          <w:szCs w:val="32"/>
          <w:highlight w:val="none"/>
          <w:lang w:val="en-US" w:eastAsia="zh-CN" w:bidi="ar-SA"/>
        </w:rPr>
      </w:pPr>
    </w:p>
    <w:p>
      <w:pPr>
        <w:pStyle w:val="15"/>
        <w:jc w:val="both"/>
        <w:rPr>
          <w:rFonts w:hint="eastAsia" w:cs="黑体" w:asciiTheme="minorEastAsia" w:hAnsiTheme="minorEastAsia" w:eastAsiaTheme="minorEastAsia"/>
          <w:color w:val="000000"/>
          <w:kern w:val="0"/>
          <w:sz w:val="32"/>
          <w:szCs w:val="32"/>
          <w:highlight w:val="none"/>
          <w:lang w:val="en-US" w:eastAsia="zh-CN" w:bidi="ar-SA"/>
        </w:rPr>
      </w:pPr>
      <w:r>
        <w:rPr>
          <w:rFonts w:hint="eastAsia" w:cs="黑体" w:asciiTheme="minorEastAsia" w:hAnsiTheme="minorEastAsia" w:eastAsiaTheme="minorEastAsia"/>
          <w:color w:val="000000"/>
          <w:kern w:val="0"/>
          <w:sz w:val="32"/>
          <w:szCs w:val="32"/>
          <w:highlight w:val="none"/>
          <w:lang w:val="en-US" w:eastAsia="zh-CN" w:bidi="ar-SA"/>
        </w:rPr>
        <w:t xml:space="preserve"> </w:t>
      </w:r>
    </w:p>
    <w:p>
      <w:pPr>
        <w:pStyle w:val="15"/>
        <w:jc w:val="center"/>
        <w:rPr>
          <w:rFonts w:hint="eastAsia" w:cs="黑体" w:asciiTheme="minorEastAsia" w:hAnsiTheme="minorEastAsia" w:eastAsiaTheme="minorEastAsia"/>
          <w:color w:val="000000"/>
          <w:kern w:val="0"/>
          <w:sz w:val="32"/>
          <w:szCs w:val="32"/>
          <w:highlight w:val="none"/>
          <w:lang w:val="en-US" w:eastAsia="zh-CN" w:bidi="ar-SA"/>
        </w:rPr>
      </w:pPr>
    </w:p>
    <w:p>
      <w:pPr>
        <w:pStyle w:val="15"/>
        <w:jc w:val="center"/>
        <w:rPr>
          <w:rFonts w:hint="eastAsia" w:cs="黑体" w:asciiTheme="minorEastAsia" w:hAnsiTheme="minorEastAsia" w:eastAsiaTheme="minorEastAsia"/>
          <w:color w:val="000000"/>
          <w:kern w:val="0"/>
          <w:sz w:val="32"/>
          <w:szCs w:val="32"/>
          <w:highlight w:val="none"/>
          <w:lang w:val="en-US" w:eastAsia="zh-CN" w:bidi="ar-SA"/>
        </w:rPr>
      </w:pPr>
    </w:p>
    <w:p>
      <w:pPr>
        <w:pStyle w:val="15"/>
        <w:jc w:val="center"/>
        <w:rPr>
          <w:rFonts w:hint="eastAsia" w:cs="黑体" w:asciiTheme="minorEastAsia" w:hAnsiTheme="minorEastAsia" w:eastAsiaTheme="minorEastAsia"/>
          <w:color w:val="000000"/>
          <w:kern w:val="0"/>
          <w:sz w:val="32"/>
          <w:szCs w:val="32"/>
          <w:highlight w:val="none"/>
          <w:lang w:val="en-US" w:eastAsia="zh-CN" w:bidi="ar-SA"/>
        </w:rPr>
      </w:pPr>
    </w:p>
    <w:p>
      <w:pPr>
        <w:pStyle w:val="15"/>
        <w:jc w:val="center"/>
        <w:rPr>
          <w:rFonts w:hint="eastAsia" w:cs="黑体" w:asciiTheme="minorEastAsia" w:hAnsiTheme="minorEastAsia" w:eastAsiaTheme="minorEastAsia"/>
          <w:color w:val="000000"/>
          <w:kern w:val="0"/>
          <w:sz w:val="32"/>
          <w:szCs w:val="32"/>
          <w:highlight w:val="none"/>
          <w:lang w:val="en-US" w:eastAsia="zh-CN" w:bidi="ar-SA"/>
        </w:rPr>
      </w:pPr>
    </w:p>
    <w:p>
      <w:pPr>
        <w:pStyle w:val="15"/>
        <w:jc w:val="center"/>
        <w:rPr>
          <w:rFonts w:hint="eastAsia" w:cs="黑体" w:asciiTheme="minorEastAsia" w:hAnsiTheme="minorEastAsia" w:eastAsiaTheme="minorEastAsia"/>
          <w:color w:val="000000"/>
          <w:kern w:val="0"/>
          <w:sz w:val="32"/>
          <w:szCs w:val="32"/>
          <w:highlight w:val="none"/>
          <w:lang w:val="en-US" w:eastAsia="zh-CN" w:bidi="ar-SA"/>
        </w:rPr>
      </w:pPr>
    </w:p>
    <w:p>
      <w:pPr>
        <w:pStyle w:val="15"/>
        <w:jc w:val="both"/>
        <w:rPr>
          <w:rFonts w:hint="eastAsia" w:eastAsia="黑体"/>
          <w:sz w:val="72"/>
          <w:szCs w:val="72"/>
          <w:highlight w:val="none"/>
          <w:lang w:val="en-US" w:eastAsia="zh-CN"/>
        </w:rPr>
      </w:pPr>
    </w:p>
    <w:p>
      <w:pPr>
        <w:pStyle w:val="15"/>
        <w:jc w:val="both"/>
        <w:rPr>
          <w:rFonts w:hint="eastAsia" w:eastAsia="黑体"/>
          <w:sz w:val="72"/>
          <w:szCs w:val="72"/>
          <w:highlight w:val="none"/>
          <w:lang w:val="en-US" w:eastAsia="zh-CN"/>
        </w:rPr>
      </w:pPr>
    </w:p>
    <w:p>
      <w:pPr>
        <w:pStyle w:val="15"/>
        <w:jc w:val="both"/>
        <w:rPr>
          <w:rFonts w:hint="eastAsia" w:eastAsia="黑体"/>
          <w:sz w:val="72"/>
          <w:szCs w:val="72"/>
          <w:highlight w:val="none"/>
          <w:lang w:val="en-US" w:eastAsia="zh-CN"/>
        </w:rPr>
      </w:pPr>
    </w:p>
    <w:p>
      <w:pPr>
        <w:pStyle w:val="15"/>
        <w:jc w:val="both"/>
        <w:rPr>
          <w:rFonts w:hint="eastAsia" w:eastAsia="黑体"/>
          <w:sz w:val="72"/>
          <w:szCs w:val="72"/>
          <w:highlight w:val="none"/>
          <w:lang w:val="en-US" w:eastAsia="zh-CN"/>
        </w:rPr>
      </w:pPr>
    </w:p>
    <w:p>
      <w:pPr>
        <w:pStyle w:val="15"/>
        <w:jc w:val="center"/>
        <w:rPr>
          <w:sz w:val="72"/>
          <w:szCs w:val="72"/>
          <w:highlight w:val="none"/>
        </w:rPr>
      </w:pPr>
      <w:r>
        <w:rPr>
          <w:rFonts w:hint="eastAsia"/>
          <w:sz w:val="72"/>
          <w:szCs w:val="72"/>
          <w:highlight w:val="none"/>
        </w:rPr>
        <w:t>第五部分</w:t>
      </w:r>
    </w:p>
    <w:p>
      <w:pPr>
        <w:jc w:val="center"/>
        <w:rPr>
          <w:rFonts w:ascii="黑体" w:eastAsia="黑体" w:cs="黑体"/>
          <w:color w:val="000000"/>
          <w:kern w:val="0"/>
          <w:sz w:val="70"/>
          <w:szCs w:val="70"/>
          <w:highlight w:val="none"/>
        </w:rPr>
      </w:pPr>
    </w:p>
    <w:p>
      <w:pPr>
        <w:jc w:val="center"/>
        <w:rPr>
          <w:rFonts w:ascii="黑体" w:eastAsia="黑体" w:cs="黑体"/>
          <w:color w:val="000000"/>
          <w:kern w:val="0"/>
          <w:sz w:val="70"/>
          <w:szCs w:val="70"/>
          <w:highlight w:val="none"/>
        </w:rPr>
      </w:pPr>
      <w:r>
        <w:rPr>
          <w:rFonts w:hint="eastAsia" w:ascii="黑体" w:eastAsia="黑体" w:cs="黑体"/>
          <w:color w:val="000000"/>
          <w:kern w:val="0"/>
          <w:sz w:val="70"/>
          <w:szCs w:val="70"/>
          <w:highlight w:val="none"/>
        </w:rPr>
        <w:t>附件</w:t>
      </w:r>
    </w:p>
    <w:p>
      <w:pPr>
        <w:widowControl/>
        <w:jc w:val="left"/>
        <w:rPr>
          <w:rFonts w:hint="eastAsia" w:asciiTheme="majorEastAsia" w:hAnsiTheme="majorEastAsia" w:eastAsiaTheme="majorEastAsia" w:cstheme="majorEastAsia"/>
          <w:b/>
          <w:bCs/>
          <w:sz w:val="44"/>
          <w:szCs w:val="44"/>
          <w:highlight w:val="none"/>
          <w:lang w:val="en-US" w:eastAsia="zh-CN"/>
        </w:rPr>
      </w:pPr>
      <w:r>
        <w:rPr>
          <w:rFonts w:ascii="黑体" w:eastAsia="黑体" w:cs="黑体"/>
          <w:color w:val="000000"/>
          <w:kern w:val="0"/>
          <w:sz w:val="70"/>
          <w:szCs w:val="70"/>
          <w:highlight w:val="none"/>
        </w:rPr>
        <w:br w:type="page"/>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heme="majorEastAsia" w:hAnsiTheme="majorEastAsia" w:eastAsiaTheme="majorEastAsia" w:cstheme="majorEastAsia"/>
          <w:b/>
          <w:bCs/>
          <w:sz w:val="44"/>
          <w:szCs w:val="44"/>
          <w:highlight w:val="none"/>
          <w:lang w:val="en-US" w:eastAsia="zh-CN"/>
        </w:rPr>
      </w:pPr>
      <w:r>
        <w:rPr>
          <w:rFonts w:hint="eastAsia" w:asciiTheme="majorEastAsia" w:hAnsiTheme="majorEastAsia" w:eastAsiaTheme="majorEastAsia" w:cstheme="majorEastAsia"/>
          <w:b/>
          <w:bCs/>
          <w:sz w:val="44"/>
          <w:szCs w:val="44"/>
          <w:highlight w:val="none"/>
          <w:lang w:val="en-US" w:eastAsia="zh-CN"/>
        </w:rPr>
        <w:t>湘乡市住房和城乡建设局2021年部门整体支出</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heme="majorEastAsia" w:hAnsiTheme="majorEastAsia" w:eastAsiaTheme="majorEastAsia" w:cstheme="majorEastAsia"/>
          <w:b/>
          <w:bCs/>
          <w:sz w:val="44"/>
          <w:szCs w:val="44"/>
          <w:highlight w:val="none"/>
          <w:lang w:val="en-US" w:eastAsia="zh-CN"/>
        </w:rPr>
      </w:pPr>
      <w:r>
        <w:rPr>
          <w:rFonts w:hint="eastAsia" w:asciiTheme="majorEastAsia" w:hAnsiTheme="majorEastAsia" w:eastAsiaTheme="majorEastAsia" w:cstheme="majorEastAsia"/>
          <w:b/>
          <w:bCs/>
          <w:sz w:val="44"/>
          <w:szCs w:val="44"/>
          <w:highlight w:val="none"/>
          <w:lang w:val="en-US" w:eastAsia="zh-CN"/>
        </w:rPr>
        <w:t>绩效自评报告</w:t>
      </w:r>
    </w:p>
    <w:p>
      <w:pPr>
        <w:pStyle w:val="16"/>
        <w:keepNext w:val="0"/>
        <w:keepLines w:val="0"/>
        <w:pageBreakBefore w:val="0"/>
        <w:widowControl/>
        <w:kinsoku/>
        <w:wordWrap/>
        <w:overflowPunct/>
        <w:topLinePunct w:val="0"/>
        <w:autoSpaceDE/>
        <w:autoSpaceDN/>
        <w:bidi w:val="0"/>
        <w:snapToGrid/>
        <w:spacing w:line="640" w:lineRule="exact"/>
        <w:ind w:left="640" w:firstLine="0" w:firstLineChars="0"/>
        <w:rPr>
          <w:rFonts w:hint="eastAsia" w:asciiTheme="majorEastAsia" w:hAnsiTheme="majorEastAsia" w:eastAsiaTheme="majorEastAsia" w:cstheme="majorEastAsia"/>
          <w:b/>
          <w:bCs/>
          <w:sz w:val="32"/>
          <w:szCs w:val="32"/>
          <w:highlight w:val="none"/>
        </w:rPr>
      </w:pPr>
      <w:r>
        <w:rPr>
          <w:rFonts w:hint="eastAsia" w:ascii="仿宋" w:hAnsi="仿宋" w:eastAsia="仿宋" w:cs="仿宋"/>
          <w:b/>
          <w:bCs/>
          <w:sz w:val="32"/>
          <w:szCs w:val="32"/>
          <w:highlight w:val="none"/>
        </w:rPr>
        <w:t>一、单位基本情况</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（一）机构设置</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湘乡市住房和城乡建设局现设机构有办公室、法规股、审批服务股、住房保障股、城市排水管理股、建筑工程管理股、房产综合开发管理股、质量安全管理股、城市村镇建设管理股、城建档案馆、人防工程建设管理股、指挥通信股、物业管理股、建设工程招标投标管理股、科技设计管理股（造价管理站）、财务股、党建办公室、人事股；局下辖湘乡市建设工程质量安全监督站、湘乡市住房保障服务中心、湘乡市墙体材料改革办公室(湘乡市散装水泥管理办公室)三个独立核算二级机构。</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（二）人员情况</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至本年末，机关在职编制人数109人，实有人数109人，另退休人员100人，共计209人。</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(三）职能职责</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 xml:space="preserve"> 1.承担牵头推进新型城镇化战略工作。贯彻执行国家、省、湘潭、市关于推进新型城镇化、住房保障、城市建设（含城市雕塑）、村镇建设、工程建设、建筑业、勘察设计的方针政策和法律法规，研究制定实施办法、相关发展战略和相应监督管理办法，并组织实施。</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2.加快建立全市多主体供给、多渠道保障、租购并举的住房制度，拟订全市住房建设规划并指导实施，培育和完善房产市场。</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3.拟订全市房产管理的具体实施办法并监督执行；贯彻执行国家、省有关房产管理工作的方针政策和法律法规，负责整顿、规范房产市场，查处全市房产违法违规行为，规范房产市场管理；承担全市房产信息管理工作；负责指导全市公有住房的管理工作；负责全市商品房预（销）售许可、预（销）售合同备案和预售资金的监管；负责房地产经纪、评估、咨询等中介机构管理和从业人员资格管理；指导、监督、规范全市房产行业协会工作；负责处理全市房屋落实政策遗留问题。</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4.拟订全市住房保障政策措施，编制全市城镇保障性住房的建设规划及相关的管理办法并监督实施；负责全市保障性安居工程整体规划，并组织、指导、监督实施；负责市城镇住房保障对象审核登记，实施公共住房租赁补贴。负责市城区保障性住房的建设、储备、分配、交易管理工作；负责全市旧城改造管理工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5.负责全市物业管理活动的指导和监督管理；负责全市住宅物业单位前期物业管理活动中不采用招投标方式选聘物业管理企业许可；负责指导、监督全市物业管理招投标活动。负责全市住宅物业专项维修资金的归集管理和监督使用工作；承担全市城镇房屋安全鉴定管理工作；负责全市房产开发项目备案管理工作；负责全市城镇住宅室内装饰装修活动的管理工作；负责全市房屋白蚁防治管理工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6.承担建立科学规范的工程建设标准体系的工作。组织实施工程建设实施阶段的国家标准、全国统一定额和行业标准定额；研究制定具体实施办法、管理规程和地方标准；组织制定和发布全市造价信息；监督指导各类工程建设计价规范的实施。</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7.指导和管理全市建筑活动，规范建筑市场。贯彻执行建设施工、监理和相关社会中介组织管理的法规和规章；研究拟订建筑业中长期发展规划及年度计划并组织实施；负责全市建筑市场管理、建筑业发展、建筑市场准入、建设工程招投标、建筑勘察设计、工程监理以及工程质量和安全、劳务培训基地建设、技能培训及劳务培训等工作；负责全市房地产开发企业、建筑施工企业等各类专业企业及从业人员的资质资格管理工作，指导监督住宅建设、城市综合开发；协调全市工程建设领域工程款及农民工工资清欠工作；协助搞好全市建设领域专项治理工作；指导、协调全市施工队伍开拓对外建筑市场，开发对外工程承包和劳务合作业务；负责施工企业劳动保障的统筹工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8.承担全市建设工程勘察设计、建筑设计市场管理的工作。负责全市建设工程勘察、设计及建筑装饰设计等行业资质管理工作；负责各类建设项目初步设计审批；指导、检查全市勘察设计行业的工作。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9.承担村镇建设的指导和管理工作。指导全市各乡镇的建设；拟订小城镇建设的政策建议并组织实施；指导农村住房建设及农村危房改造；指导小城镇和农村人居生态环境的改善工作；组织特色景观旅游名镇（村）的申报和管理工作；负责小城镇建设统计工作；负责城市建设项目管理；制定村镇建设年度计划，对各镇基础设施建设进行监督管理；负责村镇建设适用技术的推广应用及组织村镇管理人员的技术培训工作；组织指导各乡镇农村垃圾治理、黑臭水体治理、污水处理、厕所革命等工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10.承担全市房屋建筑、市政工程、人防及装饰装修质量安全监督的工作。负责依法对全市受监工程的质量和施工安全进行监督管理；制定工程质量、安全生产和竣工验收备案的制度并监督执行；组织或参与工程重大质量、安全事故的调查处理；负责建设工程抗震设防管理；指导城市地下空间勘察设计、工程质量安全及其开发利用；负责全市房屋建筑工程和市政基础设施及人防工程的竣工验收备案；负责预制构件和商品砼监督管理工作；负责全市建筑企业安全生产许可证的预审及申报工作。根据国家批准的防护类别、防护标准，会同有关部门编制全市人民防空建设和城市地下空间开发利用规划。负责城市地下空间开发利用兼顾人民防空要求的管理和监督检查，依法对城市和重要经济目标的人民防空建设进行监督检查。组织管理人民防空工程建设。根据国家制定的防护标准和质量标准，对人民防空工程（含结合民用建筑修建的防空地下室）建设实施计划、技术和质量管理；组织指导和监督检查人民防空工程维护管理及平时开发利用工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11.承担推进全市建筑节能与建设科技进步的工作。拟订全市建筑节能政策建议及组织实施；制定建设行业科技发展规划；组织重大科技项目攻关和新技术开发利用；管理行业科技成果。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12.负责指导全市城建档案的管理指导监督、管理全市建设工程竣工档案工作；审查、认证、验收工程竣工档案，负责城市建设档案的收集、整理及城建档案信息的开发、利用。</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13.会同有关部门编制和执行城乡社区事务建设维护专项支出预算、村镇基础设施建设资金补助的分配方案；负责小城镇建设资金的预决算使用计划安排；负责项目资本金的收取和管理；负责物业保修金收取、使用和管理。</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14.负责城市排水管理工作。负责城市排水及其附属设施的规划建设工作；负责城市排水设施建设审批验收、排水管网日常维护管理、排水许可证核发、污水处理厂运营行政管理及资产设施监管、污水处理费征收监管和协调拨付。</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15.负责全市墙体材料、散装水泥的推广应用工作，编制我市推广应用新墙材、散装水泥的中长期规划和年度计划并监督实施；负责墙体改革和散装水泥推广应用方面的信息交流、职工培训、宣传教育和统计工作。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16.贯彻执行国家、省、湘潭市关于人民防空工作的方针政策和法律法规，组织拟订全市人民防空工作的基本战备方案，组织编制全市人民防空建设中长期发展规划和年度工作计划，经批准后组织实施。</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17.制定和组织实施城市防空袭方案和各项保障方案、群众防空组织（人民防空专业队）建设和训练、防空防灾演习演练、疏散体系建设，协助军事部门组织指导城市防卫建设。</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18.战时组织开展城市人民防空袭斗争，组织指挥人民防空疏散和隐蔽，依法组织实施灯火管制和发放防空袭警报，配合要地防空和城市防卫作战，组织有关部门恢复生产和生活秩序，消除空袭后果。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19.组织管理人民防空通信警报和信息化建设。对人民防空通信警报网和信息化建设实施计划、技术和质量管理，负责保障全市人民防空通信警报畅通。负责对全市人民防空无线电进行管理。</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20.会同有关部门组织开展人民防空宣传教育工作，普及人民防空知识和技能。</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21.管理人民防空经费和资产，负责编制市本级人民防空经费预决算，并对使用情况实施监督检查。</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22.承担市人民政府赋予的应急救援任务，利用人防设施和人民防空专业队伍为应急救援服务。</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23.指导相关行业协会的工作。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24.负责国有土地上房屋征收管理行政职能。</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25.负责全市建设工程消防设计审查验收工作。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26.负责全市在建工程项目起重机械设备监管工作。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27.承办上级交办的其他事项。</w:t>
      </w:r>
    </w:p>
    <w:p>
      <w:pPr>
        <w:pStyle w:val="16"/>
        <w:keepNext w:val="0"/>
        <w:keepLines w:val="0"/>
        <w:pageBreakBefore w:val="0"/>
        <w:widowControl/>
        <w:kinsoku/>
        <w:wordWrap/>
        <w:overflowPunct/>
        <w:topLinePunct w:val="0"/>
        <w:autoSpaceDE/>
        <w:autoSpaceDN/>
        <w:bidi w:val="0"/>
        <w:snapToGrid/>
        <w:spacing w:line="640" w:lineRule="exact"/>
        <w:ind w:left="640" w:firstLine="0" w:firstLineChars="0"/>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二、一般公共预算支出情况</w:t>
      </w:r>
    </w:p>
    <w:p>
      <w:pPr>
        <w:pStyle w:val="16"/>
        <w:keepNext w:val="0"/>
        <w:keepLines w:val="0"/>
        <w:pageBreakBefore w:val="0"/>
        <w:widowControl/>
        <w:kinsoku/>
        <w:wordWrap/>
        <w:overflowPunct/>
        <w:topLinePunct w:val="0"/>
        <w:autoSpaceDE/>
        <w:autoSpaceDN/>
        <w:bidi w:val="0"/>
        <w:snapToGrid/>
        <w:spacing w:line="640" w:lineRule="exact"/>
        <w:ind w:left="640" w:firstLine="0" w:firstLineChars="0"/>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rPr>
        <w:t>（一）基本支出情况</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1、年初预算情况</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2021年，我局机关财政部门预算收入为1639.87万元，其中经费拨款收入1610.07万元，纳入公共财政预算管理的非税收入29.8万元。2021年我局机关财政部门预算支出1639.87为万元。其中：基本支出预算1379.87万元；项目支出预算260万元。</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2、年中追加和调减预算情况。</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2021年追加预算1310.82万元，具体为：（1）增加城乡社区事务建设维护专项支出预算1127.96万元：施工图审服务费114.09万元、全市农村房屋安全隐患排查费用20万元、福盈庭项目公用配套设施建设7.75万元、欧家港渠道底泥整治项目200万元、住宅物业管理23.37万元、中央隔离带设施建设2.45万元、污水处理厂建设610.3万元、洙津渡水源地保护建设150万元；（2）增加基本支出182.86万元：信访事务费用30.43万元、死亡抚恤费用44.79万元、其他城市生活救助费用4万元、因人员工资调整及各类奖金发放追加103.64万元。</w:t>
      </w:r>
    </w:p>
    <w:p>
      <w:pPr>
        <w:keepNext w:val="0"/>
        <w:keepLines w:val="0"/>
        <w:pageBreakBefore w:val="0"/>
        <w:widowControl w:val="0"/>
        <w:numPr>
          <w:ilvl w:val="0"/>
          <w:numId w:val="1"/>
        </w:numPr>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全年总预算情况。</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全年总预算2950.69万元。其中：2021年财政部门预算1639.87万元，年中增加城乡社区专项预算支出1127.96万元，增加基本支出182.86万元。</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4、2021年年初结转结余为770.21万元，年末结余结转按上级要求已全部清理完毕。</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5、预算执行情况</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2021年我局机关实际总支出为3073.21万元（财政拨款支出2950.69万元）。</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（1）基本支出执行情况。基本支出1561.47万元，其中人员经费支出1174.81万元，日常公用经费支出386.66万元。</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业务性专项执行情况。业务性专项支出167.31万元，主要为：农村危房改造工作经费31.62万元，人防开支53.68万元，住建项目前期工作经费71.72万元（含小城镇建设、新农村建设、新型城镇化建设等）、党建工作经费5.28万元、疫情防控支出5.01万元。</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3）项目性专项执行情况。项目性专项支出1221.91万元，主要为：施工图审费114.09万元、洙津渡饮用水源地保护建设150万元、乡镇污水处理厂建设647.42万元、黑臭水整治18.38万元、污水主干管清淤及日常维护22.02万元、城市精细化管理道路中央隔离设施建设2.45万元、物业管理经费28.28万元、欧家港渠底泥综合整治项目200万元、解决房屋落实政策历史遗留问题经费34.23万元、工程制度审批改革5.04万元。</w:t>
      </w:r>
    </w:p>
    <w:p>
      <w:pPr>
        <w:pStyle w:val="16"/>
        <w:keepNext w:val="0"/>
        <w:keepLines w:val="0"/>
        <w:pageBreakBefore w:val="0"/>
        <w:widowControl/>
        <w:kinsoku/>
        <w:wordWrap/>
        <w:overflowPunct/>
        <w:topLinePunct w:val="0"/>
        <w:autoSpaceDE/>
        <w:autoSpaceDN/>
        <w:bidi w:val="0"/>
        <w:snapToGrid/>
        <w:spacing w:line="640" w:lineRule="exact"/>
        <w:ind w:left="0" w:leftChars="0" w:firstLine="640" w:firstLineChars="200"/>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（二）项目支出情况</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kern w:val="2"/>
          <w:sz w:val="32"/>
          <w:szCs w:val="32"/>
          <w:highlight w:val="none"/>
          <w:lang w:val="en-US" w:eastAsia="zh-CN" w:bidi="ar-SA"/>
        </w:rPr>
        <w:t>1、农村危房改造考核、督查、迎检、农村住房排查等支出</w:t>
      </w:r>
      <w:r>
        <w:rPr>
          <w:rFonts w:hint="eastAsia" w:ascii="仿宋" w:hAnsi="仿宋" w:eastAsia="仿宋" w:cs="仿宋"/>
          <w:sz w:val="32"/>
          <w:szCs w:val="32"/>
          <w:highlight w:val="none"/>
          <w:lang w:val="en-US" w:eastAsia="zh-CN"/>
        </w:rPr>
        <w:t>项目年初预算40万元，至2021年底实际使用经费为31.62万元，2022年还有打字复印费4.45万元，共36.07万元。主要为支付22个乡镇办事处工作经费、农村住房危险性鉴定费用、以及危房改造迎检核查等费用支出。</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2、物业管理工作经费30万元，资金已按项目需要全部支出，截止2021年12月底实际使用资金28.28万元，项目资金使用率94.43%。</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 xml:space="preserve">3、项目前期经费预算40万元，至2021年底实际使用经费为19.45万元，还有项目包装费20.04万元未付，实际使用39.49万元，项目资金的预决算均已在我局门户网站进行公示。为保证资金发挥应有效益，我局按工作进度严格进行计划申请、划拨、使用，无截留、挪用等违纪现象，资金已按项目需要支出。 </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三、</w:t>
      </w:r>
      <w:r>
        <w:rPr>
          <w:rFonts w:hint="eastAsia" w:ascii="仿宋" w:hAnsi="仿宋" w:eastAsia="仿宋" w:cs="仿宋"/>
          <w:b/>
          <w:bCs/>
          <w:sz w:val="32"/>
          <w:szCs w:val="32"/>
          <w:highlight w:val="none"/>
        </w:rPr>
        <w:t>单位整体支出绩效情况</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highlight w:val="none"/>
          <w:lang w:val="en-US" w:eastAsia="zh-CN"/>
        </w:rPr>
      </w:pPr>
      <w:r>
        <w:rPr>
          <w:rFonts w:hint="eastAsia" w:ascii="仿宋" w:hAnsi="仿宋" w:eastAsia="仿宋" w:cs="仿宋"/>
          <w:sz w:val="32"/>
          <w:szCs w:val="32"/>
          <w:highlight w:val="none"/>
          <w:lang w:val="en-US" w:eastAsia="zh-CN"/>
        </w:rPr>
        <w:t>2021年我市住房和城乡建设工作坚持以习近平新时代中国特色社会主义思想为指引，坚决落实市委、市政府决策部署，科学应对各种风险挑战，围绕行业发展、民生保障、社会治理、生态改善持续发力，在湘潭市2021年度住建领域单项工作评比中，我市多项工作名列榜首。</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（一）建筑行业综合实力有新提升。</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kern w:val="0"/>
          <w:sz w:val="32"/>
          <w:szCs w:val="32"/>
          <w:highlight w:val="none"/>
          <w:lang w:val="en-US" w:eastAsia="zh-CN" w:bidi="ar"/>
        </w:rPr>
      </w:pPr>
      <w:r>
        <w:rPr>
          <w:rFonts w:hint="eastAsia" w:ascii="仿宋" w:hAnsi="仿宋" w:eastAsia="仿宋" w:cs="仿宋"/>
          <w:kern w:val="0"/>
          <w:sz w:val="32"/>
          <w:szCs w:val="32"/>
          <w:highlight w:val="none"/>
          <w:lang w:val="en-US" w:eastAsia="zh-CN" w:bidi="ar"/>
        </w:rPr>
        <w:t>一是规模总量持续攀升。全年完成建筑业总产值137.16亿元，同比增长15.8%。建筑业完成税收5.224亿元，建安房地产税收达3.319亿元，对全市财税收入贡献率达39.2%，建筑业经济保持支柱产业地位。10万“建筑湘军”遍布全国各地并走出国门，建筑劳务收入成为农民增收的主要渠道。</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kern w:val="0"/>
          <w:sz w:val="32"/>
          <w:szCs w:val="32"/>
          <w:highlight w:val="none"/>
          <w:lang w:val="en-US" w:eastAsia="zh-CN" w:bidi="ar"/>
        </w:rPr>
      </w:pPr>
      <w:r>
        <w:rPr>
          <w:rFonts w:hint="eastAsia" w:ascii="仿宋" w:hAnsi="仿宋" w:eastAsia="仿宋" w:cs="仿宋"/>
          <w:kern w:val="0"/>
          <w:sz w:val="32"/>
          <w:szCs w:val="32"/>
          <w:highlight w:val="none"/>
          <w:lang w:val="en-US" w:eastAsia="zh-CN" w:bidi="ar"/>
        </w:rPr>
        <w:t>二是综合实力不断提高。全市建筑业企业总量达199家，施工总承包和专业承包企业144家，总承包和专业承包企业中一级企业10家（其中建筑5家，电力1家，消防1家，装修2家，地基基础1家），二级企业49家（其中建筑11家、电力18家、其它20家）。形成了以建筑工程总承包和输变电专业承包为主，涉及30多个类别的资质结构体系。建筑业企业中产值过亿的有35家，产值过5亿元的有9家，（分别是湖南湘军建筑工程有限公司9.79亿元、湖南省湘棋送变电建设有限公司8.89亿元、湖南湘盎裕源建设有限公司8.9亿元、湖南正志建筑工程有限公司7.45亿元、湘乡市建设工程有限责任公司7.1亿元、湖南省湘乡市电力建设有限公司5.81亿元、湖南省湘福建筑工程有限公司5.51亿元、湖南腾达电力建设有限公司5.43亿元、湖南鸿安电力建设有限公司5.16亿元）。缴纳本地税收3000万元以上的企业1家，2000万元-3000万元的企业4家，1000万元-2000万元的企业8家。大力弘扬工匠精神，全年成功获评省优质工程3项，湘莲奖5项，湘潭市优质工程10项。</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（二）住房保障住有所居有新成效。</w:t>
      </w:r>
    </w:p>
    <w:p>
      <w:pPr>
        <w:pStyle w:val="5"/>
        <w:keepNext w:val="0"/>
        <w:keepLines w:val="0"/>
        <w:pageBreakBefore w:val="0"/>
        <w:kinsoku/>
        <w:wordWrap/>
        <w:overflowPunct/>
        <w:topLinePunct w:val="0"/>
        <w:autoSpaceDE/>
        <w:autoSpaceDN/>
        <w:bidi w:val="0"/>
        <w:adjustRightInd/>
        <w:snapToGrid/>
        <w:spacing w:line="640" w:lineRule="exact"/>
        <w:jc w:val="both"/>
        <w:textAlignment w:val="auto"/>
        <w:rPr>
          <w:rFonts w:hint="eastAsia" w:ascii="仿宋" w:hAnsi="仿宋" w:eastAsia="仿宋" w:cs="仿宋"/>
          <w:kern w:val="0"/>
          <w:sz w:val="32"/>
          <w:szCs w:val="32"/>
          <w:highlight w:val="none"/>
          <w:lang w:val="en-US" w:eastAsia="zh-CN" w:bidi="ar"/>
        </w:rPr>
      </w:pPr>
      <w:r>
        <w:rPr>
          <w:rFonts w:hint="eastAsia" w:ascii="仿宋" w:hAnsi="仿宋" w:eastAsia="仿宋" w:cs="仿宋"/>
          <w:kern w:val="0"/>
          <w:sz w:val="32"/>
          <w:szCs w:val="32"/>
          <w:highlight w:val="none"/>
          <w:lang w:val="en-US" w:eastAsia="zh-CN" w:bidi="ar"/>
        </w:rPr>
        <w:t>房地产业保持健康平稳发展。全年完成房地产开发投资27.07亿元，销售商品房63.32万㎡，房地产实际税收3.32亿元，全市税收占比15.32%。1月12日至2月12日举办第五届房博会，销售各类商品房1656套，总面积18.56万㎡，成交金额9.47亿元。</w:t>
      </w:r>
    </w:p>
    <w:p>
      <w:pPr>
        <w:pStyle w:val="5"/>
        <w:keepNext w:val="0"/>
        <w:keepLines w:val="0"/>
        <w:pageBreakBefore w:val="0"/>
        <w:kinsoku/>
        <w:wordWrap/>
        <w:overflowPunct/>
        <w:topLinePunct w:val="0"/>
        <w:autoSpaceDE/>
        <w:autoSpaceDN/>
        <w:bidi w:val="0"/>
        <w:adjustRightInd/>
        <w:snapToGrid/>
        <w:spacing w:line="640" w:lineRule="exact"/>
        <w:jc w:val="both"/>
        <w:textAlignment w:val="auto"/>
        <w:rPr>
          <w:rFonts w:hint="eastAsia" w:ascii="仿宋" w:hAnsi="仿宋" w:eastAsia="仿宋" w:cs="仿宋"/>
          <w:kern w:val="0"/>
          <w:sz w:val="32"/>
          <w:szCs w:val="32"/>
          <w:highlight w:val="none"/>
          <w:lang w:val="en-US" w:eastAsia="zh-CN" w:bidi="ar"/>
        </w:rPr>
      </w:pPr>
      <w:r>
        <w:rPr>
          <w:rFonts w:hint="eastAsia" w:ascii="仿宋" w:hAnsi="仿宋" w:eastAsia="仿宋" w:cs="仿宋"/>
          <w:kern w:val="0"/>
          <w:sz w:val="32"/>
          <w:szCs w:val="32"/>
          <w:highlight w:val="none"/>
          <w:lang w:val="en-US" w:eastAsia="zh-CN" w:bidi="ar"/>
        </w:rPr>
        <w:t>以办好民生实事为重要抓手，完成湘碱社区、惜池片区、司弄子片区等17个小区的老旧小区改造，惠及1644户小区居民，其中省重点民生实事893户，得到群众一致好评。</w:t>
      </w:r>
    </w:p>
    <w:p>
      <w:pPr>
        <w:pStyle w:val="5"/>
        <w:keepNext w:val="0"/>
        <w:keepLines w:val="0"/>
        <w:pageBreakBefore w:val="0"/>
        <w:kinsoku/>
        <w:wordWrap/>
        <w:overflowPunct/>
        <w:topLinePunct w:val="0"/>
        <w:autoSpaceDE/>
        <w:autoSpaceDN/>
        <w:bidi w:val="0"/>
        <w:adjustRightInd/>
        <w:snapToGrid/>
        <w:spacing w:line="640" w:lineRule="exact"/>
        <w:jc w:val="both"/>
        <w:textAlignment w:val="auto"/>
        <w:rPr>
          <w:rFonts w:hint="eastAsia"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（三）推进新型城镇建设有新进展。</w:t>
      </w:r>
    </w:p>
    <w:p>
      <w:pPr>
        <w:pStyle w:val="5"/>
        <w:keepNext w:val="0"/>
        <w:keepLines w:val="0"/>
        <w:pageBreakBefore w:val="0"/>
        <w:kinsoku/>
        <w:wordWrap/>
        <w:overflowPunct/>
        <w:topLinePunct w:val="0"/>
        <w:autoSpaceDE/>
        <w:autoSpaceDN/>
        <w:bidi w:val="0"/>
        <w:adjustRightInd/>
        <w:snapToGrid/>
        <w:spacing w:line="640" w:lineRule="exact"/>
        <w:ind w:left="0" w:lef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预计新增城镇人口21392人，预计2021年城镇化率达到51.57%，提高2个百分点。</w:t>
      </w:r>
    </w:p>
    <w:p>
      <w:pPr>
        <w:pStyle w:val="5"/>
        <w:keepNext w:val="0"/>
        <w:keepLines w:val="0"/>
        <w:pageBreakBefore w:val="0"/>
        <w:kinsoku/>
        <w:wordWrap/>
        <w:overflowPunct/>
        <w:topLinePunct w:val="0"/>
        <w:autoSpaceDE/>
        <w:autoSpaceDN/>
        <w:bidi w:val="0"/>
        <w:adjustRightInd/>
        <w:snapToGrid/>
        <w:spacing w:line="640" w:lineRule="exact"/>
        <w:ind w:left="0" w:lef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今年省厅下达我市农村危房改造任务309户已全部竣工，危改资金在10月底已通过财政“一卡通”系统全部拨付到位。率先完成全国农村危房改造信息管理系统信息录入，多次受到省厅表扬。做好防返贫致贫集中排查工作，根据最新防返贫监测对象名单（共1554户，3321人），逐户对监测对象住房保障情况进行核查，做到发现一户、整改一户、销号一户，确保“人不住危房，危房不住人”。</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全面开展农村房屋安全隐患排查，共计完成房屋排查户数为181656户，其中农村用作经营自建房排查5721 户，未用作经营的自建房为175444。省住建厅已组织第三方机构对我市农村房屋安全隐患排查工作进行验收，抽查验收情况较好，受到省验收组的一致认可。</w:t>
      </w:r>
    </w:p>
    <w:p>
      <w:pPr>
        <w:pStyle w:val="5"/>
        <w:keepNext w:val="0"/>
        <w:keepLines w:val="0"/>
        <w:pageBreakBefore w:val="0"/>
        <w:kinsoku/>
        <w:wordWrap/>
        <w:overflowPunct/>
        <w:topLinePunct w:val="0"/>
        <w:autoSpaceDE/>
        <w:autoSpaceDN/>
        <w:bidi w:val="0"/>
        <w:adjustRightInd/>
        <w:snapToGrid/>
        <w:spacing w:line="640" w:lineRule="exact"/>
        <w:ind w:left="0" w:lef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开展全市城镇和农村房屋建筑普查。现已经完成全部普查任务，进入质检核查阶段，共计普查房屋409788处，系统质检房屋409620处，质检合格率为99.81%，居全省前列。</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目前我市已建成7个乡镇污水处理厂并投入运行。今年新开工了山枣镇、栗山镇等10处乡镇污水处理厂，目前栗山镇、龙洞镇、潭市镇、中沙镇、虞唐镇已全部完工，进行通水试运行，其余5处已完成总进度80%。目前已有13个乡镇下发乡镇污水处理收费文件，棋梓镇已正式开展收费工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农村生活垃圾治理形成常态化。建成乡镇垃圾压缩中转站17座，新增垃圾收运点1700余处。全市所有行政村实施了农村生活垃圾处理付费服务机制，覆盖率达到100%。巩固12处非正规垃圾堆放点整治效果。</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jc w:val="left"/>
        <w:textAlignment w:val="auto"/>
        <w:outlineLvl w:val="1"/>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kern w:val="0"/>
          <w:sz w:val="32"/>
          <w:szCs w:val="32"/>
          <w:highlight w:val="none"/>
          <w:lang w:val="en-US" w:eastAsia="zh-CN" w:bidi="ar"/>
        </w:rPr>
        <w:t>推进</w:t>
      </w:r>
      <w:r>
        <w:rPr>
          <w:rFonts w:hint="eastAsia" w:ascii="仿宋" w:hAnsi="仿宋" w:eastAsia="仿宋" w:cs="仿宋"/>
          <w:b w:val="0"/>
          <w:bCs w:val="0"/>
          <w:kern w:val="0"/>
          <w:sz w:val="32"/>
          <w:szCs w:val="32"/>
          <w:highlight w:val="none"/>
          <w:lang w:val="en-US" w:eastAsia="zh-CN" w:bidi="ar"/>
        </w:rPr>
        <w:t>欧家港河道治理</w:t>
      </w:r>
      <w:r>
        <w:rPr>
          <w:rFonts w:hint="eastAsia" w:ascii="仿宋" w:hAnsi="仿宋" w:eastAsia="仿宋" w:cs="仿宋"/>
          <w:kern w:val="0"/>
          <w:sz w:val="32"/>
          <w:szCs w:val="32"/>
          <w:highlight w:val="none"/>
          <w:lang w:val="en-US" w:eastAsia="zh-CN" w:bidi="ar"/>
        </w:rPr>
        <w:t>，市政府多次召开专题会议，研究欧家港河道治理工作，</w:t>
      </w:r>
      <w:r>
        <w:rPr>
          <w:rFonts w:hint="eastAsia" w:ascii="仿宋" w:hAnsi="仿宋" w:eastAsia="仿宋" w:cs="仿宋"/>
          <w:sz w:val="32"/>
          <w:szCs w:val="32"/>
          <w:highlight w:val="none"/>
          <w:lang w:val="en-US" w:eastAsia="zh-CN"/>
        </w:rPr>
        <w:t>多次组织市设计院、城管、街道等部门在欧家港现场查看分析，对违章建筑、排污情况、暗渠改明渠的实施、淤泥的现状、环境卫生等情况进行摸查；邀请甲级设计单位对欧家港两次初勘，收集所需相关资料；相关设计单位和检测单位分别现场勘踏污染点、水质底泥采样分析。通过实施主管网截污、底泥清理、零星排口截污、上游源头治理、支线截污干管建设、岸线整治等基础治理工程，彻底消除欧家港渠道的内源污染，工程实施完成后，参照《城市黑臭水体整治工作指南》评价标准要求，欧家港渠道水体预计达到消除轻度黑臭的治理目标。截止至目前，已建成占地面积约2000平方米的脱水干化场、完成克拉小镇至幸福桥的人工清淤工作。2021年9月，已启动欧家港河道源头治理建设，采取控源截污的方式对梅坪社区、槽门屋场片区住户厕所进行改造，11月，欧家港河道底板清淤及硬化恢复施工，目前正全力推进，预计农历年前完工。</w:t>
      </w:r>
    </w:p>
    <w:p>
      <w:pPr>
        <w:pStyle w:val="5"/>
        <w:keepNext w:val="0"/>
        <w:keepLines w:val="0"/>
        <w:pageBreakBefore w:val="0"/>
        <w:kinsoku/>
        <w:wordWrap/>
        <w:overflowPunct/>
        <w:topLinePunct w:val="0"/>
        <w:autoSpaceDE/>
        <w:autoSpaceDN/>
        <w:bidi w:val="0"/>
        <w:adjustRightInd/>
        <w:snapToGrid/>
        <w:spacing w:line="640" w:lineRule="exact"/>
        <w:ind w:left="0" w:leftChars="0" w:firstLine="640" w:firstLineChars="200"/>
        <w:jc w:val="both"/>
        <w:textAlignment w:val="auto"/>
        <w:rPr>
          <w:rFonts w:hint="eastAsia"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（四）促进优质安全发展有新亮点。</w:t>
      </w:r>
    </w:p>
    <w:p>
      <w:pPr>
        <w:keepNext w:val="0"/>
        <w:keepLines w:val="0"/>
        <w:pageBreakBefore w:val="0"/>
        <w:widowControl w:val="0"/>
        <w:kinsoku/>
        <w:wordWrap/>
        <w:overflowPunct/>
        <w:topLinePunct w:val="0"/>
        <w:autoSpaceDE/>
        <w:autoSpaceDN/>
        <w:bidi w:val="0"/>
        <w:adjustRightInd/>
        <w:snapToGrid/>
        <w:spacing w:line="640" w:lineRule="exact"/>
        <w:ind w:firstLine="720" w:firstLineChars="225"/>
        <w:textAlignment w:val="auto"/>
        <w:rPr>
          <w:rFonts w:hint="eastAsia" w:ascii="仿宋" w:hAnsi="仿宋" w:eastAsia="仿宋" w:cs="仿宋"/>
          <w:color w:val="auto"/>
          <w:kern w:val="0"/>
          <w:sz w:val="32"/>
          <w:szCs w:val="32"/>
          <w:highlight w:val="none"/>
          <w:lang w:val="en-US" w:eastAsia="zh-CN" w:bidi="ar"/>
        </w:rPr>
      </w:pPr>
      <w:r>
        <w:rPr>
          <w:rFonts w:hint="eastAsia" w:ascii="仿宋" w:hAnsi="仿宋" w:eastAsia="仿宋" w:cs="仿宋"/>
          <w:sz w:val="32"/>
          <w:szCs w:val="32"/>
          <w:highlight w:val="none"/>
        </w:rPr>
        <w:t>我市建筑施工质量安全生产工作紧紧围绕以“全面落实企业安全生产主体责任”为宗旨，以</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住建系统</w:t>
      </w:r>
      <w:r>
        <w:rPr>
          <w:rFonts w:hint="eastAsia" w:ascii="仿宋" w:hAnsi="仿宋" w:eastAsia="仿宋" w:cs="仿宋"/>
          <w:sz w:val="32"/>
          <w:szCs w:val="32"/>
          <w:highlight w:val="none"/>
        </w:rPr>
        <w:t>安全生产专项整治三年行动实施方案</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“质量提升年”“安全生产提升年”活动为主线，以“消除事故隐患，筑牢安全防线”为主题，巩固完善建筑施工管理机制，推广实施建筑施工质量安全管理新举措</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今年共有受监建筑工地38个，总建筑面积156.78万m</w:t>
      </w:r>
      <w:r>
        <w:rPr>
          <w:rFonts w:hint="eastAsia" w:ascii="仿宋" w:hAnsi="仿宋" w:eastAsia="仿宋" w:cs="仿宋"/>
          <w:sz w:val="32"/>
          <w:szCs w:val="32"/>
          <w:highlight w:val="none"/>
          <w:vertAlign w:val="superscript"/>
          <w:lang w:val="en-US" w:eastAsia="zh-CN"/>
        </w:rPr>
        <w:t>2</w:t>
      </w:r>
      <w:r>
        <w:rPr>
          <w:rFonts w:hint="eastAsia" w:ascii="仿宋" w:hAnsi="仿宋" w:eastAsia="仿宋" w:cs="仿宋"/>
          <w:sz w:val="32"/>
          <w:szCs w:val="32"/>
          <w:highlight w:val="none"/>
          <w:lang w:val="en-US" w:eastAsia="zh-CN"/>
        </w:rPr>
        <w:t>。新增受监项目26个，总建筑面积 64.1万m</w:t>
      </w:r>
      <w:r>
        <w:rPr>
          <w:rFonts w:hint="eastAsia" w:ascii="仿宋" w:hAnsi="仿宋" w:eastAsia="仿宋" w:cs="仿宋"/>
          <w:sz w:val="32"/>
          <w:szCs w:val="32"/>
          <w:highlight w:val="none"/>
          <w:vertAlign w:val="superscript"/>
          <w:lang w:val="en-US" w:eastAsia="zh-CN"/>
        </w:rPr>
        <w:t>2</w:t>
      </w:r>
      <w:r>
        <w:rPr>
          <w:rFonts w:hint="eastAsia" w:ascii="仿宋" w:hAnsi="仿宋" w:eastAsia="仿宋" w:cs="仿宋"/>
          <w:sz w:val="32"/>
          <w:szCs w:val="32"/>
          <w:highlight w:val="none"/>
          <w:lang w:val="en-US" w:eastAsia="zh-CN"/>
        </w:rPr>
        <w:t>。全年竣工项目6个，全部通过竣工验收；竣工验收备案项目35个；消防验收及备案申报项目64个，通过62个。共下工地监督检查1235次，发现并处理一般质量安全问题2682起，全年未发生一起一般以上安全责任事故，持续保持受监工地连续90个月零死亡记录。培训农村建筑工匠700名，进一步提升了农村建筑工匠施工技术水平。积极开展人防宣传教育，强化人防实战演练，提高人防通信指挥能力。定期组织人防工程安全巡查。</w:t>
      </w:r>
    </w:p>
    <w:p>
      <w:pPr>
        <w:pStyle w:val="5"/>
        <w:keepNext w:val="0"/>
        <w:keepLines w:val="0"/>
        <w:pageBreakBefore w:val="0"/>
        <w:kinsoku/>
        <w:wordWrap/>
        <w:overflowPunct/>
        <w:topLinePunct w:val="0"/>
        <w:autoSpaceDE/>
        <w:autoSpaceDN/>
        <w:bidi w:val="0"/>
        <w:adjustRightInd/>
        <w:snapToGrid/>
        <w:spacing w:line="640" w:lineRule="exact"/>
        <w:jc w:val="both"/>
        <w:textAlignment w:val="auto"/>
        <w:rPr>
          <w:rFonts w:hint="eastAsia"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（五）行业管理工作作风有新转变。</w:t>
      </w:r>
    </w:p>
    <w:p>
      <w:pPr>
        <w:keepNext w:val="0"/>
        <w:keepLines w:val="0"/>
        <w:pageBreakBefore w:val="0"/>
        <w:numPr>
          <w:ilvl w:val="0"/>
          <w:numId w:val="0"/>
        </w:numPr>
        <w:kinsoku/>
        <w:wordWrap/>
        <w:overflowPunct/>
        <w:topLinePunct w:val="0"/>
        <w:autoSpaceDE/>
        <w:autoSpaceDN/>
        <w:bidi w:val="0"/>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color w:val="auto"/>
          <w:kern w:val="0"/>
          <w:sz w:val="32"/>
          <w:szCs w:val="32"/>
          <w:highlight w:val="none"/>
          <w:lang w:val="en-US" w:eastAsia="zh-CN" w:bidi="ar"/>
        </w:rPr>
        <w:t>进一步</w:t>
      </w:r>
      <w:r>
        <w:rPr>
          <w:rFonts w:hint="eastAsia" w:ascii="仿宋" w:hAnsi="仿宋" w:eastAsia="仿宋" w:cs="仿宋"/>
          <w:sz w:val="32"/>
          <w:szCs w:val="32"/>
          <w:highlight w:val="none"/>
          <w:lang w:val="en-US" w:eastAsia="zh-CN"/>
        </w:rPr>
        <w:t>优化营商环境，积极实现审批服务事项“三集中、三到位”，</w:t>
      </w:r>
      <w:r>
        <w:rPr>
          <w:rFonts w:hint="eastAsia" w:ascii="仿宋" w:hAnsi="仿宋" w:eastAsia="仿宋" w:cs="仿宋"/>
          <w:color w:val="auto"/>
          <w:kern w:val="0"/>
          <w:sz w:val="32"/>
          <w:szCs w:val="32"/>
          <w:highlight w:val="none"/>
          <w:lang w:val="en-US" w:eastAsia="zh-CN" w:bidi="ar"/>
        </w:rPr>
        <w:t>加速推进工程建设项目审批制度改革。</w:t>
      </w:r>
      <w:r>
        <w:rPr>
          <w:rFonts w:hint="eastAsia" w:ascii="仿宋" w:hAnsi="仿宋" w:eastAsia="仿宋" w:cs="仿宋"/>
          <w:sz w:val="32"/>
          <w:szCs w:val="32"/>
          <w:highlight w:val="none"/>
          <w:lang w:val="en-US" w:eastAsia="zh-CN"/>
        </w:rPr>
        <w:t>全年共办理审批服务事项7424件。</w:t>
      </w:r>
    </w:p>
    <w:p>
      <w:pPr>
        <w:keepNext w:val="0"/>
        <w:keepLines w:val="0"/>
        <w:pageBreakBefore w:val="0"/>
        <w:numPr>
          <w:ilvl w:val="0"/>
          <w:numId w:val="0"/>
        </w:numPr>
        <w:kinsoku/>
        <w:wordWrap/>
        <w:overflowPunct/>
        <w:topLinePunct w:val="0"/>
        <w:autoSpaceDE/>
        <w:autoSpaceDN/>
        <w:bidi w:val="0"/>
        <w:snapToGrid/>
        <w:spacing w:line="640" w:lineRule="exact"/>
        <w:ind w:firstLine="640" w:firstLineChars="200"/>
        <w:jc w:val="both"/>
        <w:textAlignment w:val="auto"/>
        <w:rPr>
          <w:rFonts w:hint="eastAsia" w:ascii="仿宋" w:hAnsi="仿宋" w:eastAsia="仿宋" w:cs="仿宋"/>
          <w:color w:val="auto"/>
          <w:kern w:val="0"/>
          <w:sz w:val="32"/>
          <w:szCs w:val="32"/>
          <w:highlight w:val="none"/>
          <w:lang w:val="en-US" w:eastAsia="zh-CN" w:bidi="ar"/>
        </w:rPr>
      </w:pPr>
      <w:r>
        <w:rPr>
          <w:rFonts w:hint="eastAsia" w:ascii="仿宋" w:hAnsi="仿宋" w:eastAsia="仿宋" w:cs="仿宋"/>
          <w:color w:val="auto"/>
          <w:kern w:val="0"/>
          <w:sz w:val="32"/>
          <w:szCs w:val="32"/>
          <w:highlight w:val="none"/>
          <w:lang w:val="en-US" w:eastAsia="zh-CN" w:bidi="ar"/>
        </w:rPr>
        <w:t>全面加强绿色建筑实施。今年我市新建建筑总建筑面积62.75万</w:t>
      </w:r>
      <w:r>
        <w:rPr>
          <w:rFonts w:hint="eastAsia" w:ascii="仿宋" w:hAnsi="仿宋" w:eastAsia="仿宋" w:cs="仿宋"/>
          <w:sz w:val="32"/>
          <w:szCs w:val="32"/>
          <w:highlight w:val="none"/>
          <w:lang w:val="en-US" w:eastAsia="zh-CN"/>
        </w:rPr>
        <w:t>m</w:t>
      </w:r>
      <w:r>
        <w:rPr>
          <w:rFonts w:hint="eastAsia" w:ascii="仿宋" w:hAnsi="仿宋" w:eastAsia="仿宋" w:cs="仿宋"/>
          <w:sz w:val="32"/>
          <w:szCs w:val="32"/>
          <w:highlight w:val="none"/>
          <w:vertAlign w:val="superscript"/>
          <w:lang w:val="en-US" w:eastAsia="zh-CN"/>
        </w:rPr>
        <w:t>2</w:t>
      </w:r>
      <w:r>
        <w:rPr>
          <w:rFonts w:hint="eastAsia" w:ascii="仿宋" w:hAnsi="仿宋" w:eastAsia="仿宋" w:cs="仿宋"/>
          <w:color w:val="auto"/>
          <w:kern w:val="0"/>
          <w:sz w:val="32"/>
          <w:szCs w:val="32"/>
          <w:highlight w:val="none"/>
          <w:lang w:val="en-US" w:eastAsia="zh-CN" w:bidi="ar"/>
        </w:rPr>
        <w:t>；盛悦天骄、霞光华府、湘乡市东风农贸市场提质改造等项目严格按绿色建筑一星级要求建设，全市新建绿色建筑面积47.59万</w:t>
      </w:r>
      <w:r>
        <w:rPr>
          <w:rFonts w:hint="eastAsia" w:ascii="仿宋" w:hAnsi="仿宋" w:eastAsia="仿宋" w:cs="仿宋"/>
          <w:sz w:val="32"/>
          <w:szCs w:val="32"/>
          <w:highlight w:val="none"/>
          <w:lang w:val="en-US" w:eastAsia="zh-CN"/>
        </w:rPr>
        <w:t>m</w:t>
      </w:r>
      <w:r>
        <w:rPr>
          <w:rFonts w:hint="eastAsia" w:ascii="仿宋" w:hAnsi="仿宋" w:eastAsia="仿宋" w:cs="仿宋"/>
          <w:sz w:val="32"/>
          <w:szCs w:val="32"/>
          <w:highlight w:val="none"/>
          <w:vertAlign w:val="superscript"/>
          <w:lang w:val="en-US" w:eastAsia="zh-CN"/>
        </w:rPr>
        <w:t>2</w:t>
      </w:r>
      <w:r>
        <w:rPr>
          <w:rFonts w:hint="eastAsia" w:ascii="仿宋" w:hAnsi="仿宋" w:eastAsia="仿宋" w:cs="仿宋"/>
          <w:color w:val="auto"/>
          <w:kern w:val="0"/>
          <w:sz w:val="32"/>
          <w:szCs w:val="32"/>
          <w:highlight w:val="none"/>
          <w:lang w:val="en-US" w:eastAsia="zh-CN" w:bidi="ar"/>
        </w:rPr>
        <w:t xml:space="preserve">，新建绿色建筑执行绿色建筑标准的达到100%。 </w:t>
      </w:r>
    </w:p>
    <w:p>
      <w:pPr>
        <w:pStyle w:val="9"/>
        <w:keepNext w:val="0"/>
        <w:keepLines w:val="0"/>
        <w:pageBreakBefore w:val="0"/>
        <w:kinsoku/>
        <w:wordWrap/>
        <w:overflowPunct/>
        <w:topLinePunct w:val="0"/>
        <w:autoSpaceDE/>
        <w:autoSpaceDN/>
        <w:bidi w:val="0"/>
        <w:adjustRightInd w:val="0"/>
        <w:snapToGrid/>
        <w:spacing w:before="0" w:beforeAutospacing="0" w:after="0" w:afterAutospacing="0" w:line="640" w:lineRule="exact"/>
        <w:ind w:left="0" w:leftChars="0" w:right="0" w:rightChars="0" w:firstLine="640" w:firstLineChars="200"/>
        <w:jc w:val="both"/>
        <w:textAlignment w:val="auto"/>
        <w:outlineLvl w:val="9"/>
        <w:rPr>
          <w:rFonts w:hint="eastAsia" w:ascii="仿宋" w:hAnsi="仿宋" w:eastAsia="仿宋" w:cs="仿宋"/>
          <w:color w:val="auto"/>
          <w:kern w:val="0"/>
          <w:sz w:val="32"/>
          <w:szCs w:val="32"/>
          <w:highlight w:val="none"/>
          <w:lang w:val="en-US" w:eastAsia="zh-CN" w:bidi="ar"/>
        </w:rPr>
      </w:pPr>
      <w:r>
        <w:rPr>
          <w:rFonts w:hint="eastAsia" w:ascii="仿宋" w:hAnsi="仿宋" w:eastAsia="仿宋" w:cs="仿宋"/>
          <w:color w:val="auto"/>
          <w:kern w:val="0"/>
          <w:sz w:val="32"/>
          <w:szCs w:val="32"/>
          <w:highlight w:val="none"/>
          <w:lang w:val="en-US" w:eastAsia="zh-CN" w:bidi="ar"/>
        </w:rPr>
        <w:t>积极推进装配式建筑发展。聚永科技办公及厂房、绿营环保厂房二期、巨强二期厂房等项目均采用轻钢结构，装配式总建筑面积9100平方米。湘乡市装配式建筑产业基地选址湘乡经济开发区，园区已入驻湖南中新房住宅科技有限公司，打造集技术研发、试验、生产、销售于一体的装配式建筑产业基地。目前项目处于桩基建设阶段。</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物业服务行业管理水平进一步提升。管理71个物业小区，服务住宅小区71个，培训小区业主委员会、物业从业人员1500余人次，发放宣传资料5000余册。制定物业管理联席会议制度，畅通住宅小区矛盾纠纷排解渠道。缇香尊邸、裕源懿府等项目获湖南省五星级物业服务项目称号，湘房三期、尊城水岸获省三星级物业服务项目称号。疫情防控期间，全市43家物业企业2000余名从业人员与所在社区工作者日夜坚守岗位，筑牢小区“防护墙”。湘乡住建获湘潭市抗击新冠肺炎疫情先进单位。</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四、存在的主要问题</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（一）</w:t>
      </w:r>
      <w:r>
        <w:rPr>
          <w:rFonts w:hint="eastAsia" w:ascii="仿宋" w:hAnsi="仿宋" w:eastAsia="仿宋" w:cs="仿宋"/>
          <w:sz w:val="32"/>
          <w:szCs w:val="32"/>
          <w:highlight w:val="none"/>
          <w:lang w:val="en-US" w:eastAsia="zh-CN"/>
        </w:rPr>
        <w:t>部门预算年初考虑欠缺全面性，致使年中增加预算。同时，中心工作并未在年初时一并考虑，故年中收支预算增加。</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（二）</w:t>
      </w:r>
      <w:r>
        <w:rPr>
          <w:rFonts w:hint="eastAsia" w:ascii="仿宋" w:hAnsi="仿宋" w:eastAsia="仿宋" w:cs="仿宋"/>
          <w:sz w:val="32"/>
          <w:szCs w:val="32"/>
          <w:highlight w:val="none"/>
          <w:lang w:val="en-US" w:eastAsia="zh-CN"/>
        </w:rPr>
        <w:t>财政拨款不能及时到位，造成年终账面结余资金虚高。因政府财力紧张，拨款不能及时到位，单位各项资金不能及时支付，到年底时结存指标较多，但实际却应付未付，造成结余数与实际数相差较大。</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五、改进措施和有关建议</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（一）</w:t>
      </w:r>
      <w:r>
        <w:rPr>
          <w:rFonts w:hint="eastAsia" w:ascii="仿宋" w:hAnsi="仿宋" w:eastAsia="仿宋" w:cs="仿宋"/>
          <w:color w:val="auto"/>
          <w:sz w:val="32"/>
          <w:szCs w:val="32"/>
          <w:highlight w:val="none"/>
          <w:lang w:val="en-US" w:eastAsia="zh-CN"/>
        </w:rPr>
        <w:t>及时拨付相关费用，减少年终结余结转资金量，保障各项工作顺利进行。</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b/>
          <w:bCs/>
          <w:sz w:val="32"/>
          <w:szCs w:val="32"/>
          <w:highlight w:val="none"/>
          <w:lang w:val="en-US" w:eastAsia="zh-CN"/>
        </w:rPr>
        <w:t>（二）</w:t>
      </w:r>
      <w:r>
        <w:rPr>
          <w:rFonts w:hint="eastAsia" w:ascii="仿宋" w:hAnsi="仿宋" w:eastAsia="仿宋" w:cs="仿宋"/>
          <w:sz w:val="32"/>
          <w:szCs w:val="32"/>
          <w:highlight w:val="none"/>
          <w:lang w:val="en-US" w:eastAsia="zh-CN"/>
        </w:rPr>
        <w:t>建议进一步增加公用经费标准。主要是</w:t>
      </w:r>
      <w:r>
        <w:rPr>
          <w:rFonts w:hint="eastAsia" w:ascii="仿宋" w:hAnsi="仿宋" w:eastAsia="仿宋" w:cs="仿宋"/>
          <w:color w:val="auto"/>
          <w:sz w:val="32"/>
          <w:szCs w:val="32"/>
          <w:highlight w:val="none"/>
          <w:lang w:val="en-US" w:eastAsia="zh-CN"/>
        </w:rPr>
        <w:t>政策文件依据必须支出，但预算并未安排，如残疾人就业基金、大防控经费、伙食费、党建经费、退休人员慰问等等。</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六、绩效目标自评结论及报告附表</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2021年住建局的各项工作按期优质完成，取得了较好的经济及社会效益，各界反响良好，对湘乡经济社会发展作出了较大贡献。各项年初绩效目标全部实现，其中绝大部份指标超额完成，自评计分</w:t>
      </w:r>
      <w:r>
        <w:rPr>
          <w:rFonts w:hint="eastAsia" w:ascii="仿宋" w:hAnsi="仿宋" w:eastAsia="仿宋" w:cs="仿宋"/>
          <w:color w:val="auto"/>
          <w:sz w:val="32"/>
          <w:szCs w:val="32"/>
          <w:highlight w:val="none"/>
          <w:lang w:val="en-US" w:eastAsia="zh-CN"/>
        </w:rPr>
        <w:t>96</w:t>
      </w:r>
      <w:r>
        <w:rPr>
          <w:rFonts w:hint="eastAsia" w:ascii="仿宋" w:hAnsi="仿宋" w:eastAsia="仿宋" w:cs="仿宋"/>
          <w:sz w:val="32"/>
          <w:szCs w:val="32"/>
          <w:highlight w:val="none"/>
          <w:lang w:val="en-US" w:eastAsia="zh-CN"/>
        </w:rPr>
        <w:t>分，评定等级为优秀。</w:t>
      </w:r>
    </w:p>
    <w:p>
      <w:pPr>
        <w:pStyle w:val="10"/>
        <w:rPr>
          <w:rFonts w:hint="eastAsia" w:ascii="仿宋" w:hAnsi="仿宋" w:eastAsia="仿宋" w:cs="仿宋"/>
          <w:sz w:val="32"/>
          <w:szCs w:val="32"/>
          <w:highlight w:val="none"/>
          <w:lang w:val="en-US" w:eastAsia="zh-CN"/>
        </w:rPr>
      </w:pPr>
    </w:p>
    <w:p>
      <w:pPr>
        <w:pStyle w:val="10"/>
        <w:rPr>
          <w:rFonts w:hint="eastAsia" w:ascii="仿宋" w:hAnsi="仿宋" w:eastAsia="仿宋" w:cs="仿宋"/>
          <w:sz w:val="32"/>
          <w:szCs w:val="32"/>
          <w:highlight w:val="none"/>
          <w:lang w:val="en-US" w:eastAsia="zh-CN"/>
        </w:rPr>
      </w:pPr>
    </w:p>
    <w:p>
      <w:pPr>
        <w:pStyle w:val="10"/>
        <w:rPr>
          <w:rFonts w:hint="eastAsia" w:ascii="仿宋" w:hAnsi="仿宋" w:eastAsia="仿宋" w:cs="仿宋"/>
          <w:sz w:val="32"/>
          <w:szCs w:val="32"/>
          <w:highlight w:val="none"/>
          <w:lang w:val="en-US" w:eastAsia="zh-CN"/>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F25627"/>
    <w:multiLevelType w:val="singleLevel"/>
    <w:tmpl w:val="2DF25627"/>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yZTI1OTQxNDA3MzIzMDUxNzljZWY4OTVjM2ZiZTUifQ=="/>
  </w:docVars>
  <w:rsids>
    <w:rsidRoot w:val="004506F9"/>
    <w:rsid w:val="0002229B"/>
    <w:rsid w:val="000273BD"/>
    <w:rsid w:val="000415B7"/>
    <w:rsid w:val="00041E3F"/>
    <w:rsid w:val="00055DAA"/>
    <w:rsid w:val="00061F7B"/>
    <w:rsid w:val="000658A3"/>
    <w:rsid w:val="00074155"/>
    <w:rsid w:val="000873EF"/>
    <w:rsid w:val="000A3F69"/>
    <w:rsid w:val="00103957"/>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75489"/>
    <w:rsid w:val="00DD06FF"/>
    <w:rsid w:val="00DD5FE9"/>
    <w:rsid w:val="00E00C7A"/>
    <w:rsid w:val="00E209CF"/>
    <w:rsid w:val="00E37D6C"/>
    <w:rsid w:val="00E55B68"/>
    <w:rsid w:val="00E67BE6"/>
    <w:rsid w:val="00E8683C"/>
    <w:rsid w:val="00EA2B72"/>
    <w:rsid w:val="00F74360"/>
    <w:rsid w:val="00FB462F"/>
    <w:rsid w:val="00FE16FA"/>
    <w:rsid w:val="00FE328A"/>
    <w:rsid w:val="00FE6269"/>
    <w:rsid w:val="00FF5CD6"/>
    <w:rsid w:val="01A23536"/>
    <w:rsid w:val="035A1E43"/>
    <w:rsid w:val="04C759C7"/>
    <w:rsid w:val="0AD61286"/>
    <w:rsid w:val="15FA71C0"/>
    <w:rsid w:val="17963486"/>
    <w:rsid w:val="1BE35E9E"/>
    <w:rsid w:val="1CB23E2E"/>
    <w:rsid w:val="2020362E"/>
    <w:rsid w:val="248523A1"/>
    <w:rsid w:val="26B24E11"/>
    <w:rsid w:val="2C380DB9"/>
    <w:rsid w:val="30561A4F"/>
    <w:rsid w:val="313A4FA7"/>
    <w:rsid w:val="3C60686B"/>
    <w:rsid w:val="3E7D11FF"/>
    <w:rsid w:val="42AB6E74"/>
    <w:rsid w:val="42FE73DB"/>
    <w:rsid w:val="4AFA44F5"/>
    <w:rsid w:val="4BD27D1A"/>
    <w:rsid w:val="5C0F11FA"/>
    <w:rsid w:val="5E631F59"/>
    <w:rsid w:val="5F3005FC"/>
    <w:rsid w:val="64582A07"/>
    <w:rsid w:val="6B3052A1"/>
    <w:rsid w:val="70C60315"/>
    <w:rsid w:val="789D5E7B"/>
    <w:rsid w:val="7A2933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qFormat="1" w:unhideWhenUsed="0" w:uiPriority="99" w:semiHidden="0"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3"/>
    <w:link w:val="14"/>
    <w:unhideWhenUsed/>
    <w:qFormat/>
    <w:uiPriority w:val="99"/>
    <w:pPr>
      <w:tabs>
        <w:tab w:val="center" w:pos="4153"/>
        <w:tab w:val="right" w:pos="8306"/>
      </w:tabs>
      <w:snapToGrid w:val="0"/>
      <w:jc w:val="left"/>
    </w:pPr>
    <w:rPr>
      <w:sz w:val="18"/>
      <w:szCs w:val="18"/>
    </w:rPr>
  </w:style>
  <w:style w:type="paragraph" w:styleId="3">
    <w:name w:val="index 5"/>
    <w:basedOn w:val="1"/>
    <w:next w:val="1"/>
    <w:qFormat/>
    <w:uiPriority w:val="0"/>
    <w:pPr>
      <w:ind w:left="1680"/>
    </w:pPr>
  </w:style>
  <w:style w:type="paragraph" w:styleId="4">
    <w:name w:val="index 8"/>
    <w:basedOn w:val="1"/>
    <w:next w:val="1"/>
    <w:qFormat/>
    <w:uiPriority w:val="99"/>
    <w:pPr>
      <w:ind w:left="2940"/>
    </w:pPr>
  </w:style>
  <w:style w:type="paragraph" w:styleId="5">
    <w:name w:val="Normal Indent"/>
    <w:basedOn w:val="1"/>
    <w:qFormat/>
    <w:uiPriority w:val="0"/>
    <w:pPr>
      <w:ind w:firstLine="200" w:firstLineChars="200"/>
    </w:pPr>
    <w:rPr>
      <w:rFonts w:ascii="Times New Roman" w:hAnsi="Times New Roman" w:eastAsia="宋体" w:cs="Times New Roman"/>
    </w:rPr>
  </w:style>
  <w:style w:type="paragraph" w:styleId="6">
    <w:name w:val="Body Text Indent"/>
    <w:basedOn w:val="1"/>
    <w:qFormat/>
    <w:uiPriority w:val="0"/>
    <w:pPr>
      <w:spacing w:after="120"/>
      <w:ind w:left="420" w:leftChars="200"/>
    </w:pPr>
  </w:style>
  <w:style w:type="paragraph" w:styleId="7">
    <w:name w:val="Balloon Text"/>
    <w:basedOn w:val="1"/>
    <w:link w:val="17"/>
    <w:semiHidden/>
    <w:unhideWhenUsed/>
    <w:qFormat/>
    <w:uiPriority w:val="99"/>
    <w:rPr>
      <w:sz w:val="18"/>
      <w:szCs w:val="18"/>
    </w:rPr>
  </w:style>
  <w:style w:type="paragraph" w:styleId="8">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Lines="0" w:beforeAutospacing="1" w:after="100" w:afterLines="0" w:afterAutospacing="1"/>
      <w:jc w:val="left"/>
    </w:pPr>
    <w:rPr>
      <w:rFonts w:ascii="宋体" w:hAnsi="宋体" w:cs="宋体"/>
      <w:color w:val="000000"/>
      <w:kern w:val="0"/>
      <w:sz w:val="24"/>
      <w:szCs w:val="24"/>
    </w:rPr>
  </w:style>
  <w:style w:type="paragraph" w:styleId="10">
    <w:name w:val="Body Text First Indent 2"/>
    <w:basedOn w:val="6"/>
    <w:qFormat/>
    <w:uiPriority w:val="0"/>
    <w:pPr>
      <w:ind w:firstLine="420" w:firstLineChars="200"/>
    </w:pPr>
    <w:rPr>
      <w:rFonts w:ascii="宋体" w:hAnsi="宋体"/>
    </w:rPr>
  </w:style>
  <w:style w:type="character" w:customStyle="1" w:styleId="13">
    <w:name w:val="页眉 Char"/>
    <w:basedOn w:val="12"/>
    <w:link w:val="8"/>
    <w:qFormat/>
    <w:uiPriority w:val="99"/>
    <w:rPr>
      <w:sz w:val="18"/>
      <w:szCs w:val="18"/>
    </w:rPr>
  </w:style>
  <w:style w:type="character" w:customStyle="1" w:styleId="14">
    <w:name w:val="页脚 Char"/>
    <w:basedOn w:val="12"/>
    <w:link w:val="2"/>
    <w:qFormat/>
    <w:uiPriority w:val="99"/>
    <w:rPr>
      <w:sz w:val="18"/>
      <w:szCs w:val="18"/>
    </w:rPr>
  </w:style>
  <w:style w:type="paragraph" w:customStyle="1" w:styleId="15">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6">
    <w:name w:val="List Paragraph"/>
    <w:basedOn w:val="1"/>
    <w:qFormat/>
    <w:uiPriority w:val="34"/>
    <w:pPr>
      <w:ind w:firstLine="420" w:firstLineChars="200"/>
    </w:pPr>
  </w:style>
  <w:style w:type="character" w:customStyle="1" w:styleId="17">
    <w:name w:val="批注框文本 Char"/>
    <w:basedOn w:val="12"/>
    <w:link w:val="7"/>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80904-B2FB-4FE3-894F-42F14B17BC5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45</Pages>
  <Words>17396</Words>
  <Characters>22203</Characters>
  <Lines>69</Lines>
  <Paragraphs>19</Paragraphs>
  <TotalTime>3</TotalTime>
  <ScaleCrop>false</ScaleCrop>
  <LinksUpToDate>false</LinksUpToDate>
  <CharactersWithSpaces>23332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WPS_1687165778</cp:lastModifiedBy>
  <cp:lastPrinted>2022-08-17T01:34:00Z</cp:lastPrinted>
  <dcterms:modified xsi:type="dcterms:W3CDTF">2024-11-14T02:21:11Z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DA8A5776AFC94EFAA34368EF71185526</vt:lpwstr>
  </property>
</Properties>
</file>