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5"/>
        <w:jc w:val="center"/>
        <w:rPr>
          <w:rFonts w:hint="eastAsia" w:asciiTheme="minorEastAsia" w:hAnsiTheme="minorEastAsia" w:eastAsiaTheme="minorEastAsia" w:cstheme="minorEastAsia"/>
          <w:sz w:val="56"/>
          <w:szCs w:val="56"/>
        </w:rPr>
      </w:pPr>
    </w:p>
    <w:p>
      <w:pPr>
        <w:pStyle w:val="15"/>
        <w:jc w:val="center"/>
        <w:rPr>
          <w:rFonts w:hint="eastAsia" w:asciiTheme="minorEastAsia" w:hAnsiTheme="minorEastAsia" w:eastAsiaTheme="minorEastAsia" w:cstheme="minorEastAsia"/>
          <w:sz w:val="56"/>
          <w:szCs w:val="56"/>
        </w:rPr>
      </w:pPr>
    </w:p>
    <w:p>
      <w:pPr>
        <w:pStyle w:val="15"/>
        <w:jc w:val="center"/>
        <w:rPr>
          <w:rFonts w:hint="eastAsia" w:asciiTheme="minorEastAsia" w:hAnsiTheme="minorEastAsia" w:eastAsiaTheme="minorEastAsia" w:cstheme="minorEastAsia"/>
          <w:sz w:val="84"/>
          <w:szCs w:val="84"/>
        </w:rPr>
      </w:pPr>
    </w:p>
    <w:p>
      <w:pPr>
        <w:pStyle w:val="15"/>
        <w:jc w:val="center"/>
        <w:rPr>
          <w:rFonts w:hint="eastAsia" w:asciiTheme="minorEastAsia" w:hAnsiTheme="minorEastAsia" w:eastAsiaTheme="minorEastAsia" w:cstheme="minorEastAsia"/>
          <w:b/>
          <w:bCs/>
          <w:sz w:val="84"/>
          <w:szCs w:val="84"/>
        </w:rPr>
      </w:pPr>
    </w:p>
    <w:p>
      <w:pPr>
        <w:pStyle w:val="15"/>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2021年度</w:t>
      </w:r>
    </w:p>
    <w:p>
      <w:pPr>
        <w:pStyle w:val="15"/>
        <w:jc w:val="center"/>
        <w:rPr>
          <w:rFonts w:hint="eastAsia" w:asciiTheme="minorEastAsia" w:hAnsiTheme="minorEastAsia" w:eastAsiaTheme="minorEastAsia" w:cstheme="minorEastAsia"/>
          <w:b/>
          <w:bCs/>
          <w:sz w:val="84"/>
          <w:szCs w:val="84"/>
          <w:lang w:eastAsia="zh-CN"/>
        </w:rPr>
      </w:pPr>
      <w:r>
        <w:rPr>
          <w:rFonts w:hint="eastAsia" w:asciiTheme="minorEastAsia" w:hAnsiTheme="minorEastAsia" w:eastAsiaTheme="minorEastAsia" w:cstheme="minorEastAsia"/>
          <w:b/>
          <w:bCs/>
          <w:sz w:val="84"/>
          <w:szCs w:val="84"/>
          <w:lang w:eastAsia="zh-CN"/>
        </w:rPr>
        <w:t>湘乡市住房和</w:t>
      </w:r>
    </w:p>
    <w:p>
      <w:pPr>
        <w:pStyle w:val="15"/>
        <w:jc w:val="center"/>
        <w:rPr>
          <w:rFonts w:hint="eastAsia" w:asciiTheme="minorEastAsia" w:hAnsiTheme="minorEastAsia" w:eastAsiaTheme="minorEastAsia" w:cstheme="minorEastAsia"/>
          <w:b/>
          <w:bCs/>
          <w:sz w:val="84"/>
          <w:szCs w:val="84"/>
          <w:lang w:eastAsia="zh-CN"/>
        </w:rPr>
      </w:pPr>
      <w:r>
        <w:rPr>
          <w:rFonts w:hint="eastAsia" w:asciiTheme="minorEastAsia" w:hAnsiTheme="minorEastAsia" w:eastAsiaTheme="minorEastAsia" w:cstheme="minorEastAsia"/>
          <w:b/>
          <w:bCs/>
          <w:sz w:val="84"/>
          <w:szCs w:val="84"/>
          <w:lang w:eastAsia="zh-CN"/>
        </w:rPr>
        <w:t>城乡建设局</w:t>
      </w:r>
      <w:r>
        <w:rPr>
          <w:rFonts w:hint="eastAsia" w:asciiTheme="minorEastAsia" w:hAnsiTheme="minorEastAsia" w:eastAsiaTheme="minorEastAsia" w:cstheme="minorEastAsia"/>
          <w:b/>
          <w:bCs/>
          <w:sz w:val="84"/>
          <w:szCs w:val="84"/>
        </w:rPr>
        <w:t>部门决算</w:t>
      </w:r>
      <w:r>
        <w:rPr>
          <w:rFonts w:hint="eastAsia" w:asciiTheme="minorEastAsia" w:hAnsiTheme="minorEastAsia" w:eastAsiaTheme="minorEastAsia" w:cstheme="minorEastAsia"/>
          <w:b/>
          <w:bCs/>
          <w:sz w:val="84"/>
          <w:szCs w:val="84"/>
          <w:lang w:eastAsia="zh-CN"/>
        </w:rPr>
        <w:t>（</w:t>
      </w:r>
      <w:r>
        <w:rPr>
          <w:rFonts w:hint="eastAsia" w:asciiTheme="minorEastAsia" w:hAnsiTheme="minorEastAsia" w:eastAsiaTheme="minorEastAsia" w:cstheme="minorEastAsia"/>
          <w:b/>
          <w:bCs/>
          <w:sz w:val="84"/>
          <w:szCs w:val="84"/>
          <w:lang w:val="en-US" w:eastAsia="zh-CN"/>
        </w:rPr>
        <w:t>汇总</w:t>
      </w:r>
      <w:r>
        <w:rPr>
          <w:rFonts w:hint="eastAsia" w:asciiTheme="minorEastAsia" w:hAnsiTheme="minorEastAsia" w:eastAsiaTheme="minorEastAsia" w:cstheme="minorEastAsia"/>
          <w:b/>
          <w:bCs/>
          <w:sz w:val="84"/>
          <w:szCs w:val="84"/>
          <w:lang w:eastAsia="zh-CN"/>
        </w:rPr>
        <w:t>）</w:t>
      </w:r>
    </w:p>
    <w:p>
      <w:pPr>
        <w:pStyle w:val="15"/>
        <w:jc w:val="center"/>
        <w:rPr>
          <w:rFonts w:hint="eastAsia" w:asciiTheme="minorEastAsia" w:hAnsiTheme="minorEastAsia" w:eastAsiaTheme="minorEastAsia" w:cstheme="minorEastAsia"/>
          <w:sz w:val="56"/>
          <w:szCs w:val="56"/>
        </w:rPr>
      </w:pPr>
    </w:p>
    <w:p>
      <w:pPr>
        <w:pStyle w:val="15"/>
        <w:jc w:val="center"/>
        <w:rPr>
          <w:rFonts w:hint="eastAsia" w:asciiTheme="minorEastAsia" w:hAnsiTheme="minorEastAsia" w:eastAsiaTheme="minorEastAsia" w:cstheme="minorEastAsia"/>
          <w:sz w:val="56"/>
          <w:szCs w:val="56"/>
        </w:rPr>
      </w:pPr>
    </w:p>
    <w:p>
      <w:pPr>
        <w:pStyle w:val="15"/>
        <w:jc w:val="center"/>
        <w:rPr>
          <w:rFonts w:hint="eastAsia" w:asciiTheme="minorEastAsia" w:hAnsiTheme="minorEastAsia" w:eastAsiaTheme="minorEastAsia" w:cstheme="minorEastAsia"/>
          <w:sz w:val="56"/>
          <w:szCs w:val="56"/>
        </w:rPr>
      </w:pPr>
    </w:p>
    <w:p>
      <w:pPr>
        <w:pStyle w:val="15"/>
        <w:spacing w:line="500" w:lineRule="exact"/>
        <w:jc w:val="both"/>
        <w:rPr>
          <w:rFonts w:hint="eastAsia" w:asciiTheme="minorEastAsia" w:hAnsiTheme="minorEastAsia" w:eastAsiaTheme="minorEastAsia" w:cstheme="minorEastAsia"/>
          <w:b/>
          <w:sz w:val="36"/>
          <w:szCs w:val="28"/>
        </w:rPr>
      </w:pPr>
    </w:p>
    <w:p>
      <w:pPr>
        <w:pStyle w:val="15"/>
        <w:spacing w:line="500" w:lineRule="exact"/>
        <w:jc w:val="both"/>
        <w:rPr>
          <w:rFonts w:hint="eastAsia" w:asciiTheme="minorEastAsia" w:hAnsiTheme="minorEastAsia" w:eastAsiaTheme="minorEastAsia" w:cstheme="minorEastAsia"/>
          <w:b/>
          <w:sz w:val="36"/>
          <w:szCs w:val="28"/>
        </w:rPr>
      </w:pPr>
    </w:p>
    <w:p>
      <w:pPr>
        <w:pStyle w:val="15"/>
        <w:spacing w:line="500" w:lineRule="exact"/>
        <w:jc w:val="both"/>
        <w:rPr>
          <w:rFonts w:hint="eastAsia" w:asciiTheme="minorEastAsia" w:hAnsiTheme="minorEastAsia" w:eastAsiaTheme="minorEastAsia" w:cstheme="minorEastAsia"/>
          <w:b/>
          <w:sz w:val="36"/>
          <w:szCs w:val="28"/>
        </w:rPr>
      </w:pPr>
    </w:p>
    <w:p>
      <w:pPr>
        <w:pStyle w:val="15"/>
        <w:spacing w:line="500" w:lineRule="exact"/>
        <w:jc w:val="center"/>
        <w:rPr>
          <w:rFonts w:hint="eastAsia" w:asciiTheme="minorEastAsia" w:hAnsiTheme="minorEastAsia" w:eastAsiaTheme="minorEastAsia" w:cstheme="minorEastAsia"/>
          <w:b/>
          <w:sz w:val="36"/>
          <w:szCs w:val="28"/>
        </w:rPr>
      </w:pPr>
      <w:r>
        <w:rPr>
          <w:rFonts w:hint="eastAsia" w:asciiTheme="minorEastAsia" w:hAnsiTheme="minorEastAsia" w:eastAsiaTheme="minorEastAsia" w:cstheme="minorEastAsia"/>
          <w:b/>
          <w:sz w:val="36"/>
          <w:szCs w:val="28"/>
        </w:rPr>
        <w:t>目录</w:t>
      </w:r>
    </w:p>
    <w:p>
      <w:pPr>
        <w:pStyle w:val="15"/>
        <w:spacing w:line="500" w:lineRule="exact"/>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第一部分</w:t>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rPr>
        <w:t>单位概况</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一、部门职责</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二、机构设置</w:t>
      </w:r>
    </w:p>
    <w:p>
      <w:pPr>
        <w:pStyle w:val="15"/>
        <w:spacing w:line="500" w:lineRule="exact"/>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第二部分</w:t>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rPr>
        <w:t>2021年度部门决算表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一、收入支出决算总表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二、收入决算表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三、支出决算表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四、财政拨款收入支出决算总表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五、一般公共预算财政拨款支出决算表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六、一般公共预算财政拨款基本支出决算明细表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七、一般公共预算财政拨款“三公”经费支出决算表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八、政府性基金预算财政拨款收入支出决算表</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九、国有资本经营预算财政拨款支出决算表</w:t>
      </w:r>
    </w:p>
    <w:p>
      <w:pPr>
        <w:pStyle w:val="15"/>
        <w:spacing w:line="500" w:lineRule="exact"/>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b/>
          <w:sz w:val="28"/>
          <w:szCs w:val="28"/>
        </w:rPr>
        <w:t>第三部分</w:t>
      </w:r>
      <w:r>
        <w:rPr>
          <w:rFonts w:hint="eastAsia" w:asciiTheme="minorEastAsia" w:hAnsiTheme="minorEastAsia" w:eastAsiaTheme="minorEastAsia" w:cstheme="minorEastAsia"/>
          <w:b/>
          <w:sz w:val="28"/>
          <w:szCs w:val="28"/>
          <w:lang w:val="en-US" w:eastAsia="zh-CN"/>
        </w:rPr>
        <w:t xml:space="preserve">  </w:t>
      </w:r>
      <w:r>
        <w:rPr>
          <w:rFonts w:hint="eastAsia" w:asciiTheme="minorEastAsia" w:hAnsiTheme="minorEastAsia" w:eastAsiaTheme="minorEastAsia" w:cstheme="minorEastAsia"/>
          <w:b/>
          <w:sz w:val="28"/>
          <w:szCs w:val="28"/>
        </w:rPr>
        <w:t>2021年度部门决算情况说明</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一、收入支出决算总体情况说明</w:t>
      </w:r>
    </w:p>
    <w:p>
      <w:pPr>
        <w:spacing w:line="500" w:lineRule="exact"/>
        <w:ind w:firstLine="700" w:firstLineChars="25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二、收入决算情况说明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九、机关运行经费支出说明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Theme="minorEastAsia" w:hAnsiTheme="minorEastAsia" w:eastAsiaTheme="minorEastAsia" w:cstheme="minorEastAsia"/>
          <w:color w:val="000000"/>
          <w:kern w:val="0"/>
          <w:sz w:val="28"/>
          <w:szCs w:val="28"/>
        </w:rPr>
      </w:pPr>
      <w:r>
        <w:rPr>
          <w:rFonts w:hint="eastAsia" w:asciiTheme="minorEastAsia" w:hAnsiTheme="minorEastAsia" w:eastAsiaTheme="minorEastAsia" w:cstheme="minorEastAsia"/>
          <w:color w:val="000000"/>
          <w:kern w:val="0"/>
          <w:sz w:val="28"/>
          <w:szCs w:val="28"/>
        </w:rPr>
        <w:t>十一、政府采购支出说明</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十二、国有资产占用情况说明</w:t>
      </w:r>
    </w:p>
    <w:p>
      <w:pPr>
        <w:pStyle w:val="15"/>
        <w:spacing w:line="500" w:lineRule="exact"/>
        <w:ind w:firstLine="700" w:firstLineChars="25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十三、2021年度预算绩效情况说明</w:t>
      </w:r>
    </w:p>
    <w:p>
      <w:pPr>
        <w:autoSpaceDE w:val="0"/>
        <w:autoSpaceDN w:val="0"/>
        <w:adjustRightInd w:val="0"/>
        <w:spacing w:line="500" w:lineRule="exact"/>
        <w:jc w:val="left"/>
        <w:rPr>
          <w:rFonts w:hint="eastAsia" w:asciiTheme="minorEastAsia" w:hAnsiTheme="minorEastAsia" w:eastAsiaTheme="minorEastAsia" w:cstheme="minorEastAsia"/>
          <w:b/>
          <w:color w:val="000000"/>
          <w:kern w:val="0"/>
          <w:sz w:val="28"/>
          <w:szCs w:val="28"/>
        </w:rPr>
      </w:pPr>
      <w:r>
        <w:rPr>
          <w:rFonts w:hint="eastAsia" w:asciiTheme="minorEastAsia" w:hAnsiTheme="minorEastAsia" w:eastAsiaTheme="minorEastAsia" w:cstheme="minorEastAsia"/>
          <w:b/>
          <w:color w:val="000000"/>
          <w:kern w:val="0"/>
          <w:sz w:val="28"/>
          <w:szCs w:val="28"/>
        </w:rPr>
        <w:t>第四部分</w:t>
      </w:r>
      <w:r>
        <w:rPr>
          <w:rFonts w:hint="eastAsia" w:asciiTheme="minorEastAsia" w:hAnsiTheme="minorEastAsia" w:eastAsiaTheme="minorEastAsia" w:cstheme="minorEastAsia"/>
          <w:b/>
          <w:color w:val="000000"/>
          <w:kern w:val="0"/>
          <w:sz w:val="28"/>
          <w:szCs w:val="28"/>
          <w:lang w:val="en-US" w:eastAsia="zh-CN"/>
        </w:rPr>
        <w:t xml:space="preserve">  </w:t>
      </w:r>
      <w:r>
        <w:rPr>
          <w:rFonts w:hint="eastAsia" w:asciiTheme="minorEastAsia" w:hAnsiTheme="minorEastAsia" w:eastAsiaTheme="minorEastAsia" w:cstheme="minorEastAsia"/>
          <w:b/>
          <w:color w:val="000000"/>
          <w:kern w:val="0"/>
          <w:sz w:val="28"/>
          <w:szCs w:val="28"/>
        </w:rPr>
        <w:t>名词解释</w:t>
      </w:r>
    </w:p>
    <w:p>
      <w:pPr>
        <w:autoSpaceDE w:val="0"/>
        <w:autoSpaceDN w:val="0"/>
        <w:adjustRightInd w:val="0"/>
        <w:spacing w:line="500" w:lineRule="exact"/>
        <w:jc w:val="left"/>
        <w:rPr>
          <w:rFonts w:hint="eastAsia" w:asciiTheme="minorEastAsia" w:hAnsiTheme="minorEastAsia" w:eastAsiaTheme="minorEastAsia" w:cstheme="minorEastAsia"/>
          <w:b/>
          <w:color w:val="000000"/>
          <w:kern w:val="0"/>
          <w:sz w:val="28"/>
          <w:szCs w:val="28"/>
        </w:rPr>
      </w:pPr>
      <w:r>
        <w:rPr>
          <w:rFonts w:hint="eastAsia" w:asciiTheme="minorEastAsia" w:hAnsiTheme="minorEastAsia" w:eastAsiaTheme="minorEastAsia" w:cstheme="minorEastAsia"/>
          <w:b/>
          <w:color w:val="000000"/>
          <w:kern w:val="0"/>
          <w:sz w:val="28"/>
          <w:szCs w:val="28"/>
        </w:rPr>
        <w:t>第五部分</w:t>
      </w:r>
      <w:r>
        <w:rPr>
          <w:rFonts w:hint="eastAsia" w:asciiTheme="minorEastAsia" w:hAnsiTheme="minorEastAsia" w:eastAsiaTheme="minorEastAsia" w:cstheme="minorEastAsia"/>
          <w:b/>
          <w:color w:val="000000"/>
          <w:kern w:val="0"/>
          <w:sz w:val="28"/>
          <w:szCs w:val="28"/>
          <w:lang w:val="en-US" w:eastAsia="zh-CN"/>
        </w:rPr>
        <w:t xml:space="preserve">  </w:t>
      </w:r>
      <w:r>
        <w:rPr>
          <w:rFonts w:hint="eastAsia" w:asciiTheme="minorEastAsia" w:hAnsiTheme="minorEastAsia" w:eastAsiaTheme="minorEastAsia" w:cstheme="minorEastAsia"/>
          <w:b/>
          <w:color w:val="000000"/>
          <w:kern w:val="0"/>
          <w:sz w:val="28"/>
          <w:szCs w:val="28"/>
        </w:rPr>
        <w:t>附件</w:t>
      </w:r>
    </w:p>
    <w:p>
      <w:pPr>
        <w:jc w:val="cente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rPr>
          <w:rFonts w:hint="eastAsia" w:asciiTheme="minorEastAsia" w:hAnsiTheme="minorEastAsia" w:eastAsiaTheme="minorEastAsia" w:cstheme="minorEastAsia"/>
          <w:sz w:val="72"/>
          <w:szCs w:val="72"/>
        </w:rPr>
      </w:pPr>
    </w:p>
    <w:p>
      <w:pPr>
        <w:pStyle w:val="2"/>
        <w:rPr>
          <w:rFonts w:hint="eastAsia" w:asciiTheme="minorEastAsia" w:hAnsiTheme="minorEastAsia" w:eastAsiaTheme="minorEastAsia" w:cstheme="minorEastAsia"/>
          <w:sz w:val="72"/>
          <w:szCs w:val="72"/>
        </w:rPr>
      </w:pPr>
    </w:p>
    <w:p>
      <w:pPr>
        <w:pStyle w:val="2"/>
        <w:rPr>
          <w:rFonts w:hint="eastAsia" w:asciiTheme="minorEastAsia" w:hAnsiTheme="minorEastAsia" w:eastAsiaTheme="minorEastAsia" w:cstheme="minorEastAsia"/>
          <w:sz w:val="72"/>
          <w:szCs w:val="72"/>
        </w:rPr>
      </w:pPr>
    </w:p>
    <w:p>
      <w:pPr>
        <w:pStyle w:val="2"/>
        <w:rPr>
          <w:rFonts w:hint="eastAsia" w:asciiTheme="minorEastAsia" w:hAnsiTheme="minorEastAsia" w:eastAsiaTheme="minorEastAsia" w:cstheme="minorEastAsia"/>
          <w:sz w:val="72"/>
          <w:szCs w:val="72"/>
        </w:rPr>
      </w:pPr>
    </w:p>
    <w:p>
      <w:pPr>
        <w:pStyle w:val="2"/>
        <w:rPr>
          <w:rFonts w:hint="eastAsia" w:asciiTheme="minorEastAsia" w:hAnsiTheme="minorEastAsia" w:eastAsiaTheme="minorEastAsia" w:cstheme="minorEastAsia"/>
        </w:rPr>
      </w:pPr>
    </w:p>
    <w:p>
      <w:pPr>
        <w:pStyle w:val="15"/>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 xml:space="preserve">第一部分 </w:t>
      </w:r>
    </w:p>
    <w:p>
      <w:pPr>
        <w:pStyle w:val="15"/>
        <w:jc w:val="center"/>
        <w:rPr>
          <w:rFonts w:hint="eastAsia" w:asciiTheme="minorEastAsia" w:hAnsiTheme="minorEastAsia" w:eastAsiaTheme="minorEastAsia" w:cstheme="minorEastAsia"/>
          <w:b/>
          <w:bCs/>
          <w:sz w:val="84"/>
          <w:szCs w:val="84"/>
        </w:rPr>
      </w:pPr>
    </w:p>
    <w:p>
      <w:pPr>
        <w:pStyle w:val="15"/>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单位概况</w:t>
      </w:r>
    </w:p>
    <w:p>
      <w:pPr>
        <w:jc w:val="center"/>
        <w:rPr>
          <w:rFonts w:hint="eastAsia" w:asciiTheme="minorEastAsia" w:hAnsiTheme="minorEastAsia" w:eastAsiaTheme="minorEastAsia" w:cstheme="minorEastAsia"/>
          <w:sz w:val="72"/>
          <w:szCs w:val="72"/>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jc w:val="left"/>
        <w:rPr>
          <w:rFonts w:hint="eastAsia" w:asciiTheme="minorEastAsia" w:hAnsiTheme="minorEastAsia" w:eastAsiaTheme="minorEastAsia" w:cstheme="minorEastAsia"/>
          <w:sz w:val="32"/>
          <w:szCs w:val="32"/>
          <w:lang w:eastAsia="zh-CN"/>
        </w:rPr>
      </w:pPr>
    </w:p>
    <w:p>
      <w:pPr>
        <w:pStyle w:val="16"/>
        <w:numPr>
          <w:ilvl w:val="0"/>
          <w:numId w:val="0"/>
        </w:numPr>
        <w:ind w:leftChars="0"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lang w:eastAsia="zh-CN"/>
        </w:rPr>
        <w:t>一、</w:t>
      </w:r>
      <w:r>
        <w:rPr>
          <w:rFonts w:hint="eastAsia" w:asciiTheme="minorEastAsia" w:hAnsiTheme="minorEastAsia" w:eastAsiaTheme="minorEastAsia" w:cstheme="minorEastAsia"/>
          <w:sz w:val="32"/>
          <w:szCs w:val="32"/>
        </w:rPr>
        <w:t>部门职责</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（二）加快建立全市多主体供给、多渠道保障、租购并举的住房制度，拟订全市住房建设规划并指导实施，培育和完善房产市场。</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四）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五）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六）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ind w:firstLine="640" w:firstLineChars="20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七）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（八）承担全市建设工程勘察设计、建筑设计市场管理的工作。负责全市建设工程勘察、设计及建筑装饰设计等行业资质管理工作；负责各类建设项目初步设计审批；指导、检查全市勘察设计行业的工作。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九）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（十一）承担推进全市建筑节能与建设科技进步的工作。拟订全市建筑节能政策建议及组织实施；制定建设行业科技发展规划；组织重大科技项目攻关和新技术开发利用；管理行业科技成果。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（十二）负责指导全市城建档案的管理指导监督、管理全市建设工程竣工档案工作；审查、认证、验收工程竣工档案，负责城市建设档案的收集、整理及城建档案信息的开发、利用。</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三）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四）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五）负责全市墙体材料、散装水泥的推广应用工作，编制我市推广应用新墙材、散装水泥的中长期规划和年度计划并监督实施；负责墙体改革和散装水泥推广应用方面的信息交流、职工培训、宣传教育和统计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（十六）贯彻执行国家、省、湘潭市关于人民防空工作的方针政策和法律法规，组织拟订全市人民防空工作的基本战备方案，组织编制全市人民防空建设中长期发展规划和年度工作计划，经批准后组织实施。</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（十七）制定和组织实施城市防空袭方案和各项保障方案、群众防空组织（人民防空专业队）建设和训练、防空防灾演习演练、疏散体系建设，协助军事部门组织指导城市防卫建设。</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（十八）战时组织开展城市人民防空袭斗争，组织指挥人民防空疏散和隐蔽，依法组织实施灯火管制和发放防空袭警报，配合要地防空和城市防卫作战，组织有关部门恢复生产和生活秩序，消除空袭后果。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（十九）组织管理人民防空通信警报和信息化建设。对人民防空通信警报网和信息化建设实施计划、技术和质量管理，负责保障全市人民防空通信警报畅通。负责对全市人民防空无线电进行管理。</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（二十）会同有关部门组织开展人民防空宣传教育工作，普及人民防空知识和技能。</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（二十一）管理人民防空经费和资产，负责编制市本级人民防空经费预决算，并对使用情况实施监督检查。</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（二十二）承担市人民政府赋予的应急救援任务，利用人防设施和人民防空专业队伍为应急救援服务。</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（二十三）指导相关行业协会的工作。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（二十四）负责国有土地上房屋征收管理行政职能。</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（二十五）负责全市建设工程消防设计审查验收工作。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（二十六）负责全市在建工程项目起重机械设备监管工作。</w:t>
      </w:r>
    </w:p>
    <w:p>
      <w:pPr>
        <w:ind w:firstLine="800" w:firstLineChars="250"/>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（二十七）承办上级交办的其他事项。</w:t>
      </w:r>
    </w:p>
    <w:p>
      <w:pPr>
        <w:widowControl/>
        <w:spacing w:line="600" w:lineRule="exact"/>
        <w:ind w:firstLine="640" w:firstLineChars="200"/>
        <w:rPr>
          <w:rFonts w:hint="eastAsia" w:asciiTheme="minorEastAsia" w:hAnsiTheme="minorEastAsia" w:eastAsiaTheme="minorEastAsia" w:cstheme="minorEastAsia"/>
          <w:bCs/>
          <w:kern w:val="0"/>
          <w:sz w:val="32"/>
          <w:szCs w:val="32"/>
        </w:rPr>
      </w:pPr>
      <w:r>
        <w:rPr>
          <w:rFonts w:hint="eastAsia" w:asciiTheme="minorEastAsia" w:hAnsiTheme="minorEastAsia" w:eastAsiaTheme="minorEastAsia" w:cstheme="minorEastAsia"/>
          <w:bCs/>
          <w:kern w:val="0"/>
          <w:sz w:val="32"/>
          <w:szCs w:val="32"/>
        </w:rPr>
        <w:t>二、机构设置及决算单位构成</w:t>
      </w:r>
    </w:p>
    <w:p>
      <w:pPr>
        <w:numPr>
          <w:ilvl w:val="0"/>
          <w:numId w:val="0"/>
        </w:numPr>
        <w:ind w:firstLine="643" w:firstLineChars="200"/>
        <w:jc w:val="left"/>
        <w:rPr>
          <w:rFonts w:hint="eastAsia" w:asciiTheme="minorEastAsia" w:hAnsiTheme="minorEastAsia" w:eastAsiaTheme="minorEastAsia" w:cstheme="minorEastAsia"/>
          <w:sz w:val="28"/>
          <w:szCs w:val="32"/>
        </w:rPr>
      </w:pPr>
      <w:r>
        <w:rPr>
          <w:rFonts w:hint="eastAsia" w:asciiTheme="minorEastAsia" w:hAnsiTheme="minorEastAsia" w:eastAsiaTheme="minorEastAsia" w:cstheme="minorEastAsia"/>
          <w:b/>
          <w:bCs/>
          <w:sz w:val="32"/>
          <w:szCs w:val="32"/>
          <w:lang w:eastAsia="zh-CN"/>
        </w:rPr>
        <w:t>（一）内设机构设置。</w:t>
      </w:r>
      <w:r>
        <w:rPr>
          <w:rFonts w:hint="eastAsia" w:asciiTheme="minorEastAsia" w:hAnsiTheme="minorEastAsia" w:eastAsiaTheme="minorEastAsia" w:cstheme="minorEastAsia"/>
          <w:sz w:val="32"/>
          <w:szCs w:val="32"/>
        </w:rPr>
        <w:t>现</w:t>
      </w:r>
      <w:r>
        <w:rPr>
          <w:rFonts w:hint="eastAsia" w:asciiTheme="minorEastAsia" w:hAnsiTheme="minorEastAsia" w:eastAsiaTheme="minorEastAsia" w:cstheme="minorEastAsia"/>
          <w:sz w:val="32"/>
          <w:szCs w:val="32"/>
          <w:lang w:eastAsia="zh-CN"/>
        </w:rPr>
        <w:t>内</w:t>
      </w:r>
      <w:r>
        <w:rPr>
          <w:rFonts w:hint="eastAsia" w:asciiTheme="minorEastAsia" w:hAnsiTheme="minorEastAsia" w:eastAsiaTheme="minorEastAsia" w:cstheme="minorEastAsia"/>
          <w:sz w:val="32"/>
          <w:szCs w:val="32"/>
        </w:rPr>
        <w:t>设机构有办公室、法规股、审批服务股、住房保障股城市排水管理股、建筑工程管理股房产综合开发管理股、质量安全管理股城市村镇建设管理股、人防工程建设管理股、指挥通信股物业管理股、建设工程招标投标管理股、科技设计管理股（造价管理站）财务股、党建办公室、人事股。</w:t>
      </w:r>
    </w:p>
    <w:p>
      <w:pPr>
        <w:numPr>
          <w:ilvl w:val="0"/>
          <w:numId w:val="0"/>
        </w:numPr>
        <w:ind w:firstLine="643" w:firstLineChars="200"/>
        <w:jc w:val="left"/>
        <w:rPr>
          <w:rFonts w:hint="eastAsia" w:asciiTheme="minorEastAsia" w:hAnsiTheme="minorEastAsia" w:eastAsiaTheme="minorEastAsia" w:cstheme="minorEastAsia"/>
          <w:b/>
          <w:bCs w:val="0"/>
          <w:kern w:val="0"/>
          <w:sz w:val="32"/>
          <w:szCs w:val="32"/>
        </w:rPr>
      </w:pPr>
      <w:r>
        <w:rPr>
          <w:rFonts w:hint="eastAsia" w:asciiTheme="minorEastAsia" w:hAnsiTheme="minorEastAsia" w:eastAsiaTheme="minorEastAsia" w:cstheme="minorEastAsia"/>
          <w:b/>
          <w:bCs w:val="0"/>
          <w:kern w:val="0"/>
          <w:sz w:val="32"/>
          <w:szCs w:val="32"/>
        </w:rPr>
        <w:t>（二）决算单位构成。</w:t>
      </w:r>
    </w:p>
    <w:p>
      <w:pPr>
        <w:numPr>
          <w:ilvl w:val="0"/>
          <w:numId w:val="0"/>
        </w:numPr>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湘乡市住房和城乡建设局2021年部门决算汇总公开单位构成包括：</w:t>
      </w:r>
    </w:p>
    <w:p>
      <w:pPr>
        <w:numPr>
          <w:ilvl w:val="0"/>
          <w:numId w:val="0"/>
        </w:numPr>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（1）住建局机关本级.</w:t>
      </w:r>
    </w:p>
    <w:p>
      <w:pPr>
        <w:numPr>
          <w:ilvl w:val="0"/>
          <w:numId w:val="0"/>
        </w:numPr>
        <w:ind w:firstLine="640" w:firstLineChars="200"/>
        <w:jc w:val="left"/>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（2）湘乡市建设工程质量安全监督站、湘乡市住房保障服务中心、湘乡市墙体材料和散装水泥服务所。</w:t>
      </w:r>
    </w:p>
    <w:p>
      <w:pPr>
        <w:numPr>
          <w:ilvl w:val="0"/>
          <w:numId w:val="0"/>
        </w:numPr>
        <w:ind w:firstLine="640" w:firstLineChars="200"/>
        <w:jc w:val="left"/>
        <w:rPr>
          <w:rFonts w:hint="eastAsia" w:asciiTheme="minorEastAsia" w:hAnsiTheme="minorEastAsia" w:eastAsiaTheme="minorEastAsia" w:cstheme="minorEastAsia"/>
          <w:sz w:val="32"/>
          <w:szCs w:val="32"/>
        </w:rPr>
        <w:sectPr>
          <w:pgSz w:w="11906" w:h="16838"/>
          <w:pgMar w:top="1440" w:right="1800" w:bottom="1440" w:left="1800" w:header="851" w:footer="992" w:gutter="0"/>
          <w:cols w:space="425" w:num="1"/>
          <w:docGrid w:type="lines" w:linePitch="312" w:charSpace="0"/>
        </w:sectPr>
      </w:pPr>
    </w:p>
    <w:p>
      <w:pPr>
        <w:jc w:val="both"/>
        <w:rPr>
          <w:rFonts w:hint="eastAsia" w:asciiTheme="minorEastAsia" w:hAnsiTheme="minorEastAsia" w:eastAsiaTheme="minorEastAsia" w:cstheme="minorEastAsia"/>
          <w:sz w:val="72"/>
          <w:szCs w:val="72"/>
        </w:rPr>
      </w:pPr>
    </w:p>
    <w:p>
      <w:pPr>
        <w:jc w:val="both"/>
        <w:rPr>
          <w:rFonts w:hint="eastAsia" w:asciiTheme="minorEastAsia" w:hAnsiTheme="minorEastAsia" w:eastAsiaTheme="minorEastAsia" w:cstheme="minorEastAsia"/>
          <w:sz w:val="72"/>
          <w:szCs w:val="72"/>
        </w:rPr>
      </w:pPr>
    </w:p>
    <w:p>
      <w:pPr>
        <w:jc w:val="both"/>
        <w:rPr>
          <w:rFonts w:hint="eastAsia" w:asciiTheme="minorEastAsia" w:hAnsiTheme="minorEastAsia" w:eastAsiaTheme="minorEastAsia" w:cstheme="minorEastAsia"/>
          <w:sz w:val="72"/>
          <w:szCs w:val="72"/>
        </w:rPr>
      </w:pPr>
    </w:p>
    <w:p>
      <w:pPr>
        <w:jc w:val="both"/>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第二部分</w:t>
      </w:r>
    </w:p>
    <w:p>
      <w:pPr>
        <w:pStyle w:val="15"/>
        <w:jc w:val="center"/>
        <w:rPr>
          <w:rFonts w:hint="eastAsia" w:asciiTheme="minorEastAsia" w:hAnsiTheme="minorEastAsia" w:eastAsiaTheme="minorEastAsia" w:cstheme="minorEastAsia"/>
          <w:b/>
          <w:bCs/>
          <w:sz w:val="84"/>
          <w:szCs w:val="84"/>
        </w:rPr>
      </w:pPr>
    </w:p>
    <w:p>
      <w:pPr>
        <w:pStyle w:val="15"/>
        <w:jc w:val="center"/>
        <w:rPr>
          <w:rFonts w:hint="eastAsia" w:asciiTheme="minorEastAsia" w:hAnsiTheme="minorEastAsia" w:eastAsiaTheme="minorEastAsia" w:cstheme="minorEastAsia"/>
          <w:b/>
          <w:bCs/>
          <w:sz w:val="84"/>
          <w:szCs w:val="84"/>
        </w:rPr>
      </w:pPr>
      <w:r>
        <w:rPr>
          <w:rFonts w:hint="eastAsia" w:asciiTheme="minorEastAsia" w:hAnsiTheme="minorEastAsia" w:eastAsiaTheme="minorEastAsia" w:cstheme="minorEastAsia"/>
          <w:b/>
          <w:bCs/>
          <w:sz w:val="84"/>
          <w:szCs w:val="84"/>
        </w:rPr>
        <w:t>部门决算表</w:t>
      </w:r>
    </w:p>
    <w:p>
      <w:pPr>
        <w:jc w:val="center"/>
        <w:rPr>
          <w:rFonts w:hint="eastAsia" w:asciiTheme="minorEastAsia" w:hAnsiTheme="minorEastAsia" w:eastAsiaTheme="minorEastAsia" w:cstheme="minorEastAsia"/>
          <w:sz w:val="72"/>
          <w:szCs w:val="72"/>
        </w:rPr>
      </w:pPr>
    </w:p>
    <w:p>
      <w:pPr>
        <w:jc w:val="center"/>
        <w:rPr>
          <w:rFonts w:hint="eastAsia" w:asciiTheme="minorEastAsia" w:hAnsiTheme="minorEastAsia" w:eastAsiaTheme="minorEastAsia" w:cstheme="minorEastAsia"/>
          <w:sz w:val="72"/>
          <w:szCs w:val="72"/>
        </w:rPr>
      </w:pPr>
    </w:p>
    <w:p>
      <w:pPr>
        <w:jc w:val="center"/>
        <w:rPr>
          <w:rFonts w:hint="eastAsia" w:asciiTheme="minorEastAsia" w:hAnsiTheme="minorEastAsia" w:eastAsiaTheme="minorEastAsia" w:cstheme="minorEastAsia"/>
          <w:sz w:val="72"/>
          <w:szCs w:val="72"/>
        </w:rPr>
      </w:pPr>
    </w:p>
    <w:p>
      <w:pPr>
        <w:jc w:val="center"/>
        <w:rPr>
          <w:rFonts w:hint="eastAsia" w:asciiTheme="minorEastAsia" w:hAnsiTheme="minorEastAsia" w:eastAsiaTheme="minorEastAsia" w:cstheme="minorEastAsia"/>
          <w:sz w:val="72"/>
          <w:szCs w:val="72"/>
        </w:rPr>
      </w:pPr>
    </w:p>
    <w:p>
      <w:pPr>
        <w:jc w:val="center"/>
        <w:rPr>
          <w:rFonts w:hint="eastAsia" w:asciiTheme="minorEastAsia" w:hAnsiTheme="minorEastAsia" w:eastAsiaTheme="minorEastAsia" w:cstheme="minorEastAsia"/>
          <w:sz w:val="72"/>
          <w:szCs w:val="72"/>
        </w:rPr>
      </w:pPr>
    </w:p>
    <w:p>
      <w:pPr>
        <w:jc w:val="center"/>
        <w:rPr>
          <w:rFonts w:hint="eastAsia" w:asciiTheme="minorEastAsia" w:hAnsiTheme="minorEastAsia" w:eastAsiaTheme="minorEastAsia" w:cstheme="minorEastAsia"/>
          <w:sz w:val="72"/>
          <w:szCs w:val="72"/>
        </w:rPr>
      </w:pPr>
    </w:p>
    <w:p>
      <w:pPr>
        <w:jc w:val="left"/>
        <w:rPr>
          <w:rFonts w:hint="eastAsia" w:asciiTheme="minorEastAsia" w:hAnsiTheme="minorEastAsia" w:eastAsiaTheme="minorEastAsia" w:cstheme="minorEastAsia"/>
          <w:sz w:val="32"/>
          <w:szCs w:val="32"/>
        </w:rPr>
      </w:pPr>
    </w:p>
    <w:p>
      <w:pPr>
        <w:jc w:val="left"/>
        <w:rPr>
          <w:rFonts w:hint="eastAsia" w:asciiTheme="minorEastAsia" w:hAnsiTheme="minorEastAsia" w:eastAsiaTheme="minorEastAsia" w:cstheme="minorEastAsia"/>
          <w:sz w:val="32"/>
          <w:szCs w:val="32"/>
        </w:rPr>
        <w:sectPr>
          <w:pgSz w:w="11906" w:h="16838"/>
          <w:pgMar w:top="720" w:right="720" w:bottom="720" w:left="720" w:header="851" w:footer="992" w:gutter="0"/>
          <w:cols w:space="425" w:num="1"/>
          <w:docGrid w:type="lines" w:linePitch="312" w:charSpace="0"/>
        </w:sectPr>
      </w:pPr>
    </w:p>
    <w:tbl>
      <w:tblPr>
        <w:tblStyle w:val="11"/>
        <w:tblW w:w="14081" w:type="dxa"/>
        <w:tblInd w:w="93" w:type="dxa"/>
        <w:tblLayout w:type="fixed"/>
        <w:tblCellMar>
          <w:top w:w="0" w:type="dxa"/>
          <w:left w:w="108" w:type="dxa"/>
          <w:bottom w:w="0" w:type="dxa"/>
          <w:right w:w="108" w:type="dxa"/>
        </w:tblCellMar>
      </w:tblPr>
      <w:tblGrid>
        <w:gridCol w:w="4000"/>
        <w:gridCol w:w="442"/>
        <w:gridCol w:w="817"/>
        <w:gridCol w:w="879"/>
        <w:gridCol w:w="231"/>
        <w:gridCol w:w="3357"/>
        <w:gridCol w:w="825"/>
        <w:gridCol w:w="1413"/>
        <w:gridCol w:w="643"/>
        <w:gridCol w:w="1474"/>
      </w:tblGrid>
      <w:tr>
        <w:tblPrEx>
          <w:tblCellMar>
            <w:top w:w="0" w:type="dxa"/>
            <w:left w:w="108" w:type="dxa"/>
            <w:bottom w:w="0" w:type="dxa"/>
            <w:right w:w="108" w:type="dxa"/>
          </w:tblCellMar>
        </w:tblPrEx>
        <w:trPr>
          <w:trHeight w:val="360" w:hRule="atLeast"/>
        </w:trPr>
        <w:tc>
          <w:tcPr>
            <w:tcW w:w="14081" w:type="dxa"/>
            <w:gridSpan w:val="10"/>
            <w:tcBorders>
              <w:top w:val="nil"/>
              <w:left w:val="nil"/>
              <w:bottom w:val="nil"/>
              <w:right w:val="nil"/>
            </w:tcBorders>
            <w:shd w:val="clear" w:color="auto" w:fill="auto"/>
            <w:noWrap/>
            <w:vAlign w:val="center"/>
          </w:tcPr>
          <w:p>
            <w:pPr>
              <w:widowControl/>
              <w:jc w:val="center"/>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59" w:type="dxa"/>
            <w:gridSpan w:val="3"/>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879"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31"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5595" w:type="dxa"/>
            <w:gridSpan w:val="3"/>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643"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474"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59" w:type="dxa"/>
            <w:gridSpan w:val="3"/>
            <w:tcBorders>
              <w:top w:val="nil"/>
              <w:left w:val="nil"/>
              <w:bottom w:val="nil"/>
              <w:right w:val="nil"/>
            </w:tcBorders>
            <w:shd w:val="clear" w:color="000000" w:fill="FFFFFF"/>
            <w:noWrap/>
            <w:vAlign w:val="center"/>
          </w:tcPr>
          <w:p>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w:t>
            </w:r>
            <w:r>
              <w:rPr>
                <w:rFonts w:hint="eastAsia" w:asciiTheme="minorEastAsia" w:hAnsiTheme="minorEastAsia" w:eastAsiaTheme="minorEastAsia" w:cstheme="minorEastAsia"/>
                <w:color w:val="000000"/>
                <w:kern w:val="0"/>
                <w:sz w:val="20"/>
                <w:szCs w:val="20"/>
                <w:lang w:eastAsia="zh-CN"/>
              </w:rPr>
              <w:t>湘乡市住房和城乡建设局</w:t>
            </w:r>
            <w:r>
              <w:rPr>
                <w:rFonts w:hint="eastAsia" w:asciiTheme="minorEastAsia" w:hAnsiTheme="minorEastAsia" w:eastAsiaTheme="minorEastAsia" w:cstheme="minorEastAsia"/>
                <w:color w:val="000000"/>
                <w:kern w:val="0"/>
                <w:sz w:val="20"/>
                <w:szCs w:val="20"/>
              </w:rPr>
              <w:t xml:space="preserve"> </w:t>
            </w:r>
          </w:p>
        </w:tc>
        <w:tc>
          <w:tcPr>
            <w:tcW w:w="879"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31"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5595" w:type="dxa"/>
            <w:gridSpan w:val="3"/>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643"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474"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单位：元</w:t>
            </w:r>
          </w:p>
        </w:tc>
      </w:tr>
      <w:tr>
        <w:tblPrEx>
          <w:tblCellMar>
            <w:top w:w="0" w:type="dxa"/>
            <w:left w:w="108" w:type="dxa"/>
            <w:bottom w:w="0" w:type="dxa"/>
            <w:right w:w="108" w:type="dxa"/>
          </w:tblCellMar>
        </w:tblPrEx>
        <w:trPr>
          <w:trHeight w:val="340" w:hRule="atLeast"/>
        </w:trPr>
        <w:tc>
          <w:tcPr>
            <w:tcW w:w="613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收入</w:t>
            </w:r>
          </w:p>
        </w:tc>
        <w:tc>
          <w:tcPr>
            <w:tcW w:w="7943"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支出</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    目</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行次</w:t>
            </w:r>
          </w:p>
        </w:tc>
        <w:tc>
          <w:tcPr>
            <w:tcW w:w="169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决算数</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    目</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行次</w:t>
            </w:r>
          </w:p>
        </w:tc>
        <w:tc>
          <w:tcPr>
            <w:tcW w:w="353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决算数</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栏    次</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69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栏    次</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530"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一、一般公共预算财政拨款收入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一、一般公共服务支出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14</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二、政府性基金预算财政拨款收入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二、社会保障和就业支出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15</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三、国有资本经营预算财政拨款收入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3</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三、卫生健康支出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16</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四、上级补助收入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4</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四、节能环保支出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17</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五、事业收入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5</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695,717.59</w:t>
            </w:r>
          </w:p>
        </w:tc>
        <w:tc>
          <w:tcPr>
            <w:tcW w:w="3588"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五、城乡社区支出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18</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34,903,693.91</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六、经营收入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6</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六、住房保障支出</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19</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七、附属单位上缴收入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7</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20</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八、其他收入</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8</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21</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9</w:t>
            </w:r>
          </w:p>
        </w:tc>
        <w:tc>
          <w:tcPr>
            <w:tcW w:w="1696"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22</w:t>
            </w:r>
          </w:p>
        </w:tc>
        <w:tc>
          <w:tcPr>
            <w:tcW w:w="3530" w:type="dxa"/>
            <w:gridSpan w:val="3"/>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　</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本年收入合计</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10</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42159008.06</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本年支出合计</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23</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43,384183.32</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使用非财政拨款结余</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11</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6,111.77</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结余分配</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24</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6,111.77</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年初结转和结余</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12</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5,879,452.85</w:t>
            </w:r>
          </w:p>
        </w:tc>
        <w:tc>
          <w:tcPr>
            <w:tcW w:w="358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年末结转和结余</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25</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4,654,277.59</w:t>
            </w:r>
          </w:p>
        </w:tc>
      </w:tr>
      <w:tr>
        <w:tblPrEx>
          <w:tblCellMar>
            <w:top w:w="0" w:type="dxa"/>
            <w:left w:w="108" w:type="dxa"/>
            <w:bottom w:w="0" w:type="dxa"/>
            <w:right w:w="108" w:type="dxa"/>
          </w:tblCellMar>
        </w:tblPrEx>
        <w:trPr>
          <w:trHeight w:val="340" w:hRule="atLeast"/>
        </w:trPr>
        <w:tc>
          <w:tcPr>
            <w:tcW w:w="4000"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总计</w:t>
            </w:r>
          </w:p>
        </w:tc>
        <w:tc>
          <w:tcPr>
            <w:tcW w:w="442"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13</w:t>
            </w:r>
          </w:p>
        </w:tc>
        <w:tc>
          <w:tcPr>
            <w:tcW w:w="1696"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48044572.68</w:t>
            </w:r>
          </w:p>
        </w:tc>
        <w:tc>
          <w:tcPr>
            <w:tcW w:w="3588"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总计</w:t>
            </w:r>
          </w:p>
        </w:tc>
        <w:tc>
          <w:tcPr>
            <w:tcW w:w="82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26</w:t>
            </w:r>
          </w:p>
        </w:tc>
        <w:tc>
          <w:tcPr>
            <w:tcW w:w="3530"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48044572.68</w:t>
            </w:r>
          </w:p>
        </w:tc>
      </w:tr>
      <w:tr>
        <w:tblPrEx>
          <w:tblCellMar>
            <w:top w:w="0" w:type="dxa"/>
            <w:left w:w="108" w:type="dxa"/>
            <w:bottom w:w="0" w:type="dxa"/>
            <w:right w:w="108" w:type="dxa"/>
          </w:tblCellMar>
        </w:tblPrEx>
        <w:trPr>
          <w:trHeight w:val="1020" w:hRule="atLeast"/>
        </w:trPr>
        <w:tc>
          <w:tcPr>
            <w:tcW w:w="14081" w:type="dxa"/>
            <w:gridSpan w:val="10"/>
            <w:tcBorders>
              <w:top w:val="nil"/>
              <w:left w:val="nil"/>
              <w:bottom w:val="nil"/>
              <w:right w:val="nil"/>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注：1.本表反映部门本年度的总收支和年末结转结余情况。</w:t>
            </w:r>
            <w:r>
              <w:rPr>
                <w:rFonts w:hint="eastAsia" w:asciiTheme="minorEastAsia" w:hAnsiTheme="minorEastAsia" w:eastAsiaTheme="minorEastAsia" w:cstheme="minorEastAsia"/>
                <w:kern w:val="0"/>
                <w:sz w:val="24"/>
                <w:szCs w:val="24"/>
              </w:rPr>
              <w:br w:type="textWrapping"/>
            </w:r>
            <w:r>
              <w:rPr>
                <w:rFonts w:hint="eastAsia" w:asciiTheme="minorEastAsia" w:hAnsiTheme="minorEastAsia" w:eastAsiaTheme="minorEastAsia" w:cstheme="minorEastAsia"/>
                <w:kern w:val="0"/>
                <w:sz w:val="24"/>
                <w:szCs w:val="24"/>
              </w:rPr>
              <w:t xml:space="preserve"> 2.本套报表金额单位转换时可能存在尾数误差。</w:t>
            </w:r>
          </w:p>
        </w:tc>
      </w:tr>
    </w:tbl>
    <w:p>
      <w:pPr>
        <w:jc w:val="center"/>
        <w:rPr>
          <w:rFonts w:hint="eastAsia" w:asciiTheme="minorEastAsia" w:hAnsiTheme="minorEastAsia" w:eastAsiaTheme="minorEastAsia" w:cstheme="minorEastAsia"/>
          <w:sz w:val="28"/>
          <w:szCs w:val="28"/>
        </w:rPr>
        <w:sectPr>
          <w:pgSz w:w="16838" w:h="11906" w:orient="landscape"/>
          <w:pgMar w:top="1797" w:right="1440" w:bottom="1797" w:left="1440" w:header="851" w:footer="992" w:gutter="0"/>
          <w:cols w:space="425" w:num="1"/>
          <w:docGrid w:type="linesAndChars" w:linePitch="312" w:charSpace="0"/>
        </w:sectPr>
      </w:pPr>
    </w:p>
    <w:tbl>
      <w:tblPr>
        <w:tblStyle w:val="11"/>
        <w:tblW w:w="15428" w:type="dxa"/>
        <w:tblInd w:w="0" w:type="dxa"/>
        <w:tblLayout w:type="fixed"/>
        <w:tblCellMar>
          <w:top w:w="0" w:type="dxa"/>
          <w:left w:w="0" w:type="dxa"/>
          <w:bottom w:w="0" w:type="dxa"/>
          <w:right w:w="0" w:type="dxa"/>
        </w:tblCellMar>
      </w:tblPr>
      <w:tblGrid>
        <w:gridCol w:w="384"/>
        <w:gridCol w:w="572"/>
        <w:gridCol w:w="3480"/>
        <w:gridCol w:w="2148"/>
        <w:gridCol w:w="1860"/>
        <w:gridCol w:w="1392"/>
        <w:gridCol w:w="1596"/>
        <w:gridCol w:w="1132"/>
        <w:gridCol w:w="1235"/>
        <w:gridCol w:w="1629"/>
      </w:tblGrid>
      <w:tr>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color w:val="000000"/>
                <w:sz w:val="32"/>
                <w:szCs w:val="32"/>
              </w:rPr>
            </w:pPr>
            <w:r>
              <w:rPr>
                <w:rFonts w:hint="eastAsia" w:asciiTheme="minorEastAsia" w:hAnsiTheme="minorEastAsia" w:eastAsiaTheme="minorEastAsia" w:cstheme="minorEastAsia"/>
                <w:color w:val="000000"/>
                <w:sz w:val="32"/>
                <w:szCs w:val="32"/>
              </w:rPr>
              <w:t>收入决算表</w:t>
            </w:r>
          </w:p>
        </w:tc>
      </w:tr>
      <w:tr>
        <w:tblPrEx>
          <w:tblCellMar>
            <w:top w:w="0" w:type="dxa"/>
            <w:left w:w="0" w:type="dxa"/>
            <w:bottom w:w="0" w:type="dxa"/>
            <w:right w:w="0" w:type="dxa"/>
          </w:tblCellMar>
        </w:tblPrEx>
        <w:trPr>
          <w:trHeight w:val="285" w:hRule="atLeast"/>
        </w:trPr>
        <w:tc>
          <w:tcPr>
            <w:tcW w:w="3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57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348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21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8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3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公开02表</w:t>
            </w:r>
          </w:p>
        </w:tc>
      </w:tr>
      <w:tr>
        <w:tblPrEx>
          <w:tblCellMar>
            <w:top w:w="0" w:type="dxa"/>
            <w:left w:w="0" w:type="dxa"/>
            <w:bottom w:w="0" w:type="dxa"/>
            <w:right w:w="0" w:type="dxa"/>
          </w:tblCellMar>
        </w:tblPrEx>
        <w:trPr>
          <w:trHeight w:val="285" w:hRule="atLeast"/>
        </w:trPr>
        <w:tc>
          <w:tcPr>
            <w:tcW w:w="956"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部门：</w:t>
            </w:r>
          </w:p>
        </w:tc>
        <w:tc>
          <w:tcPr>
            <w:tcW w:w="3480" w:type="dxa"/>
            <w:tcBorders>
              <w:top w:val="nil"/>
              <w:left w:val="nil"/>
              <w:bottom w:val="nil"/>
              <w:right w:val="nil"/>
            </w:tcBorders>
            <w:shd w:val="clear" w:color="000000" w:fill="FFFFFF"/>
            <w:noWrap/>
            <w:tcMar>
              <w:top w:w="15" w:type="dxa"/>
              <w:left w:w="15" w:type="dxa"/>
              <w:bottom w:w="0" w:type="dxa"/>
              <w:right w:w="15" w:type="dxa"/>
            </w:tcMar>
            <w:vAlign w:val="center"/>
          </w:tcPr>
          <w:p>
            <w:pPr>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p>
        </w:tc>
        <w:tc>
          <w:tcPr>
            <w:tcW w:w="21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86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392"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　</w:t>
            </w:r>
          </w:p>
        </w:tc>
        <w:tc>
          <w:tcPr>
            <w:tcW w:w="159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hint="eastAsia" w:asciiTheme="minorEastAsia" w:hAnsiTheme="minorEastAsia" w:eastAsiaTheme="minorEastAsia" w:cstheme="minorEastAsia"/>
                <w:color w:val="000000"/>
                <w:sz w:val="20"/>
                <w:szCs w:val="20"/>
              </w:rPr>
            </w:pPr>
            <w:r>
              <w:rPr>
                <w:rFonts w:hint="eastAsia" w:asciiTheme="minorEastAsia" w:hAnsiTheme="minorEastAsia" w:eastAsiaTheme="minorEastAsia" w:cstheme="minorEastAsia"/>
                <w:color w:val="000000"/>
                <w:sz w:val="20"/>
                <w:szCs w:val="20"/>
              </w:rPr>
              <w:t>单位：元</w:t>
            </w:r>
          </w:p>
        </w:tc>
      </w:tr>
      <w:tr>
        <w:tblPrEx>
          <w:tblCellMar>
            <w:top w:w="0" w:type="dxa"/>
            <w:left w:w="0" w:type="dxa"/>
            <w:bottom w:w="0" w:type="dxa"/>
            <w:right w:w="0" w:type="dxa"/>
          </w:tblCellMar>
        </w:tblPrEx>
        <w:trPr>
          <w:trHeight w:val="347" w:hRule="atLeast"/>
        </w:trPr>
        <w:tc>
          <w:tcPr>
            <w:tcW w:w="443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项    目</w:t>
            </w:r>
          </w:p>
        </w:tc>
        <w:tc>
          <w:tcPr>
            <w:tcW w:w="21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本年收入合计</w:t>
            </w:r>
          </w:p>
        </w:tc>
        <w:tc>
          <w:tcPr>
            <w:tcW w:w="1860"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财政拨款收入</w:t>
            </w:r>
          </w:p>
        </w:tc>
        <w:tc>
          <w:tcPr>
            <w:tcW w:w="139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上级补助收入</w:t>
            </w:r>
          </w:p>
        </w:tc>
        <w:tc>
          <w:tcPr>
            <w:tcW w:w="159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事业收入</w:t>
            </w:r>
          </w:p>
        </w:tc>
        <w:tc>
          <w:tcPr>
            <w:tcW w:w="113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经营收入</w:t>
            </w:r>
          </w:p>
        </w:tc>
        <w:tc>
          <w:tcPr>
            <w:tcW w:w="123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附属单位上缴收入</w:t>
            </w:r>
          </w:p>
        </w:tc>
        <w:tc>
          <w:tcPr>
            <w:tcW w:w="162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其他收入</w:t>
            </w:r>
          </w:p>
        </w:tc>
      </w:tr>
      <w:tr>
        <w:tblPrEx>
          <w:tblCellMar>
            <w:top w:w="0" w:type="dxa"/>
            <w:left w:w="0" w:type="dxa"/>
            <w:bottom w:w="0" w:type="dxa"/>
            <w:right w:w="0" w:type="dxa"/>
          </w:tblCellMar>
        </w:tblPrEx>
        <w:trPr>
          <w:trHeight w:val="450" w:hRule="atLeast"/>
        </w:trPr>
        <w:tc>
          <w:tcPr>
            <w:tcW w:w="956"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功能分类科目编码</w:t>
            </w:r>
          </w:p>
        </w:tc>
        <w:tc>
          <w:tcPr>
            <w:tcW w:w="348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科目名称</w:t>
            </w:r>
          </w:p>
        </w:tc>
        <w:tc>
          <w:tcPr>
            <w:tcW w:w="2148"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392"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235"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62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r>
      <w:tr>
        <w:tblPrEx>
          <w:tblCellMar>
            <w:top w:w="0" w:type="dxa"/>
            <w:left w:w="0" w:type="dxa"/>
            <w:bottom w:w="0" w:type="dxa"/>
            <w:right w:w="0" w:type="dxa"/>
          </w:tblCellMar>
        </w:tblPrEx>
        <w:trPr>
          <w:trHeight w:val="312" w:hRule="atLeast"/>
        </w:trPr>
        <w:tc>
          <w:tcPr>
            <w:tcW w:w="956"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3480" w:type="dxa"/>
            <w:vMerge w:val="continue"/>
            <w:tcBorders>
              <w:top w:val="nil"/>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2148"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860"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392"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596"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132"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235"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c>
          <w:tcPr>
            <w:tcW w:w="1629" w:type="dxa"/>
            <w:vMerge w:val="continue"/>
            <w:tcBorders>
              <w:top w:val="single" w:color="auto" w:sz="4" w:space="0"/>
              <w:left w:val="single" w:color="auto" w:sz="4" w:space="0"/>
              <w:bottom w:val="single" w:color="auto" w:sz="4" w:space="0"/>
              <w:right w:val="single" w:color="auto" w:sz="4" w:space="0"/>
            </w:tcBorders>
            <w:vAlign w:val="center"/>
          </w:tcPr>
          <w:p>
            <w:pPr>
              <w:rPr>
                <w:rFonts w:hint="eastAsia" w:asciiTheme="minorEastAsia" w:hAnsiTheme="minorEastAsia" w:eastAsiaTheme="minorEastAsia" w:cstheme="minorEastAsia"/>
                <w:sz w:val="24"/>
                <w:szCs w:val="24"/>
              </w:rPr>
            </w:pPr>
          </w:p>
        </w:tc>
      </w:tr>
      <w:tr>
        <w:tblPrEx>
          <w:tblCellMar>
            <w:top w:w="0" w:type="dxa"/>
            <w:left w:w="0" w:type="dxa"/>
            <w:bottom w:w="0" w:type="dxa"/>
            <w:right w:w="0" w:type="dxa"/>
          </w:tblCellMar>
        </w:tblPrEx>
        <w:trPr>
          <w:trHeight w:val="369" w:hRule="atLeast"/>
        </w:trPr>
        <w:tc>
          <w:tcPr>
            <w:tcW w:w="443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栏次</w:t>
            </w:r>
          </w:p>
        </w:tc>
        <w:tc>
          <w:tcPr>
            <w:tcW w:w="21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1</w:t>
            </w:r>
          </w:p>
        </w:tc>
        <w:tc>
          <w:tcPr>
            <w:tcW w:w="186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2</w:t>
            </w:r>
          </w:p>
        </w:tc>
        <w:tc>
          <w:tcPr>
            <w:tcW w:w="139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3</w:t>
            </w:r>
          </w:p>
        </w:tc>
        <w:tc>
          <w:tcPr>
            <w:tcW w:w="159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4</w:t>
            </w:r>
          </w:p>
        </w:tc>
        <w:tc>
          <w:tcPr>
            <w:tcW w:w="11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5</w:t>
            </w:r>
          </w:p>
        </w:tc>
        <w:tc>
          <w:tcPr>
            <w:tcW w:w="123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6</w:t>
            </w:r>
          </w:p>
        </w:tc>
        <w:tc>
          <w:tcPr>
            <w:tcW w:w="16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7</w:t>
            </w:r>
          </w:p>
        </w:tc>
      </w:tr>
      <w:tr>
        <w:tblPrEx>
          <w:tblCellMar>
            <w:top w:w="0" w:type="dxa"/>
            <w:left w:w="0" w:type="dxa"/>
            <w:bottom w:w="0" w:type="dxa"/>
            <w:right w:w="0" w:type="dxa"/>
          </w:tblCellMar>
        </w:tblPrEx>
        <w:trPr>
          <w:trHeight w:val="333" w:hRule="atLeast"/>
        </w:trPr>
        <w:tc>
          <w:tcPr>
            <w:tcW w:w="443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合计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i w:val="0"/>
                <w:iCs w:val="0"/>
                <w:color w:val="000000"/>
                <w:kern w:val="0"/>
                <w:sz w:val="22"/>
                <w:szCs w:val="22"/>
                <w:u w:val="none"/>
                <w:lang w:val="en-US" w:eastAsia="zh-CN" w:bidi="ar"/>
              </w:rPr>
              <w:t>42159008.06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b/>
                <w:bCs/>
                <w:i w:val="0"/>
                <w:iCs w:val="0"/>
                <w:color w:val="000000"/>
                <w:kern w:val="2"/>
                <w:sz w:val="22"/>
                <w:szCs w:val="22"/>
                <w:u w:val="none"/>
                <w:lang w:val="en-US" w:eastAsia="zh-CN" w:bidi="ar-SA"/>
              </w:rPr>
            </w:pPr>
            <w:r>
              <w:rPr>
                <w:rFonts w:hint="eastAsia" w:asciiTheme="minorEastAsia" w:hAnsiTheme="minorEastAsia" w:eastAsiaTheme="minorEastAsia" w:cstheme="minorEastAsia"/>
                <w:b/>
                <w:bCs/>
                <w:i w:val="0"/>
                <w:iCs w:val="0"/>
                <w:color w:val="000000"/>
                <w:kern w:val="0"/>
                <w:sz w:val="22"/>
                <w:szCs w:val="22"/>
                <w:u w:val="none"/>
                <w:lang w:val="en-US" w:eastAsia="zh-CN" w:bidi="ar"/>
              </w:rPr>
              <w:t>695,717.59</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一般公共服务支出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20103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政府办公厅（室）及相关机构事务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2010308</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信访事务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2,184,558.91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2,184,558.91</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行政单位离退休</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81,423.83</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81,423.83</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2080502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事业单位离退休</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27,400.00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27,400.00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　</w:t>
            </w: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w:t>
            </w:r>
            <w:r>
              <w:rPr>
                <w:rFonts w:hint="eastAsia" w:asciiTheme="minorEastAsia" w:hAnsiTheme="minorEastAsia" w:eastAsiaTheme="minorEastAsia" w:cstheme="minorEastAsia"/>
                <w:i w:val="0"/>
                <w:iCs w:val="0"/>
                <w:color w:val="000000"/>
                <w:kern w:val="0"/>
                <w:sz w:val="20"/>
                <w:szCs w:val="20"/>
                <w:u w:val="none"/>
                <w:lang w:val="en-US" w:eastAsia="zh-CN" w:bidi="ar"/>
              </w:rPr>
              <w:t>机关事业单位基本养老保险缴费支出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2,075,735.08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2,075,735.08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1"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20808</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抚恤</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2080801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死亡抚恤</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20825</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其他生活救助</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2082501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其他城市生活救助</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其他社会保障和就业支出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2089999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其他社会保障和就业支出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2101101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行政单位医疗</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601,390.98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601,390.98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2101102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事业单位医疗</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491,970.36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491,970.36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节能环保支出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21103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污染防治</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2110302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水体</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33,678,518.65</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32,982,801.06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i w:val="0"/>
                <w:iCs w:val="0"/>
                <w:color w:val="000000"/>
                <w:kern w:val="0"/>
                <w:sz w:val="22"/>
                <w:szCs w:val="22"/>
                <w:u w:val="none"/>
                <w:lang w:val="en-US" w:eastAsia="zh-CN" w:bidi="ar"/>
              </w:rPr>
              <w:t>695,717.59</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城乡社区管理事务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22,536,127.16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22,536,127.16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行政运行</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15,153,785.49</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15,153,785.49</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2120104</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城管执法</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103,210.00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103,210.00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2120106</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工程建设管理</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685,542.00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685,542.00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住宅建设与房地产市场监管</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487,545.50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487,545.50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其他城乡社区管理事务支出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6,106,044.17</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6,106,044.17</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城乡社区公共设施</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2120303</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小城镇基础设施建设</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21206</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建设市场管理与监督</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5,026,334.41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4,330,616.82</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695,717.59</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2120601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建设市场管理与监督</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5,026,334.41</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4,330,616.82</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i w:val="0"/>
                <w:iCs w:val="0"/>
                <w:color w:val="000000"/>
                <w:kern w:val="0"/>
                <w:sz w:val="22"/>
                <w:szCs w:val="22"/>
                <w:u w:val="none"/>
                <w:lang w:val="en-US" w:eastAsia="zh-CN" w:bidi="ar"/>
              </w:rPr>
              <w:t>695,717.59</w:t>
            </w: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其他城乡社区支出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2129999</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其他城乡社区支出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住房保障支出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保障性安居工程支出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2210106</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公共租赁住房</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22102</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住房改革支出</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450" w:hRule="atLeast"/>
        </w:trPr>
        <w:tc>
          <w:tcPr>
            <w:tcW w:w="956"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2210201</w:t>
            </w:r>
          </w:p>
        </w:tc>
        <w:tc>
          <w:tcPr>
            <w:tcW w:w="348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住房公积金</w:t>
            </w:r>
          </w:p>
        </w:tc>
        <w:tc>
          <w:tcPr>
            <w:tcW w:w="21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86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39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59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1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23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c>
          <w:tcPr>
            <w:tcW w:w="162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Theme="minorEastAsia" w:hAnsiTheme="minorEastAsia" w:eastAsiaTheme="minorEastAsia" w:cstheme="minorEastAsia"/>
              </w:rPr>
            </w:pP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rPr>
              <w:t>注：本表反映部门本年度取得的各项收入情况。</w:t>
            </w:r>
          </w:p>
        </w:tc>
      </w:tr>
    </w:tbl>
    <w:p>
      <w:pPr>
        <w:widowControl/>
        <w:jc w:val="left"/>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p>
      <w:pPr>
        <w:pStyle w:val="2"/>
        <w:rPr>
          <w:rFonts w:hint="eastAsia" w:asciiTheme="minorEastAsia" w:hAnsiTheme="minorEastAsia" w:eastAsiaTheme="minorEastAsia" w:cstheme="minorEastAsia"/>
          <w:color w:val="000000"/>
          <w:kern w:val="0"/>
          <w:sz w:val="36"/>
          <w:szCs w:val="36"/>
        </w:rPr>
      </w:pPr>
    </w:p>
    <w:tbl>
      <w:tblPr>
        <w:tblStyle w:val="11"/>
        <w:tblW w:w="15236" w:type="dxa"/>
        <w:tblInd w:w="93" w:type="dxa"/>
        <w:tblLayout w:type="fixed"/>
        <w:tblCellMar>
          <w:top w:w="0" w:type="dxa"/>
          <w:left w:w="108" w:type="dxa"/>
          <w:bottom w:w="0" w:type="dxa"/>
          <w:right w:w="108" w:type="dxa"/>
        </w:tblCellMar>
      </w:tblPr>
      <w:tblGrid>
        <w:gridCol w:w="1042"/>
        <w:gridCol w:w="222"/>
        <w:gridCol w:w="3532"/>
        <w:gridCol w:w="1836"/>
        <w:gridCol w:w="2100"/>
        <w:gridCol w:w="1740"/>
        <w:gridCol w:w="1800"/>
        <w:gridCol w:w="1260"/>
        <w:gridCol w:w="1704"/>
      </w:tblGrid>
      <w:tr>
        <w:tblPrEx>
          <w:tblCellMar>
            <w:top w:w="0" w:type="dxa"/>
            <w:left w:w="108" w:type="dxa"/>
            <w:bottom w:w="0" w:type="dxa"/>
            <w:right w:w="108" w:type="dxa"/>
          </w:tblCellMar>
        </w:tblPrEx>
        <w:trPr>
          <w:trHeight w:val="435" w:hRule="atLeast"/>
        </w:trPr>
        <w:tc>
          <w:tcPr>
            <w:tcW w:w="15236" w:type="dxa"/>
            <w:gridSpan w:val="9"/>
            <w:tcBorders>
              <w:top w:val="nil"/>
              <w:left w:val="nil"/>
              <w:bottom w:val="nil"/>
              <w:right w:val="nil"/>
            </w:tcBorders>
            <w:shd w:val="clear" w:color="auto" w:fill="auto"/>
            <w:noWrap/>
            <w:vAlign w:val="center"/>
          </w:tcPr>
          <w:p>
            <w:pPr>
              <w:widowControl/>
              <w:jc w:val="center"/>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532"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83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10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4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80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26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04"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公开03表</w:t>
            </w:r>
          </w:p>
        </w:tc>
      </w:tr>
      <w:tr>
        <w:tblPrEx>
          <w:tblCellMar>
            <w:top w:w="0" w:type="dxa"/>
            <w:left w:w="108" w:type="dxa"/>
            <w:bottom w:w="0" w:type="dxa"/>
            <w:right w:w="108" w:type="dxa"/>
          </w:tblCellMar>
        </w:tblPrEx>
        <w:trPr>
          <w:trHeight w:val="708" w:hRule="atLeast"/>
        </w:trPr>
        <w:tc>
          <w:tcPr>
            <w:tcW w:w="1042" w:type="dxa"/>
            <w:tcBorders>
              <w:top w:val="nil"/>
              <w:left w:val="nil"/>
              <w:bottom w:val="nil"/>
              <w:right w:val="nil"/>
            </w:tcBorders>
            <w:shd w:val="clear" w:color="000000" w:fill="FFFFFF"/>
            <w:noWrap/>
            <w:vAlign w:val="center"/>
          </w:tcPr>
          <w:p>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w:t>
            </w:r>
          </w:p>
        </w:tc>
        <w:tc>
          <w:tcPr>
            <w:tcW w:w="5590" w:type="dxa"/>
            <w:gridSpan w:val="3"/>
            <w:tcBorders>
              <w:top w:val="nil"/>
              <w:left w:val="nil"/>
              <w:bottom w:val="nil"/>
              <w:right w:val="nil"/>
            </w:tcBorders>
            <w:shd w:val="clear" w:color="000000" w:fill="FFFFFF"/>
            <w:noWrap/>
            <w:vAlign w:val="top"/>
          </w:tcPr>
          <w:p>
            <w:pPr>
              <w:widowControl/>
              <w:jc w:val="both"/>
              <w:rPr>
                <w:rFonts w:hint="eastAsia" w:asciiTheme="minorEastAsia" w:hAnsiTheme="minorEastAsia" w:eastAsiaTheme="minorEastAsia" w:cstheme="minorEastAsia"/>
                <w:lang w:eastAsia="zh-CN"/>
              </w:rPr>
            </w:pPr>
          </w:p>
          <w:p>
            <w:pPr>
              <w:widowControl/>
              <w:jc w:val="both"/>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lang w:eastAsia="zh-CN"/>
              </w:rPr>
              <w:t>湘乡市住房和城乡建设局</w:t>
            </w:r>
          </w:p>
        </w:tc>
        <w:tc>
          <w:tcPr>
            <w:tcW w:w="210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40" w:type="dxa"/>
            <w:tcBorders>
              <w:top w:val="nil"/>
              <w:left w:val="nil"/>
              <w:bottom w:val="nil"/>
              <w:right w:val="nil"/>
            </w:tcBorders>
            <w:shd w:val="clear" w:color="000000" w:fill="FFFFFF"/>
            <w:noWrap/>
            <w:vAlign w:val="center"/>
          </w:tcPr>
          <w:p>
            <w:pPr>
              <w:widowControl/>
              <w:jc w:val="center"/>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　</w:t>
            </w:r>
          </w:p>
        </w:tc>
        <w:tc>
          <w:tcPr>
            <w:tcW w:w="180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260"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04"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单位：元</w:t>
            </w:r>
          </w:p>
        </w:tc>
      </w:tr>
      <w:tr>
        <w:tblPrEx>
          <w:tblCellMar>
            <w:top w:w="0" w:type="dxa"/>
            <w:left w:w="108" w:type="dxa"/>
            <w:bottom w:w="0" w:type="dxa"/>
            <w:right w:w="108" w:type="dxa"/>
          </w:tblCellMar>
        </w:tblPrEx>
        <w:trPr>
          <w:trHeight w:val="450"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    目</w:t>
            </w:r>
          </w:p>
        </w:tc>
        <w:tc>
          <w:tcPr>
            <w:tcW w:w="1836"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本年支出合计</w:t>
            </w:r>
          </w:p>
        </w:tc>
        <w:tc>
          <w:tcPr>
            <w:tcW w:w="21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基本支出</w:t>
            </w:r>
          </w:p>
        </w:tc>
        <w:tc>
          <w:tcPr>
            <w:tcW w:w="174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项目支出</w:t>
            </w:r>
          </w:p>
        </w:tc>
        <w:tc>
          <w:tcPr>
            <w:tcW w:w="18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上缴上级支出</w:t>
            </w:r>
          </w:p>
        </w:tc>
        <w:tc>
          <w:tcPr>
            <w:tcW w:w="126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经营支出</w:t>
            </w:r>
          </w:p>
        </w:tc>
        <w:tc>
          <w:tcPr>
            <w:tcW w:w="170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功能分类科目编码</w:t>
            </w:r>
          </w:p>
        </w:tc>
        <w:tc>
          <w:tcPr>
            <w:tcW w:w="3532"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科目名称</w:t>
            </w: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70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312" w:hRule="atLeast"/>
        </w:trPr>
        <w:tc>
          <w:tcPr>
            <w:tcW w:w="1264"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3532"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83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1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8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2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170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318"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栏次</w:t>
            </w:r>
          </w:p>
        </w:tc>
        <w:tc>
          <w:tcPr>
            <w:tcW w:w="1836"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210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174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c>
          <w:tcPr>
            <w:tcW w:w="180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w:t>
            </w:r>
          </w:p>
        </w:tc>
        <w:tc>
          <w:tcPr>
            <w:tcW w:w="1260"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5</w:t>
            </w:r>
          </w:p>
        </w:tc>
        <w:tc>
          <w:tcPr>
            <w:tcW w:w="1704"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6</w:t>
            </w:r>
          </w:p>
        </w:tc>
      </w:tr>
      <w:tr>
        <w:tblPrEx>
          <w:tblCellMar>
            <w:top w:w="0" w:type="dxa"/>
            <w:left w:w="108" w:type="dxa"/>
            <w:bottom w:w="0" w:type="dxa"/>
            <w:right w:w="108" w:type="dxa"/>
          </w:tblCellMar>
        </w:tblPrEx>
        <w:trPr>
          <w:trHeight w:val="366" w:hRule="atLeast"/>
        </w:trPr>
        <w:tc>
          <w:tcPr>
            <w:tcW w:w="479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lang w:val="en-US"/>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43,384183.32</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bCs/>
                <w:i w:val="0"/>
                <w:iCs w:val="0"/>
                <w:color w:val="000000"/>
                <w:kern w:val="0"/>
                <w:sz w:val="22"/>
                <w:szCs w:val="22"/>
                <w:u w:val="none"/>
                <w:lang w:val="en-US" w:eastAsia="zh-CN" w:bidi="ar"/>
              </w:rPr>
              <w:t>28,120,229.71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lang w:val="en-US"/>
              </w:rPr>
            </w:pPr>
            <w:r>
              <w:rPr>
                <w:rFonts w:hint="eastAsia" w:asciiTheme="minorEastAsia" w:hAnsiTheme="minorEastAsia" w:eastAsiaTheme="minorEastAsia" w:cstheme="minorEastAsia"/>
                <w:b/>
                <w:bCs/>
                <w:i w:val="0"/>
                <w:iCs w:val="0"/>
                <w:color w:val="000000"/>
                <w:kern w:val="0"/>
                <w:sz w:val="22"/>
                <w:szCs w:val="22"/>
                <w:u w:val="none"/>
                <w:lang w:val="en-US" w:eastAsia="zh-CN" w:bidi="ar"/>
              </w:rPr>
              <w:t>15,263953.61</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一般公共服务支出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20103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政府办公厅（室）及相关机构事务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2010308</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信访事务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2,184,558.91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2,184,558.91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行政单位离退休</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81,423.83</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81,423.83</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2080502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事业单位离退休</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27,400.00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27,400.00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机关事业单位基本养老保险缴费支出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2,075,735.08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2,075,735.08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20808</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抚恤</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2080801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死亡抚恤</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20825</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其他生活救助</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2082501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其他城市生活救助</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其他社会保障和就业支出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2089999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其他社会保障和就业支出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2101101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行政单位医疗</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601,390.98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601,390.98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2101102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事业单位医疗</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491,970.36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491,970.36</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节能环保支出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21103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污染防治</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2110302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水体</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34,903,693.91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22,064,013.30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12,839,680.61</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城乡社区管理事务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23,761,302.42</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17,584,193.81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6,177,108.61</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行政运行</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15,153,785.49</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14,939,260.23</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214,525.26</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2120104</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城管执法</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103,210.00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103,210.00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2120106</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工程建设管理</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685,542.00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685,542.00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2120109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住宅建设与房地产市场监管</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487,545.50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487,545.50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2120199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其他城乡社区管理事务支出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7,331,219.43</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1,368,636.08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5,962,583.35</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城乡社区公共设施</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2120303</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小城镇基础设施建设</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21206</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建设市场管理与监督</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5,026,334.41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4,466,762.41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559,572.00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2120601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建设市场管理与监督</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5,026,334.41</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4,466,762.41</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559,572.00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其他城乡社区支出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2129999</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其他城乡社区支出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住房保障支出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保障性安居工程支出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2210106</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公共租赁住房</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22102</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住房改革支出</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50" w:hRule="atLeast"/>
        </w:trPr>
        <w:tc>
          <w:tcPr>
            <w:tcW w:w="1264"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2210201</w:t>
            </w:r>
          </w:p>
        </w:tc>
        <w:tc>
          <w:tcPr>
            <w:tcW w:w="3532"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住房公积金</w:t>
            </w:r>
          </w:p>
        </w:tc>
        <w:tc>
          <w:tcPr>
            <w:tcW w:w="183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21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17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180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60"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0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rPr>
          <w:trHeight w:val="630" w:hRule="atLeast"/>
        </w:trPr>
        <w:tc>
          <w:tcPr>
            <w:tcW w:w="15236" w:type="dxa"/>
            <w:gridSpan w:val="9"/>
            <w:tcBorders>
              <w:top w:val="nil"/>
              <w:left w:val="nil"/>
              <w:bottom w:val="nil"/>
              <w:right w:val="nil"/>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注：本表反映部门本年度各项支出情况。</w:t>
            </w:r>
          </w:p>
        </w:tc>
      </w:tr>
    </w:tbl>
    <w:p>
      <w:pPr>
        <w:widowControl/>
        <w:jc w:val="both"/>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p>
      <w:pPr>
        <w:pStyle w:val="2"/>
        <w:rPr>
          <w:rFonts w:hint="eastAsia" w:asciiTheme="minorEastAsia" w:hAnsiTheme="minorEastAsia" w:eastAsiaTheme="minorEastAsia" w:cstheme="minorEastAsia"/>
          <w:color w:val="000000"/>
          <w:kern w:val="0"/>
          <w:sz w:val="36"/>
          <w:szCs w:val="21"/>
        </w:rPr>
      </w:pPr>
    </w:p>
    <w:tbl>
      <w:tblPr>
        <w:tblStyle w:val="11"/>
        <w:tblW w:w="15435" w:type="dxa"/>
        <w:tblInd w:w="93" w:type="dxa"/>
        <w:tblLayout w:type="fixed"/>
        <w:tblCellMar>
          <w:top w:w="0" w:type="dxa"/>
          <w:left w:w="108" w:type="dxa"/>
          <w:bottom w:w="0" w:type="dxa"/>
          <w:right w:w="108" w:type="dxa"/>
        </w:tblCellMar>
      </w:tblPr>
      <w:tblGrid>
        <w:gridCol w:w="4106"/>
        <w:gridCol w:w="514"/>
        <w:gridCol w:w="1297"/>
        <w:gridCol w:w="431"/>
        <w:gridCol w:w="2965"/>
        <w:gridCol w:w="647"/>
        <w:gridCol w:w="1656"/>
        <w:gridCol w:w="1716"/>
        <w:gridCol w:w="996"/>
        <w:gridCol w:w="1107"/>
      </w:tblGrid>
      <w:tr>
        <w:tblPrEx>
          <w:tblCellMar>
            <w:top w:w="0" w:type="dxa"/>
            <w:left w:w="108" w:type="dxa"/>
            <w:bottom w:w="0" w:type="dxa"/>
            <w:right w:w="108" w:type="dxa"/>
          </w:tblCellMar>
        </w:tblPrEx>
        <w:trPr>
          <w:trHeight w:val="90" w:hRule="atLeast"/>
        </w:trPr>
        <w:tc>
          <w:tcPr>
            <w:tcW w:w="4106" w:type="dxa"/>
            <w:tcBorders>
              <w:top w:val="nil"/>
              <w:left w:val="nil"/>
              <w:bottom w:val="nil"/>
              <w:right w:val="nil"/>
            </w:tcBorders>
            <w:shd w:val="clear" w:color="auto" w:fill="auto"/>
            <w:noWrap/>
            <w:vAlign w:val="center"/>
          </w:tcPr>
          <w:p>
            <w:pPr>
              <w:widowControl/>
              <w:jc w:val="left"/>
              <w:rPr>
                <w:rFonts w:hint="eastAsia" w:asciiTheme="minorEastAsia" w:hAnsiTheme="minorEastAsia" w:eastAsiaTheme="minorEastAsia" w:cstheme="minorEastAsia"/>
                <w:kern w:val="0"/>
                <w:sz w:val="24"/>
                <w:szCs w:val="24"/>
              </w:rPr>
            </w:pPr>
            <w:bookmarkStart w:id="0" w:name="RANGE!A1:I22"/>
            <w:bookmarkEnd w:id="0"/>
            <w:bookmarkStart w:id="1" w:name="RANGE!A1:F16"/>
          </w:p>
        </w:tc>
        <w:tc>
          <w:tcPr>
            <w:tcW w:w="514"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297"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3396" w:type="dxa"/>
            <w:gridSpan w:val="2"/>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647"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656"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716"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996"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c>
          <w:tcPr>
            <w:tcW w:w="1107" w:type="dxa"/>
            <w:tcBorders>
              <w:top w:val="nil"/>
              <w:left w:val="nil"/>
              <w:bottom w:val="nil"/>
              <w:right w:val="nil"/>
            </w:tcBorders>
            <w:shd w:val="clear" w:color="auto" w:fill="auto"/>
            <w:noWrap/>
            <w:vAlign w:val="center"/>
          </w:tcPr>
          <w:p>
            <w:pPr>
              <w:widowControl/>
              <w:jc w:val="righ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90" w:hRule="atLeast"/>
        </w:trPr>
        <w:tc>
          <w:tcPr>
            <w:tcW w:w="15435" w:type="dxa"/>
            <w:gridSpan w:val="10"/>
            <w:tcBorders>
              <w:top w:val="nil"/>
              <w:left w:val="nil"/>
              <w:bottom w:val="nil"/>
              <w:right w:val="nil"/>
            </w:tcBorders>
            <w:shd w:val="clear" w:color="auto" w:fill="auto"/>
            <w:noWrap/>
            <w:vAlign w:val="center"/>
          </w:tcPr>
          <w:p>
            <w:pPr>
              <w:widowControl/>
              <w:jc w:val="center"/>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rPr>
              <w:t>财政拨款收入支出决算总表</w:t>
            </w:r>
          </w:p>
        </w:tc>
      </w:tr>
      <w:tr>
        <w:tblPrEx>
          <w:tblCellMar>
            <w:top w:w="0" w:type="dxa"/>
            <w:left w:w="108" w:type="dxa"/>
            <w:bottom w:w="0" w:type="dxa"/>
            <w:right w:w="108" w:type="dxa"/>
          </w:tblCellMar>
        </w:tblPrEx>
        <w:trPr>
          <w:trHeight w:val="90" w:hRule="atLeast"/>
        </w:trPr>
        <w:tc>
          <w:tcPr>
            <w:tcW w:w="410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514"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28" w:type="dxa"/>
            <w:gridSpan w:val="2"/>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65"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647"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65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1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99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107"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公开04表</w:t>
            </w:r>
          </w:p>
        </w:tc>
      </w:tr>
      <w:tr>
        <w:tblPrEx>
          <w:tblCellMar>
            <w:top w:w="0" w:type="dxa"/>
            <w:left w:w="108" w:type="dxa"/>
            <w:bottom w:w="0" w:type="dxa"/>
            <w:right w:w="108" w:type="dxa"/>
          </w:tblCellMar>
        </w:tblPrEx>
        <w:trPr>
          <w:trHeight w:val="90" w:hRule="atLeast"/>
        </w:trPr>
        <w:tc>
          <w:tcPr>
            <w:tcW w:w="4106" w:type="dxa"/>
            <w:tcBorders>
              <w:top w:val="nil"/>
              <w:left w:val="nil"/>
              <w:bottom w:val="nil"/>
              <w:right w:val="nil"/>
            </w:tcBorders>
            <w:shd w:val="clear" w:color="000000" w:fill="FFFFFF"/>
            <w:noWrap/>
            <w:vAlign w:val="center"/>
          </w:tcPr>
          <w:p>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w:t>
            </w: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p>
        </w:tc>
        <w:tc>
          <w:tcPr>
            <w:tcW w:w="514"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28" w:type="dxa"/>
            <w:gridSpan w:val="2"/>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65"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647"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65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1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996"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107" w:type="dxa"/>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单位：元</w:t>
            </w:r>
          </w:p>
        </w:tc>
      </w:tr>
      <w:tr>
        <w:tblPrEx>
          <w:tblCellMar>
            <w:top w:w="0" w:type="dxa"/>
            <w:left w:w="108" w:type="dxa"/>
            <w:bottom w:w="0" w:type="dxa"/>
            <w:right w:w="108" w:type="dxa"/>
          </w:tblCellMar>
        </w:tblPrEx>
        <w:trPr>
          <w:trHeight w:val="90" w:hRule="atLeast"/>
        </w:trPr>
        <w:tc>
          <w:tcPr>
            <w:tcW w:w="6348"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收入</w:t>
            </w:r>
          </w:p>
        </w:tc>
        <w:tc>
          <w:tcPr>
            <w:tcW w:w="9087"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支出</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    目</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行次</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金额</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    目</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行次</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合计</w:t>
            </w:r>
          </w:p>
        </w:tc>
        <w:tc>
          <w:tcPr>
            <w:tcW w:w="1716"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一般公共预算财政拨款</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政府性基金预算财政拨款</w:t>
            </w:r>
          </w:p>
        </w:tc>
        <w:tc>
          <w:tcPr>
            <w:tcW w:w="1107"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国有资本经营预算财政拨款</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栏    次</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栏    次</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4</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5</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一、一般公共预算财政拨款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w:t>
            </w:r>
          </w:p>
        </w:tc>
        <w:tc>
          <w:tcPr>
            <w:tcW w:w="172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一、一般公共服务支出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15</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二、政府性基金预算财政拨款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二、社会保障和就业支出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16</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三、国有资本经营预算财政拨款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3</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三、卫生健康支出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17</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4</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四、节能环保支出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18</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5</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五、城乡社区支出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19</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32,982,801.06</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32,982,801.06</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6</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六、住房保障支出</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20</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7</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21</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8</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22</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本年收入合计</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9</w:t>
            </w:r>
          </w:p>
        </w:tc>
        <w:tc>
          <w:tcPr>
            <w:tcW w:w="172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本年支出合计</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23</w:t>
            </w:r>
          </w:p>
        </w:tc>
        <w:tc>
          <w:tcPr>
            <w:tcW w:w="165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171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年初财政拨款结转和结余</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10</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年末财政拨款结转和结余</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24</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396"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一般公共预算财政拨款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11</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25</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372"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政府性基金预算财政拨款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12</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26</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xml:space="preserve">       国有资本经营预算财政拨款</w:t>
            </w:r>
          </w:p>
        </w:tc>
        <w:tc>
          <w:tcPr>
            <w:tcW w:w="51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13</w:t>
            </w:r>
          </w:p>
        </w:tc>
        <w:tc>
          <w:tcPr>
            <w:tcW w:w="1728" w:type="dxa"/>
            <w:gridSpan w:val="2"/>
            <w:tcBorders>
              <w:top w:val="nil"/>
              <w:left w:val="nil"/>
              <w:bottom w:val="single" w:color="auto" w:sz="4" w:space="0"/>
              <w:right w:val="single" w:color="auto" w:sz="4" w:space="0"/>
            </w:tcBorders>
            <w:shd w:val="clear" w:color="auto" w:fill="auto"/>
            <w:noWrap/>
            <w:vAlign w:val="center"/>
          </w:tcPr>
          <w:p>
            <w:pPr>
              <w:widowControl/>
              <w:jc w:val="righ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2965"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647"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27</w:t>
            </w:r>
          </w:p>
        </w:tc>
        <w:tc>
          <w:tcPr>
            <w:tcW w:w="165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71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996"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　</w:t>
            </w:r>
          </w:p>
        </w:tc>
      </w:tr>
      <w:tr>
        <w:tblPrEx>
          <w:tblCellMar>
            <w:top w:w="0" w:type="dxa"/>
            <w:left w:w="108" w:type="dxa"/>
            <w:bottom w:w="0" w:type="dxa"/>
            <w:right w:w="108" w:type="dxa"/>
          </w:tblCellMar>
        </w:tblPrEx>
        <w:trPr>
          <w:trHeight w:val="90" w:hRule="atLeast"/>
        </w:trPr>
        <w:tc>
          <w:tcPr>
            <w:tcW w:w="410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总计</w:t>
            </w:r>
          </w:p>
        </w:tc>
        <w:tc>
          <w:tcPr>
            <w:tcW w:w="514"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14</w:t>
            </w:r>
          </w:p>
        </w:tc>
        <w:tc>
          <w:tcPr>
            <w:tcW w:w="172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2"/>
                <w:sz w:val="22"/>
                <w:szCs w:val="22"/>
                <w:u w:val="none"/>
                <w:lang w:val="en-US" w:eastAsia="zh-CN" w:bidi="ar-SA"/>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2965"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总计</w:t>
            </w:r>
          </w:p>
        </w:tc>
        <w:tc>
          <w:tcPr>
            <w:tcW w:w="647"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kern w:val="0"/>
                <w:sz w:val="22"/>
              </w:rPr>
              <w:t>28</w:t>
            </w:r>
          </w:p>
        </w:tc>
        <w:tc>
          <w:tcPr>
            <w:tcW w:w="165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171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 w:val="22"/>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996"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　</w:t>
            </w:r>
          </w:p>
        </w:tc>
        <w:tc>
          <w:tcPr>
            <w:tcW w:w="1107" w:type="dxa"/>
            <w:tcBorders>
              <w:top w:val="nil"/>
              <w:left w:val="nil"/>
              <w:bottom w:val="single" w:color="auto" w:sz="4" w:space="0"/>
              <w:right w:val="single" w:color="auto" w:sz="4" w:space="0"/>
            </w:tcBorders>
            <w:shd w:val="clear" w:color="auto" w:fill="auto"/>
            <w:noWrap/>
            <w:vAlign w:val="center"/>
          </w:tcPr>
          <w:p>
            <w:pPr>
              <w:widowControl/>
              <w:jc w:val="left"/>
              <w:rPr>
                <w:rFonts w:hint="eastAsia" w:asciiTheme="minorEastAsia" w:hAnsiTheme="minorEastAsia" w:eastAsiaTheme="minorEastAsia" w:cstheme="minorEastAsia"/>
                <w:b/>
                <w:bCs/>
                <w:kern w:val="0"/>
                <w:sz w:val="22"/>
              </w:rPr>
            </w:pPr>
            <w:r>
              <w:rPr>
                <w:rFonts w:hint="eastAsia" w:asciiTheme="minorEastAsia" w:hAnsiTheme="minorEastAsia" w:eastAsiaTheme="minorEastAsia" w:cstheme="minorEastAsia"/>
                <w:b/>
                <w:bCs/>
                <w:kern w:val="0"/>
                <w:sz w:val="22"/>
              </w:rPr>
              <w:t>　</w:t>
            </w:r>
          </w:p>
        </w:tc>
      </w:tr>
      <w:tr>
        <w:tblPrEx>
          <w:tblCellMar>
            <w:top w:w="0" w:type="dxa"/>
            <w:left w:w="108" w:type="dxa"/>
            <w:bottom w:w="0" w:type="dxa"/>
            <w:right w:w="108" w:type="dxa"/>
          </w:tblCellMar>
        </w:tblPrEx>
        <w:trPr>
          <w:trHeight w:val="90" w:hRule="atLeast"/>
        </w:trPr>
        <w:tc>
          <w:tcPr>
            <w:tcW w:w="15435" w:type="dxa"/>
            <w:gridSpan w:val="10"/>
            <w:tcBorders>
              <w:top w:val="nil"/>
              <w:left w:val="nil"/>
              <w:bottom w:val="nil"/>
              <w:right w:val="nil"/>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注：本表反映部门本年度一般公共预算财政拨款、政府性基金预算财政拨款和国有资本经营预算财政拨款的总收支和年末结转结余情况。</w:t>
            </w:r>
          </w:p>
        </w:tc>
      </w:tr>
    </w:tbl>
    <w:p>
      <w:pPr>
        <w:widowControl/>
        <w:jc w:val="both"/>
        <w:rPr>
          <w:rFonts w:hint="eastAsia" w:asciiTheme="minorEastAsia" w:hAnsiTheme="minorEastAsia" w:eastAsiaTheme="minorEastAsia" w:cstheme="minorEastAsia"/>
          <w:kern w:val="0"/>
          <w:sz w:val="36"/>
          <w:szCs w:val="36"/>
        </w:rPr>
      </w:pPr>
    </w:p>
    <w:p>
      <w:pPr>
        <w:pStyle w:val="2"/>
        <w:rPr>
          <w:rFonts w:hint="eastAsia" w:asciiTheme="minorEastAsia" w:hAnsiTheme="minorEastAsia" w:eastAsiaTheme="minorEastAsia" w:cstheme="minorEastAsia"/>
        </w:rPr>
      </w:pPr>
    </w:p>
    <w:p>
      <w:pPr>
        <w:widowControl/>
        <w:jc w:val="center"/>
        <w:rPr>
          <w:rFonts w:hint="eastAsia" w:asciiTheme="minorEastAsia" w:hAnsiTheme="minorEastAsia" w:eastAsiaTheme="minorEastAsia" w:cstheme="minorEastAsia"/>
          <w:kern w:val="0"/>
          <w:sz w:val="36"/>
          <w:szCs w:val="36"/>
        </w:rPr>
      </w:pPr>
      <w:r>
        <w:rPr>
          <w:rFonts w:hint="eastAsia" w:asciiTheme="minorEastAsia" w:hAnsiTheme="minorEastAsia" w:eastAsiaTheme="minorEastAsia" w:cstheme="minorEastAsia"/>
          <w:kern w:val="0"/>
          <w:sz w:val="36"/>
          <w:szCs w:val="36"/>
        </w:rPr>
        <w:t>一般公共预算财政拨款支出决算表</w:t>
      </w:r>
      <w:bookmarkEnd w:id="1"/>
    </w:p>
    <w:p>
      <w:pPr>
        <w:widowControl/>
        <w:spacing w:before="156" w:beforeLines="50"/>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Cs w:val="21"/>
        </w:rPr>
        <w:t xml:space="preserve">     部门：</w:t>
      </w: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r>
        <w:rPr>
          <w:rFonts w:hint="eastAsia" w:asciiTheme="minorEastAsia" w:hAnsiTheme="minorEastAsia" w:eastAsiaTheme="minorEastAsia" w:cstheme="minorEastAsia"/>
          <w:color w:val="000000"/>
          <w:kern w:val="0"/>
          <w:szCs w:val="21"/>
        </w:rPr>
        <w:t xml:space="preserve">                                                                          公开05表</w:t>
      </w:r>
      <w:r>
        <w:rPr>
          <w:rFonts w:hint="eastAsia" w:asciiTheme="minorEastAsia" w:hAnsiTheme="minorEastAsia" w:eastAsiaTheme="minorEastAsia" w:cstheme="minorEastAsia"/>
          <w:color w:val="000000"/>
          <w:kern w:val="0"/>
          <w:szCs w:val="21"/>
          <w:lang w:val="en-US" w:eastAsia="zh-CN"/>
        </w:rPr>
        <w:t xml:space="preserve">            </w:t>
      </w:r>
      <w:r>
        <w:rPr>
          <w:rFonts w:hint="eastAsia" w:asciiTheme="minorEastAsia" w:hAnsiTheme="minorEastAsia" w:eastAsiaTheme="minorEastAsia" w:cstheme="minorEastAsia"/>
          <w:color w:val="000000"/>
          <w:kern w:val="0"/>
          <w:szCs w:val="21"/>
        </w:rPr>
        <w:t>单位：元</w:t>
      </w:r>
    </w:p>
    <w:tbl>
      <w:tblPr>
        <w:tblStyle w:val="11"/>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 xml:space="preserve">项 </w:t>
            </w:r>
            <w:r>
              <w:rPr>
                <w:rFonts w:hint="eastAsia" w:asciiTheme="minorEastAsia" w:hAnsiTheme="minorEastAsia" w:eastAsiaTheme="minorEastAsia" w:cstheme="minorEastAsia"/>
                <w:b/>
                <w:color w:val="000000"/>
                <w:kern w:val="0"/>
                <w:szCs w:val="21"/>
              </w:rPr>
              <w:t xml:space="preserve">   </w:t>
            </w:r>
            <w:r>
              <w:rPr>
                <w:rFonts w:hint="eastAsia" w:asciiTheme="minorEastAsia" w:hAnsiTheme="minorEastAsia" w:eastAsiaTheme="minorEastAsia" w:cstheme="minorEastAsia"/>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312"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i w:val="0"/>
                <w:iCs w:val="0"/>
                <w:color w:val="000000"/>
                <w:kern w:val="0"/>
                <w:sz w:val="22"/>
                <w:szCs w:val="22"/>
                <w:u w:val="none"/>
                <w:lang w:val="en-US" w:eastAsia="zh-CN" w:bidi="ar"/>
              </w:rPr>
              <w:t>41463290.47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b/>
                <w:bCs/>
                <w:i w:val="0"/>
                <w:iCs w:val="0"/>
                <w:color w:val="000000"/>
                <w:kern w:val="0"/>
                <w:sz w:val="22"/>
                <w:szCs w:val="22"/>
                <w:u w:val="none"/>
                <w:lang w:val="en-US" w:eastAsia="zh-CN" w:bidi="ar"/>
              </w:rPr>
              <w:t>26,808,228.86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lang w:val="en-US"/>
              </w:rPr>
            </w:pPr>
            <w:r>
              <w:rPr>
                <w:rFonts w:hint="eastAsia" w:asciiTheme="minorEastAsia" w:hAnsiTheme="minorEastAsia" w:eastAsiaTheme="minorEastAsia" w:cstheme="minorEastAsia"/>
                <w:b/>
                <w:bCs/>
                <w:i w:val="0"/>
                <w:iCs w:val="0"/>
                <w:color w:val="000000"/>
                <w:kern w:val="0"/>
                <w:sz w:val="22"/>
                <w:szCs w:val="22"/>
                <w:u w:val="none"/>
                <w:lang w:val="en-US" w:eastAsia="zh-CN" w:bidi="ar"/>
              </w:rPr>
              <w:t>14655061.61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2010308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信访事务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304,273.00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3,057,803.11</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行政事业单位养老支出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2,184,558.91</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2,184,558.91</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2080501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行政单位离退休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81,423.83</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81,423.83</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2080502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事业单位离退休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27,400.00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27,400.00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2080505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2,075,735.08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2,075,735.08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20808</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2080801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死亡抚恤</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447,886.00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20825</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其他生活救助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2082501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其他城市生活救助</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2089999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其他社会保障和就业支出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385,358.20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210</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卫生健康支出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21011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行政事业单位医疗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1,093,361.34</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2101101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601,390.98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601,390.98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2101102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事业单位医疗</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491,970.36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491,970.36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节能环保支出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21103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污染防治</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2110302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水体</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2,000,000.00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32,982,801.06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20,752,012.45</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12,230,788.61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城乡社区管理事务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22,536,127.16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16,408,338.55</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6,127,788.61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2120101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行政运行</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15,153,785.49</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14,939,260.23</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214,525.26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2120104</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城管执法</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103,210.00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103,210.00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2120106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工程建设管理</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685,542.00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685,542.00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2120109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住宅建设与房地产市场监管</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487,545.50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487,545.50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2120199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其他城乡社区管理事务支出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6,106,044.17</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192,780.82</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5,913,263.35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城乡社区公共设施</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2120303</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小城镇基础设施建设</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6,103,000.00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建设市场管理与监督</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4,330,616.82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4,330,616.82</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2120601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建设市场管理与监督</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4,330,616.82</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4,330,616.82</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其他城乡社区支出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2129999</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其他城乡社区支出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13,057.08</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2,025,051.96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22101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保障性安居工程支出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2210106</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公共租赁住房</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120,000.00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22102</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住房改革支出</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2210201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住房公积金</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1,905,051.96</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注：本表反映部门本年度一般公共预算财政拨款支出情况。</w:t>
            </w:r>
          </w:p>
        </w:tc>
      </w:tr>
    </w:tbl>
    <w:p>
      <w:pPr>
        <w:widowControl/>
        <w:jc w:val="left"/>
        <w:rPr>
          <w:rFonts w:hint="eastAsia" w:asciiTheme="minorEastAsia" w:hAnsiTheme="minorEastAsia" w:eastAsiaTheme="minorEastAsia" w:cstheme="minorEastAsia"/>
          <w:bCs/>
          <w:kern w:val="0"/>
          <w:szCs w:val="21"/>
        </w:rPr>
      </w:pPr>
    </w:p>
    <w:p>
      <w:pPr>
        <w:widowControl/>
        <w:jc w:val="left"/>
        <w:rPr>
          <w:rFonts w:hint="eastAsia" w:asciiTheme="minorEastAsia" w:hAnsiTheme="minorEastAsia" w:eastAsiaTheme="minorEastAsia" w:cstheme="minorEastAsia"/>
          <w:bCs/>
          <w:kern w:val="0"/>
          <w:szCs w:val="21"/>
        </w:rPr>
      </w:pPr>
      <w:r>
        <w:rPr>
          <w:rFonts w:hint="eastAsia" w:asciiTheme="minorEastAsia" w:hAnsiTheme="minorEastAsia" w:eastAsiaTheme="minorEastAsia" w:cstheme="minorEastAsia"/>
          <w:bCs/>
          <w:kern w:val="0"/>
          <w:szCs w:val="21"/>
        </w:rPr>
        <w:br w:type="page"/>
      </w:r>
    </w:p>
    <w:tbl>
      <w:tblPr>
        <w:tblStyle w:val="11"/>
        <w:tblW w:w="0" w:type="auto"/>
        <w:tblInd w:w="0" w:type="dxa"/>
        <w:tblLayout w:type="fixed"/>
        <w:tblCellMar>
          <w:top w:w="0" w:type="dxa"/>
          <w:left w:w="108" w:type="dxa"/>
          <w:bottom w:w="0" w:type="dxa"/>
          <w:right w:w="108" w:type="dxa"/>
        </w:tblCellMar>
      </w:tblPr>
      <w:tblGrid>
        <w:gridCol w:w="801"/>
        <w:gridCol w:w="3396"/>
        <w:gridCol w:w="1704"/>
        <w:gridCol w:w="768"/>
        <w:gridCol w:w="2364"/>
        <w:gridCol w:w="1512"/>
        <w:gridCol w:w="660"/>
        <w:gridCol w:w="2748"/>
        <w:gridCol w:w="1661"/>
      </w:tblGrid>
      <w:tr>
        <w:tblPrEx>
          <w:tblCellMar>
            <w:top w:w="0" w:type="dxa"/>
            <w:left w:w="108" w:type="dxa"/>
            <w:bottom w:w="0" w:type="dxa"/>
            <w:right w:w="108" w:type="dxa"/>
          </w:tblCellMar>
        </w:tblPrEx>
        <w:trPr>
          <w:trHeight w:val="684" w:hRule="atLeast"/>
        </w:trPr>
        <w:tc>
          <w:tcPr>
            <w:tcW w:w="15614" w:type="dxa"/>
            <w:gridSpan w:val="9"/>
            <w:tcBorders>
              <w:top w:val="nil"/>
              <w:left w:val="nil"/>
              <w:bottom w:val="nil"/>
              <w:right w:val="nil"/>
            </w:tcBorders>
            <w:shd w:val="clear" w:color="auto" w:fill="auto"/>
            <w:noWrap/>
            <w:vAlign w:val="center"/>
          </w:tcPr>
          <w:p>
            <w:pPr>
              <w:widowControl/>
              <w:jc w:val="center"/>
              <w:rPr>
                <w:rFonts w:hint="eastAsia" w:asciiTheme="minorEastAsia" w:hAnsiTheme="minorEastAsia" w:eastAsiaTheme="minorEastAsia" w:cstheme="minorEastAsia"/>
                <w:color w:val="000000"/>
                <w:kern w:val="0"/>
                <w:szCs w:val="32"/>
              </w:rPr>
            </w:pPr>
            <w:bookmarkStart w:id="2" w:name="RANGE!A1:I34"/>
            <w:r>
              <w:rPr>
                <w:rFonts w:hint="eastAsia" w:asciiTheme="minorEastAsia" w:hAnsiTheme="minorEastAsia" w:eastAsiaTheme="minorEastAsia" w:cstheme="minorEastAsia"/>
                <w:color w:val="000000"/>
                <w:kern w:val="0"/>
                <w:szCs w:val="32"/>
              </w:rPr>
              <w:t>一般公共预算财政拨款基本支出决算明细表</w:t>
            </w:r>
            <w:bookmarkEnd w:id="2"/>
          </w:p>
          <w:p>
            <w:pPr>
              <w:widowControl/>
              <w:wordWrap w:val="0"/>
              <w:jc w:val="right"/>
              <w:rPr>
                <w:rFonts w:hint="eastAsia" w:asciiTheme="minorEastAsia" w:hAnsiTheme="minorEastAsia" w:eastAsiaTheme="minorEastAsia" w:cstheme="minorEastAsia"/>
                <w:color w:val="000000"/>
                <w:kern w:val="0"/>
                <w:szCs w:val="32"/>
              </w:rPr>
            </w:pPr>
            <w:r>
              <w:rPr>
                <w:rFonts w:hint="eastAsia" w:asciiTheme="minorEastAsia" w:hAnsiTheme="minorEastAsia" w:eastAsiaTheme="minorEastAsia" w:cstheme="minorEastAsia"/>
                <w:color w:val="000000"/>
                <w:kern w:val="0"/>
                <w:szCs w:val="21"/>
              </w:rPr>
              <w:t xml:space="preserve">  部门：</w:t>
            </w: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r>
              <w:rPr>
                <w:rFonts w:hint="eastAsia" w:asciiTheme="minorEastAsia" w:hAnsiTheme="minorEastAsia" w:eastAsiaTheme="minorEastAsia" w:cstheme="minorEastAsia"/>
                <w:color w:val="000000"/>
                <w:kern w:val="0"/>
                <w:szCs w:val="21"/>
              </w:rPr>
              <w:t xml:space="preserve">                                                                                公开06表</w:t>
            </w:r>
            <w:r>
              <w:rPr>
                <w:rFonts w:hint="eastAsia" w:asciiTheme="minorEastAsia" w:hAnsiTheme="minorEastAsia" w:eastAsiaTheme="minorEastAsia" w:cstheme="minorEastAsia"/>
                <w:color w:val="000000"/>
                <w:kern w:val="0"/>
                <w:szCs w:val="21"/>
                <w:lang w:val="en-US" w:eastAsia="zh-CN"/>
              </w:rPr>
              <w:t xml:space="preserve">               </w:t>
            </w:r>
            <w:r>
              <w:rPr>
                <w:rFonts w:hint="eastAsia" w:asciiTheme="minorEastAsia" w:hAnsiTheme="minorEastAsia" w:eastAsiaTheme="minorEastAsia" w:cstheme="minorEastAsia"/>
                <w:color w:val="000000"/>
                <w:kern w:val="0"/>
                <w:szCs w:val="21"/>
              </w:rPr>
              <w:t>单位：元</w:t>
            </w:r>
          </w:p>
        </w:tc>
      </w:tr>
      <w:tr>
        <w:tblPrEx>
          <w:tblCellMar>
            <w:top w:w="0" w:type="dxa"/>
            <w:left w:w="108" w:type="dxa"/>
            <w:bottom w:w="0" w:type="dxa"/>
            <w:right w:w="108" w:type="dxa"/>
          </w:tblCellMar>
        </w:tblPrEx>
        <w:trPr>
          <w:trHeight w:val="1038" w:hRule="atLeast"/>
        </w:trPr>
        <w:tc>
          <w:tcPr>
            <w:tcW w:w="80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 w:val="20"/>
                <w:szCs w:val="20"/>
              </w:rPr>
              <w:t>经济分类科目编码</w:t>
            </w:r>
          </w:p>
        </w:tc>
        <w:tc>
          <w:tcPr>
            <w:tcW w:w="33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科目名称</w:t>
            </w:r>
          </w:p>
        </w:tc>
        <w:tc>
          <w:tcPr>
            <w:tcW w:w="170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决算数</w:t>
            </w:r>
          </w:p>
        </w:tc>
        <w:tc>
          <w:tcPr>
            <w:tcW w:w="76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经济分类科目编码</w:t>
            </w:r>
          </w:p>
        </w:tc>
        <w:tc>
          <w:tcPr>
            <w:tcW w:w="236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科目名称</w:t>
            </w:r>
          </w:p>
        </w:tc>
        <w:tc>
          <w:tcPr>
            <w:tcW w:w="151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决算数</w:t>
            </w:r>
          </w:p>
        </w:tc>
        <w:tc>
          <w:tcPr>
            <w:tcW w:w="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经济分类科目编码</w:t>
            </w:r>
          </w:p>
        </w:tc>
        <w:tc>
          <w:tcPr>
            <w:tcW w:w="274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科目名称</w:t>
            </w:r>
          </w:p>
        </w:tc>
        <w:tc>
          <w:tcPr>
            <w:tcW w:w="166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color w:val="000000"/>
                <w:kern w:val="0"/>
                <w:szCs w:val="20"/>
              </w:rPr>
              <w:t>决算数</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工资福利支出</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22,425,445.20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商品和服务支出</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3,309,117.20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307</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债务利息及费用支出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30101</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基本工资</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8,404,226.48</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30201</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办公费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314,727.69</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30701</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国内债务付息</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30102</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津贴补贴</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3,050,864.00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30202</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印刷费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38,093.00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30702</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国外债务付息</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30103</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奖金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1,580,127.00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30203</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咨询费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26,000.00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资本性支出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148,246.14</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30106</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伙食补助费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1,113,561.24</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30204</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手续费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31001</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房屋建筑物购建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30107</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绩效工资</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1,532,254.00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30205</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水费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17,586.00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31002</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办公设备购置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148,246.14</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30108</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机关事业单位基本养老保险缴费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2,297,160.76</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30206</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电费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141,335.87</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31003</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专用设备购置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30109</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职业年金缴费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382,944.43</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30207</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邮电费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103,376.00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31005</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基础设施建设</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30110</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职工基本医疗保险缴费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1,239,240.01</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30208</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取暖费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31006</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大型修缮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30111</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公务员医疗补助缴费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388,818.44</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30209</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物业管理费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234,310.00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31007</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信息网络及软件购置更新</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30112</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其他社会保障缴费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230,145.33</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30211</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差旅费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172,514.25</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31008</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物资储备</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30113</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住房公积金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2,136,342.25</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30212</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因公出国（境）费用</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31009</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土地补偿</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30114</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医疗费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30213</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维修（护）费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83,285.00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31010</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安置补助</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30199</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其他工资福利支出</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69,761.26</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30214</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租赁费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28,736.00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31011</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地上附着物和青苗补偿</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对个人和家庭的补助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925,420.32</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30215</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会议费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8,175.00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31012</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拆迁补偿</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30301</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离休费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30216</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培训费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50,072.50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31013</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公务用车购置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30302</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退休费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30217</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公务接待费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2,160.00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31019</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其他交通工具购置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30303</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退职（役）费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30218</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专用材料费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31021</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文物和陈列品购置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30304</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抚恤金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478,906.00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30224</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被装购置费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31022</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无形资产购置</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30305</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生活补助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403,274.32</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30225</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专用燃料费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31099</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其他资本性支出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30306</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救济费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30226</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劳务费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13,424.00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399</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其他支出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30307</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医疗费补助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40,000.00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30227</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委托业务费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21,000.00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39906</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赠与</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30308</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助学金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30228</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工会经费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846,064.58</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39907</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国家赔偿费用支出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30309</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奖励金</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30229</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福利费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i w:val="0"/>
                <w:iCs w:val="0"/>
                <w:color w:val="000000"/>
                <w:kern w:val="0"/>
                <w:sz w:val="22"/>
                <w:szCs w:val="22"/>
                <w:u w:val="none"/>
                <w:lang w:val="en-US" w:eastAsia="zh-CN" w:bidi="ar"/>
              </w:rPr>
            </w:pPr>
            <w:r>
              <w:rPr>
                <w:rFonts w:hint="eastAsia" w:asciiTheme="minorEastAsia" w:hAnsiTheme="minorEastAsia" w:eastAsiaTheme="minorEastAsia" w:cstheme="minorEastAsia"/>
                <w:i w:val="0"/>
                <w:iCs w:val="0"/>
                <w:color w:val="000000"/>
                <w:kern w:val="0"/>
                <w:sz w:val="22"/>
                <w:szCs w:val="22"/>
                <w:u w:val="none"/>
                <w:lang w:val="en-US" w:eastAsia="zh-CN" w:bidi="ar"/>
              </w:rPr>
              <w:t>221,721.00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39908</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对民间非营利组织和群众性自治组织补贴</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30310</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个人农业生产补贴</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30231</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公务用车运行维护费</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39999</w:t>
            </w:r>
          </w:p>
        </w:tc>
        <w:tc>
          <w:tcPr>
            <w:tcW w:w="274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其他支出</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30311</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代缴社会保险费</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30239</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其他交通费用</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689,480.66</w:t>
            </w:r>
          </w:p>
        </w:tc>
        <w:tc>
          <w:tcPr>
            <w:tcW w:w="660"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2748"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1661" w:type="dxa"/>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color w:val="000000"/>
                <w:kern w:val="0"/>
                <w:szCs w:val="20"/>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30399</w:t>
            </w:r>
          </w:p>
        </w:tc>
        <w:tc>
          <w:tcPr>
            <w:tcW w:w="339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其他对个人和家庭的补助</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3,240.00</w:t>
            </w: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30240</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税金及附加费用</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0.00</w:t>
            </w:r>
          </w:p>
        </w:tc>
        <w:tc>
          <w:tcPr>
            <w:tcW w:w="660"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2748"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1661" w:type="dxa"/>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color w:val="000000"/>
                <w:kern w:val="0"/>
                <w:szCs w:val="20"/>
              </w:rPr>
            </w:pPr>
          </w:p>
        </w:tc>
      </w:tr>
      <w:tr>
        <w:tblPrEx>
          <w:tblCellMar>
            <w:top w:w="0" w:type="dxa"/>
            <w:left w:w="108" w:type="dxa"/>
            <w:bottom w:w="0" w:type="dxa"/>
            <w:right w:w="108" w:type="dxa"/>
          </w:tblCellMar>
        </w:tblPrEx>
        <w:trPr>
          <w:trHeight w:val="284" w:hRule="exact"/>
        </w:trPr>
        <w:tc>
          <w:tcPr>
            <w:tcW w:w="801" w:type="dxa"/>
            <w:tcBorders>
              <w:top w:val="nil"/>
              <w:left w:val="single" w:color="auto" w:sz="4" w:space="0"/>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3396"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1704" w:type="dxa"/>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color w:val="000000"/>
                <w:kern w:val="0"/>
                <w:szCs w:val="20"/>
              </w:rPr>
            </w:pPr>
          </w:p>
        </w:tc>
        <w:tc>
          <w:tcPr>
            <w:tcW w:w="76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30299</w:t>
            </w:r>
          </w:p>
        </w:tc>
        <w:tc>
          <w:tcPr>
            <w:tcW w:w="236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 xml:space="preserve">  其他商品和服务支出</w:t>
            </w:r>
          </w:p>
        </w:tc>
        <w:tc>
          <w:tcPr>
            <w:tcW w:w="1512"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297,055.65</w:t>
            </w:r>
          </w:p>
        </w:tc>
        <w:tc>
          <w:tcPr>
            <w:tcW w:w="660"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2748" w:type="dxa"/>
            <w:tcBorders>
              <w:top w:val="nil"/>
              <w:left w:val="nil"/>
              <w:bottom w:val="single" w:color="auto" w:sz="4" w:space="0"/>
              <w:right w:val="single" w:color="auto" w:sz="4" w:space="0"/>
            </w:tcBorders>
            <w:shd w:val="clear" w:color="auto" w:fill="auto"/>
            <w:noWrap/>
            <w:vAlign w:val="center"/>
          </w:tcPr>
          <w:p>
            <w:pPr>
              <w:jc w:val="left"/>
              <w:rPr>
                <w:rFonts w:hint="eastAsia" w:asciiTheme="minorEastAsia" w:hAnsiTheme="minorEastAsia" w:eastAsiaTheme="minorEastAsia" w:cstheme="minorEastAsia"/>
                <w:color w:val="000000"/>
                <w:kern w:val="0"/>
                <w:szCs w:val="20"/>
              </w:rPr>
            </w:pPr>
          </w:p>
        </w:tc>
        <w:tc>
          <w:tcPr>
            <w:tcW w:w="1661" w:type="dxa"/>
            <w:tcBorders>
              <w:top w:val="nil"/>
              <w:left w:val="nil"/>
              <w:bottom w:val="single" w:color="auto" w:sz="4" w:space="0"/>
              <w:right w:val="single" w:color="auto" w:sz="4" w:space="0"/>
            </w:tcBorders>
            <w:shd w:val="clear" w:color="auto" w:fill="auto"/>
            <w:noWrap/>
            <w:vAlign w:val="center"/>
          </w:tcPr>
          <w:p>
            <w:pPr>
              <w:jc w:val="right"/>
              <w:rPr>
                <w:rFonts w:hint="eastAsia" w:asciiTheme="minorEastAsia" w:hAnsiTheme="minorEastAsia" w:eastAsiaTheme="minorEastAsia" w:cstheme="minorEastAsia"/>
                <w:color w:val="000000"/>
                <w:kern w:val="0"/>
                <w:szCs w:val="20"/>
              </w:rPr>
            </w:pPr>
          </w:p>
        </w:tc>
      </w:tr>
      <w:tr>
        <w:tblPrEx>
          <w:tblCellMar>
            <w:top w:w="0" w:type="dxa"/>
            <w:left w:w="108" w:type="dxa"/>
            <w:bottom w:w="0" w:type="dxa"/>
            <w:right w:w="108" w:type="dxa"/>
          </w:tblCellMar>
        </w:tblPrEx>
        <w:trPr>
          <w:trHeight w:val="284" w:hRule="exact"/>
        </w:trPr>
        <w:tc>
          <w:tcPr>
            <w:tcW w:w="4197" w:type="dxa"/>
            <w:gridSpan w:val="2"/>
            <w:tcBorders>
              <w:top w:val="nil"/>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人员经费合计</w:t>
            </w:r>
          </w:p>
        </w:tc>
        <w:tc>
          <w:tcPr>
            <w:tcW w:w="17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23,350,865.52</w:t>
            </w:r>
          </w:p>
        </w:tc>
        <w:tc>
          <w:tcPr>
            <w:tcW w:w="8052" w:type="dxa"/>
            <w:gridSpan w:val="5"/>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公用经费合计</w:t>
            </w:r>
          </w:p>
        </w:tc>
        <w:tc>
          <w:tcPr>
            <w:tcW w:w="166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Theme="minorEastAsia" w:hAnsiTheme="minorEastAsia" w:eastAsiaTheme="minorEastAsia" w:cstheme="minorEastAsia"/>
                <w:color w:val="000000"/>
                <w:kern w:val="0"/>
                <w:szCs w:val="20"/>
              </w:rPr>
            </w:pPr>
            <w:r>
              <w:rPr>
                <w:rFonts w:hint="eastAsia" w:asciiTheme="minorEastAsia" w:hAnsiTheme="minorEastAsia" w:eastAsiaTheme="minorEastAsia" w:cstheme="minorEastAsia"/>
                <w:i w:val="0"/>
                <w:iCs w:val="0"/>
                <w:color w:val="000000"/>
                <w:kern w:val="0"/>
                <w:sz w:val="22"/>
                <w:szCs w:val="22"/>
                <w:u w:val="none"/>
                <w:lang w:val="en-US" w:eastAsia="zh-CN" w:bidi="ar"/>
              </w:rPr>
              <w:t>3,457,363.34</w:t>
            </w:r>
          </w:p>
        </w:tc>
      </w:tr>
      <w:tr>
        <w:tblPrEx>
          <w:tblCellMar>
            <w:top w:w="0" w:type="dxa"/>
            <w:left w:w="108" w:type="dxa"/>
            <w:bottom w:w="0" w:type="dxa"/>
            <w:right w:w="108" w:type="dxa"/>
          </w:tblCellMar>
        </w:tblPrEx>
        <w:trPr>
          <w:trHeight w:val="284" w:hRule="exact"/>
        </w:trPr>
        <w:tc>
          <w:tcPr>
            <w:tcW w:w="15614" w:type="dxa"/>
            <w:gridSpan w:val="9"/>
            <w:tcBorders>
              <w:top w:val="nil"/>
              <w:left w:val="nil"/>
              <w:bottom w:val="nil"/>
              <w:right w:val="nil"/>
            </w:tcBorders>
            <w:shd w:val="clear" w:color="auto" w:fill="auto"/>
            <w:noWrap/>
            <w:vAlign w:val="center"/>
          </w:tcPr>
          <w:p>
            <w:pPr>
              <w:widowControl/>
              <w:jc w:val="left"/>
              <w:rPr>
                <w:rFonts w:hint="eastAsia" w:asciiTheme="minorEastAsia" w:hAnsiTheme="minorEastAsia" w:eastAsiaTheme="minorEastAsia" w:cstheme="minorEastAsia"/>
                <w:color w:val="000000"/>
                <w:kern w:val="0"/>
                <w:szCs w:val="24"/>
              </w:rPr>
            </w:pPr>
            <w:r>
              <w:rPr>
                <w:rFonts w:hint="eastAsia" w:asciiTheme="minorEastAsia" w:hAnsiTheme="minorEastAsia" w:eastAsiaTheme="minorEastAsia" w:cstheme="minorEastAsia"/>
                <w:color w:val="000000"/>
                <w:kern w:val="0"/>
                <w:szCs w:val="24"/>
              </w:rPr>
              <w:t>注：本表反映部门本年度一般公共预算财政拨款基本支出明细情况。</w:t>
            </w:r>
          </w:p>
        </w:tc>
      </w:tr>
    </w:tbl>
    <w:p>
      <w:pPr>
        <w:widowControl/>
        <w:jc w:val="center"/>
        <w:rPr>
          <w:rFonts w:hint="eastAsia" w:asciiTheme="minorEastAsia" w:hAnsiTheme="minorEastAsia" w:eastAsiaTheme="minorEastAsia" w:cstheme="minorEastAsia"/>
          <w:color w:val="000000"/>
          <w:kern w:val="0"/>
          <w:sz w:val="36"/>
          <w:szCs w:val="36"/>
        </w:rPr>
      </w:pPr>
      <w:r>
        <w:rPr>
          <w:rFonts w:hint="eastAsia" w:asciiTheme="minorEastAsia" w:hAnsiTheme="minorEastAsia" w:eastAsiaTheme="minorEastAsia" w:cstheme="minorEastAsia"/>
          <w:color w:val="000000"/>
          <w:kern w:val="0"/>
          <w:sz w:val="36"/>
          <w:szCs w:val="36"/>
        </w:rPr>
        <w:t>一般公共预算财政拨款“三公”经费支出决算表</w:t>
      </w:r>
    </w:p>
    <w:p>
      <w:pPr>
        <w:widowControl/>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 xml:space="preserve">部门：   </w:t>
      </w: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r>
        <w:rPr>
          <w:rFonts w:hint="eastAsia" w:asciiTheme="minorEastAsia" w:hAnsiTheme="minorEastAsia" w:eastAsiaTheme="minorEastAsia" w:cstheme="minorEastAsia"/>
          <w:color w:val="000000"/>
          <w:kern w:val="0"/>
          <w:szCs w:val="21"/>
        </w:rPr>
        <w:t xml:space="preserve">                                                                                                                        </w:t>
      </w:r>
    </w:p>
    <w:p>
      <w:pPr>
        <w:widowControl/>
        <w:ind w:firstLine="14070" w:firstLineChars="6700"/>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公开07表</w:t>
      </w:r>
    </w:p>
    <w:p>
      <w:pPr>
        <w:widowControl/>
        <w:ind w:right="420"/>
        <w:jc w:val="righ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单位：元</w:t>
      </w:r>
    </w:p>
    <w:tbl>
      <w:tblPr>
        <w:tblStyle w:val="11"/>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w:t>
            </w:r>
          </w:p>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w:t>
            </w:r>
          </w:p>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公务用车</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公务用车</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公务用车</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公务用车</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hint="eastAsia" w:asciiTheme="minorEastAsia" w:hAnsiTheme="minorEastAsia" w:eastAsiaTheme="minorEastAsia" w:cstheme="minorEastAsia"/>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54.4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54.4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30.4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24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1.13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1.13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0</w:t>
            </w:r>
          </w:p>
        </w:tc>
        <w:tc>
          <w:tcPr>
            <w:tcW w:w="1220" w:type="dxa"/>
            <w:tcBorders>
              <w:top w:val="nil"/>
              <w:left w:val="nil"/>
              <w:bottom w:val="single" w:color="auto" w:sz="4" w:space="0"/>
              <w:right w:val="nil"/>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0.91</w:t>
            </w:r>
          </w:p>
        </w:tc>
        <w:tc>
          <w:tcPr>
            <w:tcW w:w="1220" w:type="dxa"/>
            <w:tcBorders>
              <w:top w:val="nil"/>
              <w:left w:val="single" w:color="auto" w:sz="4" w:space="0"/>
              <w:bottom w:val="single" w:color="auto" w:sz="4" w:space="0"/>
              <w:right w:val="single" w:color="auto" w:sz="8" w:space="0"/>
            </w:tcBorders>
            <w:shd w:val="clear" w:color="auto" w:fill="auto"/>
            <w:vAlign w:val="center"/>
          </w:tcPr>
          <w:p>
            <w:pPr>
              <w:widowControl/>
              <w:jc w:val="center"/>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0.22</w:t>
            </w:r>
          </w:p>
        </w:tc>
      </w:tr>
    </w:tbl>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hint="eastAsia" w:asciiTheme="minorEastAsia" w:hAnsiTheme="minorEastAsia" w:eastAsiaTheme="minorEastAsia" w:cstheme="minorEastAsia"/>
          <w:kern w:val="0"/>
          <w:sz w:val="24"/>
          <w:szCs w:val="24"/>
        </w:rPr>
        <w:br w:type="page"/>
      </w:r>
    </w:p>
    <w:p>
      <w:pPr>
        <w:autoSpaceDE w:val="0"/>
        <w:autoSpaceDN w:val="0"/>
        <w:adjustRightInd w:val="0"/>
        <w:ind w:left="315" w:leftChars="150"/>
        <w:jc w:val="left"/>
        <w:rPr>
          <w:rFonts w:hint="eastAsia" w:asciiTheme="minorEastAsia" w:hAnsiTheme="minorEastAsia" w:eastAsiaTheme="minorEastAsia" w:cstheme="minorEastAsia"/>
          <w:kern w:val="0"/>
          <w:sz w:val="24"/>
          <w:szCs w:val="24"/>
        </w:rPr>
      </w:pPr>
    </w:p>
    <w:p>
      <w:pPr>
        <w:widowControl/>
        <w:jc w:val="center"/>
        <w:rPr>
          <w:rFonts w:hint="eastAsia" w:asciiTheme="minorEastAsia" w:hAnsiTheme="minorEastAsia" w:eastAsiaTheme="minorEastAsia" w:cstheme="minorEastAsia"/>
          <w:kern w:val="0"/>
          <w:sz w:val="36"/>
          <w:szCs w:val="36"/>
        </w:rPr>
      </w:pPr>
      <w:r>
        <w:rPr>
          <w:rFonts w:hint="eastAsia" w:asciiTheme="minorEastAsia" w:hAnsiTheme="minorEastAsia" w:eastAsiaTheme="minorEastAsia" w:cstheme="minorEastAsia"/>
          <w:kern w:val="0"/>
          <w:sz w:val="36"/>
          <w:szCs w:val="36"/>
        </w:rPr>
        <w:t>政府性基金预算财政拨款收入支出决算表</w:t>
      </w:r>
    </w:p>
    <w:p>
      <w:pPr>
        <w:widowControl/>
        <w:wordWrap w:val="0"/>
        <w:jc w:val="righ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lang w:val="en-US" w:eastAsia="zh-CN"/>
        </w:rPr>
        <w:t xml:space="preserve">     </w:t>
      </w:r>
      <w:r>
        <w:rPr>
          <w:rFonts w:hint="eastAsia" w:asciiTheme="minorEastAsia" w:hAnsiTheme="minorEastAsia" w:eastAsiaTheme="minorEastAsia" w:cstheme="minorEastAsia"/>
          <w:color w:val="000000"/>
          <w:kern w:val="0"/>
          <w:szCs w:val="21"/>
        </w:rPr>
        <w:t xml:space="preserve">部门： </w:t>
      </w: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r>
        <w:rPr>
          <w:rFonts w:hint="eastAsia" w:asciiTheme="minorEastAsia" w:hAnsiTheme="minorEastAsia" w:eastAsiaTheme="minorEastAsia" w:cstheme="minorEastAsia"/>
          <w:color w:val="000000"/>
          <w:kern w:val="0"/>
          <w:szCs w:val="21"/>
        </w:rPr>
        <w:t xml:space="preserve">                                                                                                                  公开08表</w:t>
      </w:r>
    </w:p>
    <w:p>
      <w:pPr>
        <w:widowControl/>
        <w:jc w:val="righ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单位：元</w:t>
      </w:r>
    </w:p>
    <w:tbl>
      <w:tblPr>
        <w:tblStyle w:val="11"/>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 xml:space="preserve">项 </w:t>
            </w:r>
            <w:r>
              <w:rPr>
                <w:rFonts w:hint="eastAsia" w:asciiTheme="minorEastAsia" w:hAnsiTheme="minorEastAsia" w:eastAsiaTheme="minorEastAsia" w:cstheme="minorEastAsia"/>
                <w:b/>
                <w:color w:val="000000"/>
                <w:kern w:val="0"/>
                <w:szCs w:val="21"/>
              </w:rPr>
              <w:t xml:space="preserve">   </w:t>
            </w:r>
            <w:r>
              <w:rPr>
                <w:rFonts w:hint="eastAsia" w:asciiTheme="minorEastAsia" w:hAnsiTheme="minorEastAsia" w:eastAsiaTheme="minorEastAsia" w:cstheme="minorEastAsia"/>
                <w:b/>
                <w:kern w:val="0"/>
                <w:szCs w:val="21"/>
              </w:rPr>
              <w:t>目</w:t>
            </w:r>
          </w:p>
        </w:tc>
        <w:tc>
          <w:tcPr>
            <w:tcW w:w="200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年初结转和结余</w:t>
            </w:r>
          </w:p>
        </w:tc>
        <w:tc>
          <w:tcPr>
            <w:tcW w:w="200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本年收入</w:t>
            </w:r>
          </w:p>
        </w:tc>
        <w:tc>
          <w:tcPr>
            <w:tcW w:w="6000" w:type="dxa"/>
            <w:gridSpan w:val="3"/>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本年支出</w:t>
            </w:r>
          </w:p>
        </w:tc>
        <w:tc>
          <w:tcPr>
            <w:tcW w:w="200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功能分类科目编码</w:t>
            </w:r>
          </w:p>
        </w:tc>
        <w:tc>
          <w:tcPr>
            <w:tcW w:w="132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科目名称</w:t>
            </w:r>
          </w:p>
        </w:tc>
        <w:tc>
          <w:tcPr>
            <w:tcW w:w="2000" w:type="dxa"/>
            <w:vMerge w:val="continue"/>
            <w:vAlign w:val="center"/>
          </w:tcPr>
          <w:p>
            <w:pPr>
              <w:widowControl/>
              <w:jc w:val="left"/>
              <w:rPr>
                <w:rFonts w:hint="eastAsia" w:asciiTheme="minorEastAsia" w:hAnsiTheme="minorEastAsia" w:eastAsiaTheme="minorEastAsia" w:cstheme="minorEastAsia"/>
                <w:b/>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b/>
                <w:kern w:val="0"/>
                <w:szCs w:val="21"/>
              </w:rPr>
            </w:pPr>
          </w:p>
        </w:tc>
        <w:tc>
          <w:tcPr>
            <w:tcW w:w="200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小计</w:t>
            </w:r>
          </w:p>
        </w:tc>
        <w:tc>
          <w:tcPr>
            <w:tcW w:w="200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 xml:space="preserve">基本支出  </w:t>
            </w:r>
          </w:p>
        </w:tc>
        <w:tc>
          <w:tcPr>
            <w:tcW w:w="2000" w:type="dxa"/>
            <w:vMerge w:val="restart"/>
            <w:shd w:val="clear" w:color="auto" w:fill="auto"/>
            <w:vAlign w:val="center"/>
          </w:tcPr>
          <w:p>
            <w:pPr>
              <w:widowControl/>
              <w:jc w:val="center"/>
              <w:rPr>
                <w:rFonts w:hint="eastAsia" w:asciiTheme="minorEastAsia" w:hAnsiTheme="minorEastAsia" w:eastAsiaTheme="minorEastAsia" w:cstheme="minorEastAsia"/>
                <w:b/>
                <w:kern w:val="0"/>
                <w:szCs w:val="21"/>
              </w:rPr>
            </w:pPr>
            <w:r>
              <w:rPr>
                <w:rFonts w:hint="eastAsia" w:asciiTheme="minorEastAsia" w:hAnsiTheme="minorEastAsia" w:eastAsiaTheme="minorEastAsia" w:cstheme="minorEastAsia"/>
                <w:b/>
                <w:kern w:val="0"/>
                <w:szCs w:val="21"/>
              </w:rPr>
              <w:t>项目支出</w:t>
            </w:r>
          </w:p>
        </w:tc>
        <w:tc>
          <w:tcPr>
            <w:tcW w:w="2000" w:type="dxa"/>
            <w:vMerge w:val="continue"/>
            <w:vAlign w:val="center"/>
          </w:tcPr>
          <w:p>
            <w:pPr>
              <w:widowControl/>
              <w:jc w:val="left"/>
              <w:rPr>
                <w:rFonts w:hint="eastAsia" w:asciiTheme="minorEastAsia" w:hAnsiTheme="minorEastAsia" w:eastAsiaTheme="minorEastAsia" w:cstheme="minorEastAsia"/>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hint="eastAsia" w:asciiTheme="minorEastAsia" w:hAnsiTheme="minorEastAsia" w:eastAsiaTheme="minorEastAsia" w:cstheme="minorEastAsia"/>
                <w:kern w:val="0"/>
                <w:szCs w:val="21"/>
              </w:rPr>
            </w:pPr>
          </w:p>
        </w:tc>
        <w:tc>
          <w:tcPr>
            <w:tcW w:w="132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hint="eastAsia" w:asciiTheme="minorEastAsia" w:hAnsiTheme="minorEastAsia" w:eastAsiaTheme="minorEastAsia" w:cstheme="minorEastAsia"/>
                <w:kern w:val="0"/>
                <w:szCs w:val="21"/>
              </w:rPr>
            </w:pPr>
          </w:p>
        </w:tc>
        <w:tc>
          <w:tcPr>
            <w:tcW w:w="132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c>
          <w:tcPr>
            <w:tcW w:w="2000" w:type="dxa"/>
            <w:vMerge w:val="continue"/>
            <w:vAlign w:val="center"/>
          </w:tcPr>
          <w:p>
            <w:pPr>
              <w:widowControl/>
              <w:jc w:val="left"/>
              <w:rPr>
                <w:rFonts w:hint="eastAsia" w:asciiTheme="minorEastAsia" w:hAnsiTheme="minorEastAsia" w:eastAsiaTheme="minorEastAsia" w:cstheme="minorEastAsia"/>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栏次</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合计</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132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lang w:eastAsia="zh-CN"/>
              </w:rPr>
            </w:pPr>
            <w:r>
              <w:rPr>
                <w:rFonts w:hint="eastAsia" w:asciiTheme="minorEastAsia" w:hAnsiTheme="minorEastAsia" w:eastAsiaTheme="minorEastAsia" w:cstheme="minorEastAsia"/>
                <w:kern w:val="0"/>
                <w:sz w:val="20"/>
                <w:szCs w:val="20"/>
              </w:rPr>
              <w:t>2021年</w:t>
            </w:r>
            <w:r>
              <w:rPr>
                <w:rFonts w:hint="eastAsia" w:asciiTheme="minorEastAsia" w:hAnsiTheme="minorEastAsia" w:eastAsiaTheme="minorEastAsia" w:cstheme="minorEastAsia"/>
                <w:kern w:val="0"/>
                <w:sz w:val="20"/>
                <w:szCs w:val="20"/>
                <w:lang w:eastAsia="zh-CN"/>
              </w:rPr>
              <w:t>我</w:t>
            </w:r>
            <w:r>
              <w:rPr>
                <w:rFonts w:hint="eastAsia" w:asciiTheme="minorEastAsia" w:hAnsiTheme="minorEastAsia" w:eastAsiaTheme="minorEastAsia" w:cstheme="minorEastAsia"/>
                <w:kern w:val="0"/>
                <w:sz w:val="20"/>
                <w:szCs w:val="20"/>
              </w:rPr>
              <w:t>单位没有政府性基金收入，也没有使用政府性基金安排的支出</w:t>
            </w:r>
            <w:r>
              <w:rPr>
                <w:rFonts w:hint="eastAsia" w:asciiTheme="minorEastAsia" w:hAnsiTheme="minorEastAsia" w:eastAsiaTheme="minorEastAsia" w:cstheme="minorEastAsia"/>
                <w:kern w:val="0"/>
                <w:sz w:val="20"/>
                <w:szCs w:val="20"/>
                <w:lang w:eastAsia="zh-CN"/>
              </w:rPr>
              <w:t>，故此表无数据。</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132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132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132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132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132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c>
          <w:tcPr>
            <w:tcW w:w="2000" w:type="dxa"/>
            <w:shd w:val="clear" w:color="auto" w:fill="auto"/>
            <w:vAlign w:val="center"/>
          </w:tcPr>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w:t>
            </w:r>
          </w:p>
        </w:tc>
      </w:tr>
    </w:tbl>
    <w:p>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注：本表反映部门本年度政府性基金预算财政拨款收入、支出及结转和结余情况</w:t>
      </w:r>
    </w:p>
    <w:p>
      <w:pPr>
        <w:widowControl/>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br w:type="page"/>
      </w:r>
    </w:p>
    <w:tbl>
      <w:tblPr>
        <w:tblStyle w:val="11"/>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hint="eastAsia" w:asciiTheme="minorEastAsia" w:hAnsiTheme="minorEastAsia" w:eastAsiaTheme="minorEastAsia" w:cstheme="minorEastAsia"/>
                <w:kern w:val="0"/>
                <w:sz w:val="32"/>
                <w:szCs w:val="32"/>
              </w:rPr>
            </w:pPr>
            <w:r>
              <w:rPr>
                <w:rFonts w:hint="eastAsia" w:asciiTheme="minorEastAsia" w:hAnsiTheme="minorEastAsia" w:eastAsiaTheme="minorEastAsia" w:cstheme="minorEastAsia"/>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lang w:eastAsia="zh-CN"/>
              </w:rPr>
              <w:t>湘乡市住房和城乡建设局</w:t>
            </w:r>
            <w:r>
              <w:rPr>
                <w:rFonts w:hint="eastAsia" w:asciiTheme="minorEastAsia" w:hAnsiTheme="minorEastAsia" w:eastAsiaTheme="minorEastAsia" w:cstheme="minorEastAsia"/>
              </w:rPr>
              <w:t>　</w:t>
            </w:r>
            <w:r>
              <w:rPr>
                <w:rFonts w:hint="eastAsia" w:asciiTheme="minorEastAsia" w:hAnsiTheme="minorEastAsia" w:eastAsiaTheme="minorEastAsia" w:cstheme="minorEastAsia"/>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hint="eastAsia" w:asciiTheme="minorEastAsia" w:hAnsiTheme="minorEastAsia" w:eastAsiaTheme="minorEastAsia" w:cstheme="minorEastAsia"/>
                <w:color w:val="000000"/>
                <w:kern w:val="0"/>
                <w:sz w:val="20"/>
                <w:szCs w:val="20"/>
              </w:rPr>
            </w:pPr>
            <w:r>
              <w:rPr>
                <w:rFonts w:hint="eastAsia" w:asciiTheme="minorEastAsia" w:hAnsiTheme="minorEastAsia" w:eastAsiaTheme="minorEastAsia" w:cstheme="minorEastAsia"/>
                <w:color w:val="000000"/>
                <w:kern w:val="0"/>
                <w:sz w:val="20"/>
                <w:szCs w:val="20"/>
              </w:rPr>
              <w:t>单位：元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项 </w:t>
            </w:r>
            <w:r>
              <w:rPr>
                <w:rFonts w:hint="eastAsia" w:asciiTheme="minorEastAsia" w:hAnsiTheme="minorEastAsia" w:eastAsiaTheme="minorEastAsia" w:cstheme="minorEastAsia"/>
                <w:color w:val="000000"/>
                <w:kern w:val="0"/>
                <w:sz w:val="22"/>
              </w:rPr>
              <w:t xml:space="preserve">   </w:t>
            </w:r>
            <w:r>
              <w:rPr>
                <w:rFonts w:hint="eastAsia" w:asciiTheme="minorEastAsia" w:hAnsiTheme="minorEastAsia" w:eastAsiaTheme="minorEastAsia" w:cstheme="minorEastAsia"/>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hint="eastAsia" w:asciiTheme="minorEastAsia" w:hAnsiTheme="minorEastAsia" w:eastAsiaTheme="minorEastAsia" w:cstheme="minorEastAsia"/>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0"/>
                <w:szCs w:val="20"/>
                <w:lang w:eastAsia="zh-CN"/>
              </w:rPr>
            </w:pPr>
            <w:r>
              <w:rPr>
                <w:rFonts w:hint="eastAsia" w:asciiTheme="minorEastAsia" w:hAnsiTheme="minorEastAsia" w:eastAsiaTheme="minorEastAsia" w:cstheme="minorEastAsia"/>
                <w:kern w:val="0"/>
                <w:sz w:val="20"/>
                <w:szCs w:val="20"/>
              </w:rPr>
              <w:t>　2021年</w:t>
            </w:r>
            <w:r>
              <w:rPr>
                <w:rFonts w:hint="eastAsia" w:asciiTheme="minorEastAsia" w:hAnsiTheme="minorEastAsia" w:eastAsiaTheme="minorEastAsia" w:cstheme="minorEastAsia"/>
                <w:kern w:val="0"/>
                <w:sz w:val="20"/>
                <w:szCs w:val="20"/>
                <w:lang w:eastAsia="zh-CN"/>
              </w:rPr>
              <w:t>我</w:t>
            </w:r>
            <w:r>
              <w:rPr>
                <w:rFonts w:hint="eastAsia" w:asciiTheme="minorEastAsia" w:hAnsiTheme="minorEastAsia" w:eastAsiaTheme="minorEastAsia" w:cstheme="minorEastAsia"/>
                <w:kern w:val="0"/>
                <w:sz w:val="20"/>
                <w:szCs w:val="20"/>
              </w:rPr>
              <w:t>单位没有</w:t>
            </w:r>
            <w:r>
              <w:rPr>
                <w:rFonts w:hint="eastAsia" w:asciiTheme="minorEastAsia" w:hAnsiTheme="minorEastAsia" w:eastAsiaTheme="minorEastAsia" w:cstheme="minorEastAsia"/>
                <w:kern w:val="0"/>
                <w:sz w:val="20"/>
                <w:szCs w:val="20"/>
                <w:lang w:eastAsia="zh-CN"/>
              </w:rPr>
              <w:t>国有资本经营预算财政拨款</w:t>
            </w:r>
            <w:r>
              <w:rPr>
                <w:rFonts w:hint="eastAsia" w:asciiTheme="minorEastAsia" w:hAnsiTheme="minorEastAsia" w:eastAsiaTheme="minorEastAsia" w:cstheme="minorEastAsia"/>
                <w:kern w:val="0"/>
                <w:sz w:val="20"/>
                <w:szCs w:val="20"/>
              </w:rPr>
              <w:t>收入，也没有使用</w:t>
            </w:r>
            <w:r>
              <w:rPr>
                <w:rFonts w:hint="eastAsia" w:asciiTheme="minorEastAsia" w:hAnsiTheme="minorEastAsia" w:eastAsiaTheme="minorEastAsia" w:cstheme="minorEastAsia"/>
                <w:kern w:val="0"/>
                <w:sz w:val="20"/>
                <w:szCs w:val="20"/>
                <w:lang w:eastAsia="zh-CN"/>
              </w:rPr>
              <w:t>国有资本经营预算财政拨款</w:t>
            </w:r>
            <w:r>
              <w:rPr>
                <w:rFonts w:hint="eastAsia" w:asciiTheme="minorEastAsia" w:hAnsiTheme="minorEastAsia" w:eastAsiaTheme="minorEastAsia" w:cstheme="minorEastAsia"/>
                <w:kern w:val="0"/>
                <w:sz w:val="20"/>
                <w:szCs w:val="20"/>
              </w:rPr>
              <w:t>安排的支出</w:t>
            </w:r>
            <w:r>
              <w:rPr>
                <w:rFonts w:hint="eastAsia" w:asciiTheme="minorEastAsia" w:hAnsiTheme="minorEastAsia" w:eastAsiaTheme="minorEastAsia" w:cstheme="minorEastAsia"/>
                <w:kern w:val="0"/>
                <w:sz w:val="20"/>
                <w:szCs w:val="20"/>
                <w:lang w:eastAsia="zh-CN"/>
              </w:rPr>
              <w:t>，故此表无数据。</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0"/>
                <w:szCs w:val="20"/>
              </w:rPr>
            </w:pPr>
            <w:r>
              <w:rPr>
                <w:rFonts w:hint="eastAsia" w:asciiTheme="minorEastAsia" w:hAnsiTheme="minorEastAsia" w:eastAsiaTheme="minorEastAsia" w:cstheme="minorEastAsia"/>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注：本表反映部门本年度国有资本经营预算财政拨款支出情况。</w:t>
            </w:r>
          </w:p>
        </w:tc>
      </w:tr>
    </w:tbl>
    <w:p>
      <w:pPr>
        <w:pStyle w:val="15"/>
        <w:rPr>
          <w:rFonts w:hint="eastAsia" w:asciiTheme="minorEastAsia" w:hAnsiTheme="minorEastAsia" w:eastAsiaTheme="minorEastAsia" w:cstheme="minorEastAsia"/>
          <w:sz w:val="72"/>
          <w:szCs w:val="72"/>
        </w:rPr>
        <w:sectPr>
          <w:pgSz w:w="16838" w:h="11906" w:orient="landscape"/>
          <w:pgMar w:top="720" w:right="720" w:bottom="720" w:left="720" w:header="851" w:footer="992" w:gutter="0"/>
          <w:cols w:space="425" w:num="1"/>
          <w:docGrid w:type="lines" w:linePitch="312" w:charSpace="0"/>
        </w:sectPr>
      </w:pPr>
    </w:p>
    <w:p>
      <w:pPr>
        <w:pStyle w:val="15"/>
        <w:jc w:val="both"/>
        <w:rPr>
          <w:rFonts w:hint="eastAsia" w:asciiTheme="minorEastAsia" w:hAnsiTheme="minorEastAsia" w:eastAsiaTheme="minorEastAsia" w:cstheme="minorEastAsia"/>
          <w:sz w:val="72"/>
          <w:szCs w:val="72"/>
        </w:rPr>
      </w:pPr>
    </w:p>
    <w:p>
      <w:pPr>
        <w:pStyle w:val="15"/>
        <w:jc w:val="both"/>
        <w:rPr>
          <w:rFonts w:hint="eastAsia" w:asciiTheme="minorEastAsia" w:hAnsiTheme="minorEastAsia" w:eastAsiaTheme="minorEastAsia" w:cstheme="minorEastAsia"/>
          <w:sz w:val="72"/>
          <w:szCs w:val="72"/>
        </w:rPr>
      </w:pPr>
    </w:p>
    <w:p>
      <w:pPr>
        <w:pStyle w:val="15"/>
        <w:jc w:val="both"/>
        <w:rPr>
          <w:rFonts w:hint="eastAsia" w:asciiTheme="minorEastAsia" w:hAnsiTheme="minorEastAsia" w:eastAsiaTheme="minorEastAsia" w:cstheme="minorEastAsia"/>
          <w:sz w:val="72"/>
          <w:szCs w:val="72"/>
        </w:rPr>
      </w:pPr>
    </w:p>
    <w:p>
      <w:pPr>
        <w:pStyle w:val="15"/>
        <w:jc w:val="both"/>
        <w:rPr>
          <w:rFonts w:hint="eastAsia" w:asciiTheme="minorEastAsia" w:hAnsiTheme="minorEastAsia" w:eastAsiaTheme="minorEastAsia" w:cstheme="minorEastAsia"/>
          <w:sz w:val="72"/>
          <w:szCs w:val="72"/>
        </w:rPr>
      </w:pPr>
    </w:p>
    <w:p>
      <w:pPr>
        <w:pStyle w:val="15"/>
        <w:jc w:val="both"/>
        <w:rPr>
          <w:rFonts w:hint="eastAsia" w:asciiTheme="minorEastAsia" w:hAnsiTheme="minorEastAsia" w:eastAsiaTheme="minorEastAsia" w:cstheme="minorEastAsia"/>
          <w:sz w:val="72"/>
          <w:szCs w:val="72"/>
        </w:rPr>
      </w:pPr>
    </w:p>
    <w:p>
      <w:pPr>
        <w:pStyle w:val="15"/>
        <w:jc w:val="both"/>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第三部分</w:t>
      </w:r>
    </w:p>
    <w:p>
      <w:pPr>
        <w:pStyle w:val="15"/>
        <w:jc w:val="center"/>
        <w:rPr>
          <w:rFonts w:hint="eastAsia" w:asciiTheme="minorEastAsia" w:hAnsiTheme="minorEastAsia" w:eastAsiaTheme="minorEastAsia" w:cstheme="minorEastAsia"/>
          <w:b/>
          <w:bCs/>
          <w:sz w:val="70"/>
          <w:szCs w:val="70"/>
        </w:rPr>
      </w:pPr>
    </w:p>
    <w:p>
      <w:pPr>
        <w:pStyle w:val="15"/>
        <w:jc w:val="center"/>
        <w:rPr>
          <w:rFonts w:hint="eastAsia" w:asciiTheme="minorEastAsia" w:hAnsiTheme="minorEastAsia" w:eastAsiaTheme="minorEastAsia" w:cstheme="minorEastAsia"/>
          <w:b/>
          <w:bCs/>
          <w:sz w:val="70"/>
          <w:szCs w:val="70"/>
        </w:rPr>
      </w:pPr>
      <w:r>
        <w:rPr>
          <w:rFonts w:hint="eastAsia" w:asciiTheme="minorEastAsia" w:hAnsiTheme="minorEastAsia" w:eastAsiaTheme="minorEastAsia" w:cstheme="minorEastAsia"/>
          <w:b/>
          <w:bCs/>
          <w:sz w:val="70"/>
          <w:szCs w:val="70"/>
        </w:rPr>
        <w:t>2021年度部门决算情况说明</w:t>
      </w:r>
    </w:p>
    <w:p>
      <w:pPr>
        <w:widowControl/>
        <w:jc w:val="left"/>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70"/>
          <w:szCs w:val="70"/>
        </w:rPr>
        <w:br w:type="page"/>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一、收入支出决算总体情况说明</w:t>
      </w:r>
    </w:p>
    <w:p>
      <w:pPr>
        <w:pStyle w:val="15"/>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2021年度收、支总计</w:t>
      </w:r>
      <w:r>
        <w:rPr>
          <w:rFonts w:hint="eastAsia" w:asciiTheme="minorEastAsia" w:hAnsiTheme="minorEastAsia" w:eastAsiaTheme="minorEastAsia" w:cstheme="minorEastAsia"/>
          <w:sz w:val="32"/>
          <w:szCs w:val="32"/>
          <w:lang w:val="en-US" w:eastAsia="zh-CN"/>
        </w:rPr>
        <w:t>4804.46</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，本年收入</w:t>
      </w:r>
      <w:r>
        <w:rPr>
          <w:rFonts w:hint="eastAsia" w:asciiTheme="minorEastAsia" w:hAnsiTheme="minorEastAsia" w:eastAsiaTheme="minorEastAsia" w:cstheme="minorEastAsia"/>
          <w:sz w:val="32"/>
          <w:szCs w:val="32"/>
          <w:lang w:val="en-US" w:eastAsia="zh-CN"/>
        </w:rPr>
        <w:t>4215.9万元，年初结转结余587.95万元</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highlight w:val="none"/>
        </w:rPr>
        <w:t>与上年相比，减少万元</w:t>
      </w:r>
      <w:r>
        <w:rPr>
          <w:rFonts w:hint="eastAsia" w:asciiTheme="minorEastAsia" w:hAnsiTheme="minorEastAsia" w:eastAsiaTheme="minorEastAsia" w:cstheme="minorEastAsia"/>
          <w:sz w:val="32"/>
          <w:szCs w:val="32"/>
          <w:highlight w:val="none"/>
          <w:lang w:val="en-US" w:eastAsia="zh-CN"/>
        </w:rPr>
        <w:t>1267.11万元</w:t>
      </w:r>
      <w:r>
        <w:rPr>
          <w:rFonts w:hint="eastAsia" w:asciiTheme="minorEastAsia" w:hAnsiTheme="minorEastAsia" w:eastAsiaTheme="minorEastAsia" w:cstheme="minorEastAsia"/>
          <w:sz w:val="32"/>
          <w:szCs w:val="32"/>
          <w:highlight w:val="none"/>
        </w:rPr>
        <w:t>，减少</w:t>
      </w:r>
      <w:r>
        <w:rPr>
          <w:rFonts w:hint="eastAsia" w:asciiTheme="minorEastAsia" w:hAnsiTheme="minorEastAsia" w:eastAsiaTheme="minorEastAsia" w:cstheme="minorEastAsia"/>
          <w:sz w:val="32"/>
          <w:szCs w:val="32"/>
          <w:highlight w:val="none"/>
          <w:lang w:val="en-US" w:eastAsia="zh-CN"/>
        </w:rPr>
        <w:t>20.87</w:t>
      </w:r>
      <w:r>
        <w:rPr>
          <w:rFonts w:hint="eastAsia" w:asciiTheme="minorEastAsia" w:hAnsiTheme="minorEastAsia" w:eastAsiaTheme="minorEastAsia" w:cstheme="minorEastAsia"/>
          <w:sz w:val="32"/>
          <w:szCs w:val="32"/>
          <w:highlight w:val="none"/>
        </w:rPr>
        <w:t>%，主要是因为</w:t>
      </w:r>
      <w:r>
        <w:rPr>
          <w:rFonts w:hint="eastAsia" w:asciiTheme="minorEastAsia" w:hAnsiTheme="minorEastAsia" w:eastAsiaTheme="minorEastAsia" w:cstheme="minorEastAsia"/>
          <w:sz w:val="32"/>
          <w:szCs w:val="32"/>
          <w:highlight w:val="none"/>
          <w:lang w:eastAsia="zh-CN"/>
        </w:rPr>
        <w:t>本年收入减少</w:t>
      </w:r>
      <w:r>
        <w:rPr>
          <w:rFonts w:hint="eastAsia" w:asciiTheme="minorEastAsia" w:hAnsiTheme="minorEastAsia" w:eastAsiaTheme="minorEastAsia" w:cstheme="minorEastAsia"/>
          <w:sz w:val="32"/>
          <w:szCs w:val="32"/>
          <w:highlight w:val="none"/>
          <w:lang w:val="en-US" w:eastAsia="zh-CN"/>
        </w:rPr>
        <w:t>948.38万元，年初结转结余减少319.33万元。</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二、收入决算情况说明</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2021年度收入合计</w:t>
      </w:r>
      <w:r>
        <w:rPr>
          <w:rFonts w:hint="eastAsia" w:asciiTheme="minorEastAsia" w:hAnsiTheme="minorEastAsia" w:eastAsiaTheme="minorEastAsia" w:cstheme="minorEastAsia"/>
          <w:sz w:val="32"/>
          <w:szCs w:val="32"/>
          <w:lang w:val="en-US" w:eastAsia="zh-CN"/>
        </w:rPr>
        <w:t>4215.9</w:t>
      </w:r>
      <w:r>
        <w:rPr>
          <w:rFonts w:hint="eastAsia" w:asciiTheme="minorEastAsia" w:hAnsiTheme="minorEastAsia" w:eastAsiaTheme="minorEastAsia" w:cstheme="minorEastAsia"/>
          <w:sz w:val="32"/>
          <w:szCs w:val="32"/>
        </w:rPr>
        <w:t>万元，其中：财政拨款收入</w:t>
      </w:r>
      <w:r>
        <w:rPr>
          <w:rFonts w:hint="eastAsia" w:asciiTheme="minorEastAsia" w:hAnsiTheme="minorEastAsia" w:eastAsiaTheme="minorEastAsia" w:cstheme="minorEastAsia"/>
          <w:sz w:val="32"/>
          <w:szCs w:val="32"/>
          <w:lang w:val="en-US" w:eastAsia="zh-CN"/>
        </w:rPr>
        <w:t>4146.33</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98</w:t>
      </w:r>
      <w:r>
        <w:rPr>
          <w:rFonts w:hint="eastAsia" w:asciiTheme="minorEastAsia" w:hAnsiTheme="minorEastAsia" w:eastAsiaTheme="minorEastAsia" w:cstheme="minorEastAsia"/>
          <w:sz w:val="32"/>
          <w:szCs w:val="32"/>
        </w:rPr>
        <w:t>%。</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三、支出决算情况说明</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2021年度支出合计</w:t>
      </w:r>
      <w:r>
        <w:rPr>
          <w:rFonts w:hint="eastAsia" w:asciiTheme="minorEastAsia" w:hAnsiTheme="minorEastAsia" w:eastAsiaTheme="minorEastAsia" w:cstheme="minorEastAsia"/>
          <w:sz w:val="32"/>
          <w:szCs w:val="32"/>
          <w:lang w:val="en-US" w:eastAsia="zh-CN"/>
        </w:rPr>
        <w:t>4338.42</w:t>
      </w:r>
      <w:r>
        <w:rPr>
          <w:rFonts w:hint="eastAsia" w:asciiTheme="minorEastAsia" w:hAnsiTheme="minorEastAsia" w:eastAsiaTheme="minorEastAsia" w:cstheme="minorEastAsia"/>
          <w:sz w:val="32"/>
          <w:szCs w:val="32"/>
        </w:rPr>
        <w:t>万元，其中：基本支出</w:t>
      </w:r>
      <w:r>
        <w:rPr>
          <w:rFonts w:hint="eastAsia" w:asciiTheme="minorEastAsia" w:hAnsiTheme="minorEastAsia" w:eastAsiaTheme="minorEastAsia" w:cstheme="minorEastAsia"/>
          <w:sz w:val="32"/>
          <w:szCs w:val="32"/>
          <w:lang w:val="en-US" w:eastAsia="zh-CN"/>
        </w:rPr>
        <w:t>2812.02</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64.82</w:t>
      </w:r>
      <w:r>
        <w:rPr>
          <w:rFonts w:hint="eastAsia" w:asciiTheme="minorEastAsia" w:hAnsiTheme="minorEastAsia" w:eastAsiaTheme="minorEastAsia" w:cstheme="minorEastAsia"/>
          <w:sz w:val="32"/>
          <w:szCs w:val="32"/>
        </w:rPr>
        <w:t>%；项目支出</w:t>
      </w:r>
      <w:r>
        <w:rPr>
          <w:rFonts w:hint="eastAsia" w:asciiTheme="minorEastAsia" w:hAnsiTheme="minorEastAsia" w:eastAsiaTheme="minorEastAsia" w:cstheme="minorEastAsia"/>
          <w:sz w:val="32"/>
          <w:szCs w:val="32"/>
          <w:lang w:val="en-US" w:eastAsia="zh-CN"/>
        </w:rPr>
        <w:t>1526.4</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35.18</w:t>
      </w:r>
      <w:r>
        <w:rPr>
          <w:rFonts w:hint="eastAsia" w:asciiTheme="minorEastAsia" w:hAnsiTheme="minorEastAsia" w:eastAsiaTheme="minorEastAsia" w:cstheme="minorEastAsia"/>
          <w:sz w:val="32"/>
          <w:szCs w:val="32"/>
        </w:rPr>
        <w:t>%。</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四、财政拨款收入支出决算总体情况说明</w:t>
      </w:r>
    </w:p>
    <w:p>
      <w:pPr>
        <w:pStyle w:val="15"/>
        <w:rPr>
          <w:rFonts w:hint="eastAsia" w:asciiTheme="minorEastAsia" w:hAnsiTheme="minorEastAsia" w:eastAsiaTheme="minorEastAsia" w:cstheme="minorEastAsia"/>
          <w:sz w:val="32"/>
          <w:szCs w:val="32"/>
          <w:highlight w:val="yellow"/>
          <w:lang w:eastAsia="zh-CN"/>
        </w:rPr>
      </w:pPr>
      <w:r>
        <w:rPr>
          <w:rFonts w:hint="eastAsia" w:asciiTheme="minorEastAsia" w:hAnsiTheme="minorEastAsia" w:eastAsiaTheme="minorEastAsia" w:cstheme="minorEastAsia"/>
          <w:sz w:val="32"/>
          <w:szCs w:val="32"/>
        </w:rPr>
        <w:t xml:space="preserve">    2021年度财政拨款收、支总计</w:t>
      </w:r>
      <w:r>
        <w:rPr>
          <w:rFonts w:hint="eastAsia" w:asciiTheme="minorEastAsia" w:hAnsiTheme="minorEastAsia" w:eastAsiaTheme="minorEastAsia" w:cstheme="minorEastAsia"/>
          <w:sz w:val="32"/>
          <w:szCs w:val="32"/>
          <w:lang w:val="en-US" w:eastAsia="zh-CN"/>
        </w:rPr>
        <w:t>4804.46</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highlight w:val="none"/>
        </w:rPr>
        <w:t>与上年相比，减少</w:t>
      </w:r>
      <w:r>
        <w:rPr>
          <w:rFonts w:hint="eastAsia" w:asciiTheme="minorEastAsia" w:hAnsiTheme="minorEastAsia" w:eastAsiaTheme="minorEastAsia" w:cstheme="minorEastAsia"/>
          <w:sz w:val="32"/>
          <w:szCs w:val="32"/>
          <w:highlight w:val="none"/>
          <w:lang w:val="en-US" w:eastAsia="zh-CN"/>
        </w:rPr>
        <w:t>1267.11</w:t>
      </w:r>
      <w:r>
        <w:rPr>
          <w:rFonts w:hint="eastAsia" w:asciiTheme="minorEastAsia" w:hAnsiTheme="minorEastAsia" w:eastAsiaTheme="minorEastAsia" w:cstheme="minorEastAsia"/>
          <w:sz w:val="32"/>
          <w:szCs w:val="32"/>
          <w:highlight w:val="none"/>
        </w:rPr>
        <w:t>万元,减少</w:t>
      </w:r>
      <w:r>
        <w:rPr>
          <w:rFonts w:hint="eastAsia" w:asciiTheme="minorEastAsia" w:hAnsiTheme="minorEastAsia" w:eastAsiaTheme="minorEastAsia" w:cstheme="minorEastAsia"/>
          <w:sz w:val="32"/>
          <w:szCs w:val="32"/>
          <w:highlight w:val="none"/>
          <w:lang w:val="en-US" w:eastAsia="zh-CN"/>
        </w:rPr>
        <w:t>20.87</w:t>
      </w:r>
      <w:r>
        <w:rPr>
          <w:rFonts w:hint="eastAsia" w:asciiTheme="minorEastAsia" w:hAnsiTheme="minorEastAsia" w:eastAsiaTheme="minorEastAsia" w:cstheme="minorEastAsia"/>
          <w:sz w:val="32"/>
          <w:szCs w:val="32"/>
          <w:highlight w:val="none"/>
        </w:rPr>
        <w:t>%，主要是因为</w:t>
      </w:r>
      <w:r>
        <w:rPr>
          <w:rFonts w:hint="eastAsia" w:asciiTheme="minorEastAsia" w:hAnsiTheme="minorEastAsia" w:eastAsiaTheme="minorEastAsia" w:cstheme="minorEastAsia"/>
          <w:sz w:val="32"/>
          <w:szCs w:val="32"/>
          <w:highlight w:val="none"/>
          <w:lang w:eastAsia="zh-CN"/>
        </w:rPr>
        <w:t>本年政府性基金预算财政拨款与上年相比减少</w:t>
      </w:r>
      <w:r>
        <w:rPr>
          <w:rFonts w:hint="eastAsia" w:asciiTheme="minorEastAsia" w:hAnsiTheme="minorEastAsia" w:eastAsiaTheme="minorEastAsia" w:cstheme="minorEastAsia"/>
          <w:sz w:val="32"/>
          <w:szCs w:val="32"/>
          <w:highlight w:val="none"/>
          <w:lang w:val="en-US" w:eastAsia="zh-CN"/>
        </w:rPr>
        <w:t>100%，一般公共预算财政拨款与上年相比减少693.62万元</w:t>
      </w:r>
      <w:r>
        <w:rPr>
          <w:rFonts w:hint="eastAsia" w:asciiTheme="minorEastAsia" w:hAnsiTheme="minorEastAsia" w:eastAsiaTheme="minorEastAsia" w:cstheme="minorEastAsia"/>
          <w:sz w:val="32"/>
          <w:szCs w:val="32"/>
          <w:highlight w:val="none"/>
          <w:lang w:eastAsia="zh-CN"/>
        </w:rPr>
        <w:t>。</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五、一般公共预算财政拨款支出决算情况说明</w:t>
      </w:r>
    </w:p>
    <w:p>
      <w:pPr>
        <w:pStyle w:val="15"/>
        <w:ind w:firstLine="640" w:firstLineChars="200"/>
        <w:rPr>
          <w:rFonts w:hint="eastAsia" w:asciiTheme="minorEastAsia" w:hAnsiTheme="minorEastAsia" w:eastAsiaTheme="minorEastAsia" w:cstheme="minorEastAsia"/>
          <w:b/>
          <w:color w:val="0000FF"/>
          <w:sz w:val="32"/>
          <w:szCs w:val="32"/>
        </w:rPr>
      </w:pPr>
      <w:r>
        <w:rPr>
          <w:rFonts w:hint="eastAsia" w:asciiTheme="minorEastAsia" w:hAnsiTheme="minorEastAsia" w:eastAsiaTheme="minorEastAsia" w:cstheme="minorEastAsia"/>
          <w:b/>
          <w:sz w:val="32"/>
          <w:szCs w:val="32"/>
        </w:rPr>
        <w:t>（一）财政拨款支出决算总体情</w:t>
      </w:r>
      <w:r>
        <w:rPr>
          <w:rFonts w:hint="eastAsia" w:asciiTheme="minorEastAsia" w:hAnsiTheme="minorEastAsia" w:eastAsiaTheme="minorEastAsia" w:cstheme="minorEastAsia"/>
          <w:b/>
          <w:color w:val="auto"/>
          <w:sz w:val="32"/>
          <w:szCs w:val="32"/>
        </w:rPr>
        <w:t>况</w:t>
      </w:r>
    </w:p>
    <w:p>
      <w:pPr>
        <w:pStyle w:val="15"/>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2021年度财政拨款支出</w:t>
      </w:r>
      <w:r>
        <w:rPr>
          <w:rFonts w:hint="eastAsia" w:asciiTheme="minorEastAsia" w:hAnsiTheme="minorEastAsia" w:eastAsiaTheme="minorEastAsia" w:cstheme="minorEastAsia"/>
          <w:sz w:val="32"/>
          <w:szCs w:val="32"/>
          <w:lang w:val="en-US" w:eastAsia="zh-CN"/>
        </w:rPr>
        <w:t>4146.33</w:t>
      </w:r>
      <w:r>
        <w:rPr>
          <w:rFonts w:hint="eastAsia" w:asciiTheme="minorEastAsia" w:hAnsiTheme="minorEastAsia" w:eastAsiaTheme="minorEastAsia" w:cstheme="minorEastAsia"/>
          <w:sz w:val="32"/>
          <w:szCs w:val="32"/>
        </w:rPr>
        <w:t>元，占本年支出合计的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%，与上年相比，财政拨款支出减少</w:t>
      </w:r>
      <w:r>
        <w:rPr>
          <w:rFonts w:hint="eastAsia" w:asciiTheme="minorEastAsia" w:hAnsiTheme="minorEastAsia" w:eastAsiaTheme="minorEastAsia" w:cstheme="minorEastAsia"/>
          <w:sz w:val="32"/>
          <w:szCs w:val="32"/>
          <w:lang w:val="en-US" w:eastAsia="zh-CN"/>
        </w:rPr>
        <w:t>648.74</w:t>
      </w:r>
      <w:r>
        <w:rPr>
          <w:rFonts w:hint="eastAsia" w:asciiTheme="minorEastAsia" w:hAnsiTheme="minorEastAsia" w:eastAsiaTheme="minorEastAsia" w:cstheme="minorEastAsia"/>
          <w:sz w:val="32"/>
          <w:szCs w:val="32"/>
        </w:rPr>
        <w:t>万元，减</w:t>
      </w:r>
      <w:r>
        <w:rPr>
          <w:rFonts w:hint="eastAsia" w:asciiTheme="minorEastAsia" w:hAnsiTheme="minorEastAsia" w:eastAsiaTheme="minorEastAsia" w:cstheme="minorEastAsia"/>
          <w:sz w:val="32"/>
          <w:szCs w:val="32"/>
          <w:lang w:eastAsia="zh-CN"/>
        </w:rPr>
        <w:t>少</w:t>
      </w:r>
      <w:r>
        <w:rPr>
          <w:rFonts w:hint="eastAsia" w:asciiTheme="minorEastAsia" w:hAnsiTheme="minorEastAsia" w:eastAsiaTheme="minorEastAsia" w:cstheme="minorEastAsia"/>
          <w:sz w:val="32"/>
          <w:szCs w:val="32"/>
          <w:lang w:val="en-US" w:eastAsia="zh-CN"/>
        </w:rPr>
        <w:t>13.53</w:t>
      </w:r>
      <w:r>
        <w:rPr>
          <w:rFonts w:hint="eastAsia" w:asciiTheme="minorEastAsia" w:hAnsiTheme="minorEastAsia" w:eastAsiaTheme="minorEastAsia" w:cstheme="minorEastAsia"/>
          <w:sz w:val="32"/>
          <w:szCs w:val="32"/>
        </w:rPr>
        <w:t>%，主要是因为</w:t>
      </w:r>
      <w:r>
        <w:rPr>
          <w:rFonts w:hint="eastAsia" w:asciiTheme="minorEastAsia" w:hAnsiTheme="minorEastAsia" w:eastAsiaTheme="minorEastAsia" w:cstheme="minorEastAsia"/>
          <w:sz w:val="32"/>
          <w:szCs w:val="32"/>
          <w:lang w:eastAsia="zh-CN"/>
        </w:rPr>
        <w:t>本年政府性基金预算财政拨款与上年相比减少</w:t>
      </w:r>
      <w:r>
        <w:rPr>
          <w:rFonts w:hint="eastAsia" w:asciiTheme="minorEastAsia" w:hAnsiTheme="minorEastAsia" w:eastAsiaTheme="minorEastAsia" w:cstheme="minorEastAsia"/>
          <w:sz w:val="32"/>
          <w:szCs w:val="32"/>
          <w:lang w:val="en-US" w:eastAsia="zh-CN"/>
        </w:rPr>
        <w:t>100%，一般公共预算财政拨款与上年相比减少548.74万元</w:t>
      </w:r>
      <w:r>
        <w:rPr>
          <w:rFonts w:hint="eastAsia" w:asciiTheme="minorEastAsia" w:hAnsiTheme="minorEastAsia" w:eastAsiaTheme="minorEastAsia" w:cstheme="minorEastAsia"/>
          <w:sz w:val="32"/>
          <w:szCs w:val="32"/>
          <w:lang w:eastAsia="zh-CN"/>
        </w:rPr>
        <w:t>。</w:t>
      </w:r>
    </w:p>
    <w:p>
      <w:pPr>
        <w:pStyle w:val="15"/>
        <w:ind w:firstLine="480" w:firstLineChars="15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（二）财政拨款支出决算结构情况</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2021年度财政拨款支出</w:t>
      </w:r>
      <w:r>
        <w:rPr>
          <w:rFonts w:hint="eastAsia" w:asciiTheme="minorEastAsia" w:hAnsiTheme="minorEastAsia" w:eastAsiaTheme="minorEastAsia" w:cstheme="minorEastAsia"/>
          <w:sz w:val="32"/>
          <w:szCs w:val="32"/>
          <w:lang w:val="en-US" w:eastAsia="zh-CN"/>
        </w:rPr>
        <w:t>4146.33</w:t>
      </w:r>
      <w:r>
        <w:rPr>
          <w:rFonts w:hint="eastAsia" w:asciiTheme="minorEastAsia" w:hAnsiTheme="minorEastAsia" w:eastAsiaTheme="minorEastAsia" w:cstheme="minorEastAsia"/>
          <w:sz w:val="32"/>
          <w:szCs w:val="32"/>
        </w:rPr>
        <w:t>万元，主要用于以下方面：一般公共服务（类）支出</w:t>
      </w:r>
      <w:r>
        <w:rPr>
          <w:rFonts w:hint="eastAsia" w:asciiTheme="minorEastAsia" w:hAnsiTheme="minorEastAsia" w:eastAsiaTheme="minorEastAsia" w:cstheme="minorEastAsia"/>
          <w:sz w:val="32"/>
          <w:szCs w:val="32"/>
          <w:lang w:val="en-US" w:eastAsia="zh-CN"/>
        </w:rPr>
        <w:t>30.43</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0.73</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社会保障和就业支出</w:t>
      </w:r>
      <w:r>
        <w:rPr>
          <w:rFonts w:hint="eastAsia" w:asciiTheme="minorEastAsia" w:hAnsiTheme="minorEastAsia" w:eastAsiaTheme="minorEastAsia" w:cstheme="minorEastAsia"/>
          <w:sz w:val="32"/>
          <w:szCs w:val="32"/>
          <w:lang w:val="en-US" w:eastAsia="zh-CN"/>
        </w:rPr>
        <w:t>305.78</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7.37</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卫生健康支出</w:t>
      </w:r>
      <w:r>
        <w:rPr>
          <w:rFonts w:hint="eastAsia" w:asciiTheme="minorEastAsia" w:hAnsiTheme="minorEastAsia" w:eastAsiaTheme="minorEastAsia" w:cstheme="minorEastAsia"/>
          <w:sz w:val="32"/>
          <w:szCs w:val="32"/>
          <w:lang w:val="en-US" w:eastAsia="zh-CN"/>
        </w:rPr>
        <w:t>109.34万元，占2.64%；节能环保支出200万元，占4.82%；城乡社区支出3298.28万元，占79.55%；住房保障支出202.51万元，占4.88%。</w:t>
      </w:r>
    </w:p>
    <w:p>
      <w:pPr>
        <w:pStyle w:val="15"/>
        <w:ind w:firstLine="800" w:firstLineChars="25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（三）财政拨款支出决算具体情况</w:t>
      </w:r>
    </w:p>
    <w:p>
      <w:pPr>
        <w:pStyle w:val="15"/>
        <w:ind w:firstLine="800" w:firstLineChars="2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2021年度财政拨款支出年初预算数为</w:t>
      </w:r>
      <w:r>
        <w:rPr>
          <w:rFonts w:hint="eastAsia" w:asciiTheme="minorEastAsia" w:hAnsiTheme="minorEastAsia" w:eastAsiaTheme="minorEastAsia" w:cstheme="minorEastAsia"/>
          <w:sz w:val="32"/>
          <w:szCs w:val="32"/>
          <w:u w:val="none"/>
          <w:lang w:val="en-US" w:eastAsia="zh-CN"/>
        </w:rPr>
        <w:t>3101.75</w:t>
      </w:r>
      <w:r>
        <w:rPr>
          <w:rFonts w:hint="eastAsia" w:asciiTheme="minorEastAsia" w:hAnsiTheme="minorEastAsia" w:eastAsiaTheme="minorEastAsia" w:cstheme="minorEastAsia"/>
          <w:sz w:val="32"/>
          <w:szCs w:val="32"/>
        </w:rPr>
        <w:t>万元，支出决算数为</w:t>
      </w:r>
      <w:r>
        <w:rPr>
          <w:rFonts w:hint="eastAsia" w:asciiTheme="minorEastAsia" w:hAnsiTheme="minorEastAsia" w:eastAsiaTheme="minorEastAsia" w:cstheme="minorEastAsia"/>
          <w:sz w:val="32"/>
          <w:szCs w:val="32"/>
          <w:lang w:val="en-US" w:eastAsia="zh-CN"/>
        </w:rPr>
        <w:t>4146.33</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133.68</w:t>
      </w:r>
      <w:r>
        <w:rPr>
          <w:rFonts w:hint="eastAsia" w:asciiTheme="minorEastAsia" w:hAnsiTheme="minorEastAsia" w:eastAsiaTheme="minorEastAsia" w:cstheme="minorEastAsia"/>
          <w:sz w:val="32"/>
          <w:szCs w:val="32"/>
        </w:rPr>
        <w:t>%，其中：</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1、社会保障和就业支出。</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年初预算为</w:t>
      </w:r>
      <w:r>
        <w:rPr>
          <w:rFonts w:hint="eastAsia" w:asciiTheme="minorEastAsia" w:hAnsiTheme="minorEastAsia" w:eastAsiaTheme="minorEastAsia" w:cstheme="minorEastAsia"/>
          <w:sz w:val="32"/>
          <w:szCs w:val="32"/>
          <w:u w:val="none"/>
          <w:lang w:val="en-US" w:eastAsia="zh-CN"/>
        </w:rPr>
        <w:t>260.79</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305.78</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117.25</w:t>
      </w:r>
      <w:r>
        <w:rPr>
          <w:rFonts w:hint="eastAsia" w:asciiTheme="minorEastAsia" w:hAnsiTheme="minorEastAsia" w:eastAsiaTheme="minorEastAsia" w:cstheme="minorEastAsia"/>
          <w:sz w:val="32"/>
          <w:szCs w:val="32"/>
        </w:rPr>
        <w:t>%，决算数大于年初预算数的主要原因是：</w:t>
      </w:r>
      <w:r>
        <w:rPr>
          <w:rFonts w:hint="eastAsia" w:asciiTheme="minorEastAsia" w:hAnsiTheme="minorEastAsia" w:eastAsiaTheme="minorEastAsia" w:cstheme="minorEastAsia"/>
          <w:sz w:val="32"/>
          <w:szCs w:val="32"/>
          <w:lang w:eastAsia="zh-CN"/>
        </w:rPr>
        <w:t>每年人员工资调增，导致社会保障和就业支出相应增加。</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2、卫生健康支出。</w:t>
      </w:r>
    </w:p>
    <w:p>
      <w:pPr>
        <w:pStyle w:val="15"/>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年初预算为</w:t>
      </w:r>
      <w:r>
        <w:rPr>
          <w:rFonts w:hint="eastAsia" w:asciiTheme="minorEastAsia" w:hAnsiTheme="minorEastAsia" w:eastAsiaTheme="minorEastAsia" w:cstheme="minorEastAsia"/>
          <w:sz w:val="32"/>
          <w:szCs w:val="32"/>
          <w:u w:val="none"/>
          <w:lang w:val="en-US" w:eastAsia="zh-CN"/>
        </w:rPr>
        <w:t>111.49</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109.34</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98</w:t>
      </w:r>
      <w:r>
        <w:rPr>
          <w:rFonts w:hint="eastAsia" w:asciiTheme="minorEastAsia" w:hAnsiTheme="minorEastAsia" w:eastAsiaTheme="minorEastAsia" w:cstheme="minorEastAsia"/>
          <w:sz w:val="32"/>
          <w:szCs w:val="32"/>
        </w:rPr>
        <w:t>%，决算数</w:t>
      </w:r>
      <w:r>
        <w:rPr>
          <w:rFonts w:hint="eastAsia" w:asciiTheme="minorEastAsia" w:hAnsiTheme="minorEastAsia" w:eastAsiaTheme="minorEastAsia" w:cstheme="minorEastAsia"/>
          <w:sz w:val="32"/>
          <w:szCs w:val="32"/>
          <w:lang w:eastAsia="zh-CN"/>
        </w:rPr>
        <w:t>与</w:t>
      </w:r>
      <w:r>
        <w:rPr>
          <w:rFonts w:hint="eastAsia" w:asciiTheme="minorEastAsia" w:hAnsiTheme="minorEastAsia" w:eastAsiaTheme="minorEastAsia" w:cstheme="minorEastAsia"/>
          <w:sz w:val="32"/>
          <w:szCs w:val="32"/>
        </w:rPr>
        <w:t>年初预算数</w:t>
      </w:r>
      <w:r>
        <w:rPr>
          <w:rFonts w:hint="eastAsia" w:asciiTheme="minorEastAsia" w:hAnsiTheme="minorEastAsia" w:eastAsiaTheme="minorEastAsia" w:cstheme="minorEastAsia"/>
          <w:sz w:val="32"/>
          <w:szCs w:val="32"/>
          <w:lang w:val="en-US" w:eastAsia="zh-CN"/>
        </w:rPr>
        <w:t>基本</w:t>
      </w:r>
      <w:r>
        <w:rPr>
          <w:rFonts w:hint="eastAsia" w:asciiTheme="minorEastAsia" w:hAnsiTheme="minorEastAsia" w:eastAsiaTheme="minorEastAsia" w:cstheme="minorEastAsia"/>
          <w:sz w:val="32"/>
          <w:szCs w:val="32"/>
          <w:lang w:eastAsia="zh-CN"/>
        </w:rPr>
        <w:t>持平。</w:t>
      </w:r>
    </w:p>
    <w:p>
      <w:pPr>
        <w:pStyle w:val="15"/>
        <w:numPr>
          <w:ilvl w:val="0"/>
          <w:numId w:val="0"/>
        </w:num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3、节能环保支出。</w:t>
      </w:r>
    </w:p>
    <w:p>
      <w:pPr>
        <w:pStyle w:val="15"/>
        <w:numPr>
          <w:ilvl w:val="0"/>
          <w:numId w:val="0"/>
        </w:num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年初预算为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200</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%，决算数大于年初预算数的主要原因是：</w:t>
      </w:r>
      <w:r>
        <w:rPr>
          <w:rFonts w:hint="eastAsia" w:asciiTheme="minorEastAsia" w:hAnsiTheme="minorEastAsia" w:eastAsiaTheme="minorEastAsia" w:cstheme="minorEastAsia"/>
          <w:sz w:val="32"/>
          <w:szCs w:val="32"/>
          <w:lang w:eastAsia="zh-CN"/>
        </w:rPr>
        <w:t>年中追加环保督</w:t>
      </w:r>
      <w:r>
        <w:rPr>
          <w:rFonts w:hint="eastAsia" w:asciiTheme="minorEastAsia" w:hAnsiTheme="minorEastAsia" w:eastAsiaTheme="minorEastAsia" w:cstheme="minorEastAsia"/>
          <w:sz w:val="32"/>
          <w:szCs w:val="32"/>
          <w:lang w:val="en-US" w:eastAsia="zh-CN"/>
        </w:rPr>
        <w:t>察</w:t>
      </w:r>
      <w:r>
        <w:rPr>
          <w:rFonts w:hint="eastAsia" w:asciiTheme="minorEastAsia" w:hAnsiTheme="minorEastAsia" w:eastAsiaTheme="minorEastAsia" w:cstheme="minorEastAsia"/>
          <w:sz w:val="32"/>
          <w:szCs w:val="32"/>
          <w:lang w:eastAsia="zh-CN"/>
        </w:rPr>
        <w:t>项目整治工作，导致该项开支增加。</w:t>
      </w:r>
    </w:p>
    <w:p>
      <w:pPr>
        <w:pStyle w:val="15"/>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4、城乡社区支出。</w:t>
      </w:r>
    </w:p>
    <w:p>
      <w:pPr>
        <w:pStyle w:val="15"/>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年初预算为</w:t>
      </w:r>
      <w:r>
        <w:rPr>
          <w:rFonts w:hint="eastAsia" w:asciiTheme="minorEastAsia" w:hAnsiTheme="minorEastAsia" w:eastAsiaTheme="minorEastAsia" w:cstheme="minorEastAsia"/>
          <w:sz w:val="32"/>
          <w:szCs w:val="32"/>
          <w:u w:val="none"/>
          <w:lang w:val="en-US" w:eastAsia="zh-CN"/>
        </w:rPr>
        <w:t>2523.97</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3298.28</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130.68</w:t>
      </w:r>
      <w:r>
        <w:rPr>
          <w:rFonts w:hint="eastAsia" w:asciiTheme="minorEastAsia" w:hAnsiTheme="minorEastAsia" w:eastAsiaTheme="minorEastAsia" w:cstheme="minorEastAsia"/>
          <w:sz w:val="32"/>
          <w:szCs w:val="32"/>
        </w:rPr>
        <w:t>%，决算数大于年初预算数的主要原因是：</w:t>
      </w:r>
      <w:r>
        <w:rPr>
          <w:rFonts w:hint="eastAsia" w:asciiTheme="minorEastAsia" w:hAnsiTheme="minorEastAsia" w:eastAsiaTheme="minorEastAsia" w:cstheme="minorEastAsia"/>
          <w:sz w:val="32"/>
          <w:szCs w:val="32"/>
          <w:lang w:eastAsia="zh-CN"/>
        </w:rPr>
        <w:t>城乡社区专项未纳入部门预算支出，年中追加城乡社区专项项目，导致该项开支增加。</w:t>
      </w:r>
    </w:p>
    <w:p>
      <w:pPr>
        <w:pStyle w:val="15"/>
        <w:numPr>
          <w:ilvl w:val="0"/>
          <w:numId w:val="0"/>
        </w:numPr>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5、住房保障支出。</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年初预算为</w:t>
      </w:r>
      <w:r>
        <w:rPr>
          <w:rFonts w:hint="eastAsia" w:asciiTheme="minorEastAsia" w:hAnsiTheme="minorEastAsia" w:eastAsiaTheme="minorEastAsia" w:cstheme="minorEastAsia"/>
          <w:sz w:val="32"/>
          <w:szCs w:val="32"/>
          <w:lang w:val="en-US" w:eastAsia="zh-CN"/>
        </w:rPr>
        <w:t>205.51</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202.51</w:t>
      </w:r>
      <w:r>
        <w:rPr>
          <w:rFonts w:hint="eastAsia" w:asciiTheme="minorEastAsia" w:hAnsiTheme="minorEastAsia" w:eastAsiaTheme="minorEastAsia" w:cstheme="minorEastAsia"/>
          <w:sz w:val="32"/>
          <w:szCs w:val="32"/>
        </w:rPr>
        <w:t>万元，完成年初预算的</w:t>
      </w:r>
      <w:r>
        <w:rPr>
          <w:rFonts w:hint="eastAsia" w:asciiTheme="minorEastAsia" w:hAnsiTheme="minorEastAsia" w:eastAsiaTheme="minorEastAsia" w:cstheme="minorEastAsia"/>
          <w:sz w:val="32"/>
          <w:szCs w:val="32"/>
          <w:lang w:val="en-US" w:eastAsia="zh-CN"/>
        </w:rPr>
        <w:t>99</w:t>
      </w:r>
      <w:r>
        <w:rPr>
          <w:rFonts w:hint="eastAsia" w:asciiTheme="minorEastAsia" w:hAnsiTheme="minorEastAsia" w:eastAsiaTheme="minorEastAsia" w:cstheme="minorEastAsia"/>
          <w:sz w:val="32"/>
          <w:szCs w:val="32"/>
        </w:rPr>
        <w:t>%，决算数</w:t>
      </w:r>
      <w:r>
        <w:rPr>
          <w:rFonts w:hint="eastAsia" w:asciiTheme="minorEastAsia" w:hAnsiTheme="minorEastAsia" w:eastAsiaTheme="minorEastAsia" w:cstheme="minorEastAsia"/>
          <w:sz w:val="32"/>
          <w:szCs w:val="32"/>
          <w:lang w:eastAsia="zh-CN"/>
        </w:rPr>
        <w:t>与</w:t>
      </w:r>
      <w:r>
        <w:rPr>
          <w:rFonts w:hint="eastAsia" w:asciiTheme="minorEastAsia" w:hAnsiTheme="minorEastAsia" w:eastAsiaTheme="minorEastAsia" w:cstheme="minorEastAsia"/>
          <w:sz w:val="32"/>
          <w:szCs w:val="32"/>
        </w:rPr>
        <w:t>年初预算数</w:t>
      </w:r>
      <w:r>
        <w:rPr>
          <w:rFonts w:hint="eastAsia" w:asciiTheme="minorEastAsia" w:hAnsiTheme="minorEastAsia" w:eastAsiaTheme="minorEastAsia" w:cstheme="minorEastAsia"/>
          <w:sz w:val="32"/>
          <w:szCs w:val="32"/>
          <w:lang w:val="en-US" w:eastAsia="zh-CN"/>
        </w:rPr>
        <w:t>基本</w:t>
      </w:r>
      <w:r>
        <w:rPr>
          <w:rFonts w:hint="eastAsia" w:asciiTheme="minorEastAsia" w:hAnsiTheme="minorEastAsia" w:eastAsiaTheme="minorEastAsia" w:cstheme="minorEastAsia"/>
          <w:sz w:val="32"/>
          <w:szCs w:val="32"/>
          <w:lang w:eastAsia="zh-CN"/>
        </w:rPr>
        <w:t>持平。</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六、一般公共预算财政拨款基本支出决算情况说明</w:t>
      </w:r>
    </w:p>
    <w:p>
      <w:pPr>
        <w:pStyle w:val="15"/>
        <w:ind w:firstLine="640" w:firstLineChars="200"/>
        <w:rPr>
          <w:rFonts w:hint="eastAsia" w:asciiTheme="minorEastAsia" w:hAnsiTheme="minorEastAsia" w:eastAsiaTheme="minorEastAsia" w:cstheme="minorEastAsia"/>
          <w:i/>
          <w:color w:val="FF0000"/>
          <w:sz w:val="32"/>
          <w:szCs w:val="32"/>
        </w:rPr>
      </w:pPr>
      <w:r>
        <w:rPr>
          <w:rFonts w:hint="eastAsia" w:asciiTheme="minorEastAsia" w:hAnsiTheme="minorEastAsia" w:eastAsiaTheme="minorEastAsia" w:cstheme="minorEastAsia"/>
          <w:sz w:val="32"/>
          <w:szCs w:val="32"/>
        </w:rPr>
        <w:t>2021年度财政拨款基本支出</w:t>
      </w:r>
      <w:r>
        <w:rPr>
          <w:rFonts w:hint="eastAsia" w:asciiTheme="minorEastAsia" w:hAnsiTheme="minorEastAsia" w:eastAsiaTheme="minorEastAsia" w:cstheme="minorEastAsia"/>
          <w:sz w:val="32"/>
          <w:szCs w:val="32"/>
          <w:lang w:val="en-US" w:eastAsia="zh-CN"/>
        </w:rPr>
        <w:t>2680.82</w:t>
      </w:r>
      <w:r>
        <w:rPr>
          <w:rFonts w:hint="eastAsia" w:asciiTheme="minorEastAsia" w:hAnsiTheme="minorEastAsia" w:eastAsiaTheme="minorEastAsia" w:cstheme="minorEastAsia"/>
          <w:sz w:val="32"/>
          <w:szCs w:val="32"/>
        </w:rPr>
        <w:t>万元，其中：人员经费</w:t>
      </w:r>
      <w:r>
        <w:rPr>
          <w:rFonts w:hint="eastAsia" w:asciiTheme="minorEastAsia" w:hAnsiTheme="minorEastAsia" w:eastAsiaTheme="minorEastAsia" w:cstheme="minorEastAsia"/>
          <w:sz w:val="32"/>
          <w:szCs w:val="32"/>
          <w:lang w:val="en-US" w:eastAsia="zh-CN"/>
        </w:rPr>
        <w:t>2335.09</w:t>
      </w:r>
      <w:r>
        <w:rPr>
          <w:rFonts w:hint="eastAsia" w:asciiTheme="minorEastAsia" w:hAnsiTheme="minorEastAsia" w:eastAsiaTheme="minorEastAsia" w:cstheme="minorEastAsia"/>
          <w:sz w:val="32"/>
          <w:szCs w:val="32"/>
        </w:rPr>
        <w:t>万元，占基本支出的</w:t>
      </w:r>
      <w:r>
        <w:rPr>
          <w:rFonts w:hint="eastAsia" w:asciiTheme="minorEastAsia" w:hAnsiTheme="minorEastAsia" w:eastAsiaTheme="minorEastAsia" w:cstheme="minorEastAsia"/>
          <w:sz w:val="32"/>
          <w:szCs w:val="32"/>
          <w:lang w:val="en-US" w:eastAsia="zh-CN"/>
        </w:rPr>
        <w:t>87.1</w:t>
      </w:r>
      <w:r>
        <w:rPr>
          <w:rFonts w:hint="eastAsia" w:asciiTheme="minorEastAsia" w:hAnsiTheme="minorEastAsia" w:eastAsiaTheme="minorEastAsia" w:cstheme="minorEastAsia"/>
          <w:sz w:val="32"/>
          <w:szCs w:val="32"/>
        </w:rPr>
        <w:t>%,主要包括基本工资、津贴补贴、奖金、伙食补助费</w:t>
      </w:r>
      <w:r>
        <w:rPr>
          <w:rFonts w:hint="eastAsia" w:asciiTheme="minorEastAsia" w:hAnsiTheme="minorEastAsia" w:eastAsiaTheme="minorEastAsia" w:cstheme="minorEastAsia"/>
          <w:sz w:val="32"/>
          <w:szCs w:val="32"/>
          <w:lang w:eastAsia="zh-CN"/>
        </w:rPr>
        <w:t>等支出</w:t>
      </w:r>
      <w:r>
        <w:rPr>
          <w:rFonts w:hint="eastAsia" w:asciiTheme="minorEastAsia" w:hAnsiTheme="minorEastAsia" w:eastAsiaTheme="minorEastAsia" w:cstheme="minorEastAsia"/>
          <w:sz w:val="32"/>
          <w:szCs w:val="32"/>
        </w:rPr>
        <w:t>；公用经费</w:t>
      </w:r>
      <w:r>
        <w:rPr>
          <w:rFonts w:hint="eastAsia" w:asciiTheme="minorEastAsia" w:hAnsiTheme="minorEastAsia" w:eastAsiaTheme="minorEastAsia" w:cstheme="minorEastAsia"/>
          <w:sz w:val="32"/>
          <w:szCs w:val="32"/>
          <w:lang w:val="en-US" w:eastAsia="zh-CN"/>
        </w:rPr>
        <w:t>345.74</w:t>
      </w:r>
      <w:r>
        <w:rPr>
          <w:rFonts w:hint="eastAsia" w:asciiTheme="minorEastAsia" w:hAnsiTheme="minorEastAsia" w:eastAsiaTheme="minorEastAsia" w:cstheme="minorEastAsia"/>
          <w:sz w:val="32"/>
          <w:szCs w:val="32"/>
        </w:rPr>
        <w:t>万元，占基本支出的</w:t>
      </w:r>
      <w:r>
        <w:rPr>
          <w:rFonts w:hint="eastAsia" w:asciiTheme="minorEastAsia" w:hAnsiTheme="minorEastAsia" w:eastAsiaTheme="minorEastAsia" w:cstheme="minorEastAsia"/>
          <w:sz w:val="32"/>
          <w:szCs w:val="32"/>
          <w:lang w:val="en-US" w:eastAsia="zh-CN"/>
        </w:rPr>
        <w:t>12.9</w:t>
      </w:r>
      <w:r>
        <w:rPr>
          <w:rFonts w:hint="eastAsia" w:asciiTheme="minorEastAsia" w:hAnsiTheme="minorEastAsia" w:eastAsiaTheme="minorEastAsia" w:cstheme="minorEastAsia"/>
          <w:sz w:val="32"/>
          <w:szCs w:val="32"/>
        </w:rPr>
        <w:t>%，主要包括办公费、印刷费、咨询费、手续费</w:t>
      </w:r>
      <w:r>
        <w:rPr>
          <w:rFonts w:hint="eastAsia" w:asciiTheme="minorEastAsia" w:hAnsiTheme="minorEastAsia" w:eastAsiaTheme="minorEastAsia" w:cstheme="minorEastAsia"/>
          <w:sz w:val="32"/>
          <w:szCs w:val="32"/>
          <w:lang w:eastAsia="zh-CN"/>
        </w:rPr>
        <w:t>等支出</w:t>
      </w:r>
      <w:r>
        <w:rPr>
          <w:rFonts w:hint="eastAsia" w:asciiTheme="minorEastAsia" w:hAnsiTheme="minorEastAsia" w:eastAsiaTheme="minorEastAsia" w:cstheme="minorEastAsia"/>
          <w:sz w:val="32"/>
          <w:szCs w:val="32"/>
        </w:rPr>
        <w:t>。</w:t>
      </w:r>
    </w:p>
    <w:p>
      <w:pPr>
        <w:pStyle w:val="15"/>
        <w:ind w:firstLine="640" w:firstLineChars="200"/>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七、一般公共预算财政拨款“三公”经费支出决算情况说明</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（一）“三公”经费财政拨款支出决算总体情况说明</w:t>
      </w:r>
    </w:p>
    <w:p>
      <w:pPr>
        <w:pStyle w:val="15"/>
        <w:ind w:firstLine="800" w:firstLineChars="2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2021年度“三公”经费财政拨款支出预算为</w:t>
      </w:r>
      <w:r>
        <w:rPr>
          <w:rFonts w:hint="eastAsia" w:asciiTheme="minorEastAsia" w:hAnsiTheme="minorEastAsia" w:eastAsiaTheme="minorEastAsia" w:cstheme="minorEastAsia"/>
          <w:sz w:val="32"/>
          <w:szCs w:val="32"/>
          <w:u w:val="none"/>
          <w:lang w:val="en-US" w:eastAsia="zh-CN"/>
        </w:rPr>
        <w:t>54.4</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1.13</w:t>
      </w:r>
      <w:r>
        <w:rPr>
          <w:rFonts w:hint="eastAsia" w:asciiTheme="minorEastAsia" w:hAnsiTheme="minorEastAsia" w:eastAsiaTheme="minorEastAsia" w:cstheme="minorEastAsia"/>
          <w:sz w:val="32"/>
          <w:szCs w:val="32"/>
        </w:rPr>
        <w:t>万元，完成预算的</w:t>
      </w:r>
      <w:r>
        <w:rPr>
          <w:rFonts w:hint="eastAsia" w:asciiTheme="minorEastAsia" w:hAnsiTheme="minorEastAsia" w:eastAsiaTheme="minorEastAsia" w:cstheme="minorEastAsia"/>
          <w:sz w:val="32"/>
          <w:szCs w:val="32"/>
          <w:lang w:val="en-US" w:eastAsia="zh-CN"/>
        </w:rPr>
        <w:t>2.08</w:t>
      </w:r>
      <w:r>
        <w:rPr>
          <w:rFonts w:hint="eastAsia" w:asciiTheme="minorEastAsia" w:hAnsiTheme="minorEastAsia" w:eastAsiaTheme="minorEastAsia" w:cstheme="minorEastAsia"/>
          <w:sz w:val="32"/>
          <w:szCs w:val="32"/>
        </w:rPr>
        <w:t>%，其中：</w:t>
      </w:r>
    </w:p>
    <w:p>
      <w:pPr>
        <w:pStyle w:val="15"/>
        <w:ind w:firstLine="800" w:firstLineChars="2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因公出国（境）费支出预算为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与上年持平</w:t>
      </w:r>
      <w:r>
        <w:rPr>
          <w:rFonts w:hint="eastAsia" w:asciiTheme="minorEastAsia" w:hAnsiTheme="minorEastAsia" w:eastAsiaTheme="minorEastAsia" w:cstheme="minorEastAsia"/>
          <w:sz w:val="32"/>
          <w:szCs w:val="32"/>
        </w:rPr>
        <w:t>。</w:t>
      </w:r>
    </w:p>
    <w:p>
      <w:pPr>
        <w:pStyle w:val="15"/>
        <w:ind w:firstLine="800" w:firstLineChars="2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公务接待费支出预算为</w:t>
      </w:r>
      <w:r>
        <w:rPr>
          <w:rFonts w:hint="eastAsia" w:asciiTheme="minorEastAsia" w:hAnsiTheme="minorEastAsia" w:eastAsiaTheme="minorEastAsia" w:cstheme="minorEastAsia"/>
          <w:sz w:val="32"/>
          <w:szCs w:val="32"/>
          <w:lang w:val="en-US" w:eastAsia="zh-CN"/>
        </w:rPr>
        <w:t>24</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0.22</w:t>
      </w:r>
      <w:r>
        <w:rPr>
          <w:rFonts w:hint="eastAsia" w:asciiTheme="minorEastAsia" w:hAnsiTheme="minorEastAsia" w:eastAsiaTheme="minorEastAsia" w:cstheme="minorEastAsia"/>
          <w:sz w:val="32"/>
          <w:szCs w:val="32"/>
        </w:rPr>
        <w:t>万元，完成预算的</w:t>
      </w:r>
      <w:r>
        <w:rPr>
          <w:rFonts w:hint="eastAsia" w:asciiTheme="minorEastAsia" w:hAnsiTheme="minorEastAsia" w:eastAsiaTheme="minorEastAsia" w:cstheme="minorEastAsia"/>
          <w:sz w:val="32"/>
          <w:szCs w:val="32"/>
          <w:lang w:val="en-US" w:eastAsia="zh-CN"/>
        </w:rPr>
        <w:t>0.92</w:t>
      </w:r>
      <w:r>
        <w:rPr>
          <w:rFonts w:hint="eastAsia" w:asciiTheme="minorEastAsia" w:hAnsiTheme="minorEastAsia" w:eastAsiaTheme="minorEastAsia" w:cstheme="minorEastAsia"/>
          <w:sz w:val="32"/>
          <w:szCs w:val="32"/>
        </w:rPr>
        <w:t>%，决算数小于预算数的主要原因是我局</w:t>
      </w:r>
      <w:r>
        <w:rPr>
          <w:rFonts w:hint="eastAsia" w:asciiTheme="minorEastAsia" w:hAnsiTheme="minorEastAsia" w:eastAsiaTheme="minorEastAsia" w:cstheme="minorEastAsia"/>
          <w:sz w:val="32"/>
          <w:szCs w:val="32"/>
          <w:lang w:eastAsia="zh-CN"/>
        </w:rPr>
        <w:t>厉行节约压缩开支</w:t>
      </w:r>
      <w:r>
        <w:rPr>
          <w:rFonts w:hint="eastAsia" w:asciiTheme="minorEastAsia" w:hAnsiTheme="minorEastAsia" w:eastAsiaTheme="minorEastAsia" w:cstheme="minorEastAsia"/>
          <w:sz w:val="32"/>
          <w:szCs w:val="32"/>
        </w:rPr>
        <w:t>，与上年</w:t>
      </w:r>
      <w:r>
        <w:rPr>
          <w:rFonts w:hint="eastAsia" w:asciiTheme="minorEastAsia" w:hAnsiTheme="minorEastAsia" w:eastAsiaTheme="minorEastAsia" w:cstheme="minorEastAsia"/>
          <w:sz w:val="32"/>
          <w:szCs w:val="32"/>
          <w:lang w:eastAsia="zh-CN"/>
        </w:rPr>
        <w:t>决算</w:t>
      </w:r>
      <w:r>
        <w:rPr>
          <w:rFonts w:hint="eastAsia" w:asciiTheme="minorEastAsia" w:hAnsiTheme="minorEastAsia" w:eastAsiaTheme="minorEastAsia" w:cstheme="minorEastAsia"/>
          <w:sz w:val="32"/>
          <w:szCs w:val="32"/>
        </w:rPr>
        <w:t>相比减少</w:t>
      </w:r>
      <w:r>
        <w:rPr>
          <w:rFonts w:hint="eastAsia" w:asciiTheme="minorEastAsia" w:hAnsiTheme="minorEastAsia" w:eastAsiaTheme="minorEastAsia" w:cstheme="minorEastAsia"/>
          <w:sz w:val="32"/>
          <w:szCs w:val="32"/>
          <w:lang w:val="en-US" w:eastAsia="zh-CN"/>
        </w:rPr>
        <w:t>0.3</w:t>
      </w:r>
      <w:r>
        <w:rPr>
          <w:rFonts w:hint="eastAsia" w:asciiTheme="minorEastAsia" w:hAnsiTheme="minorEastAsia" w:eastAsiaTheme="minorEastAsia" w:cstheme="minorEastAsia"/>
          <w:sz w:val="32"/>
          <w:szCs w:val="32"/>
        </w:rPr>
        <w:t>万元，减少</w:t>
      </w:r>
      <w:r>
        <w:rPr>
          <w:rFonts w:hint="eastAsia" w:asciiTheme="minorEastAsia" w:hAnsiTheme="minorEastAsia" w:eastAsiaTheme="minorEastAsia" w:cstheme="minorEastAsia"/>
          <w:sz w:val="32"/>
          <w:szCs w:val="32"/>
          <w:lang w:val="en-US" w:eastAsia="zh-CN"/>
        </w:rPr>
        <w:t>57.7</w:t>
      </w:r>
      <w:r>
        <w:rPr>
          <w:rFonts w:hint="eastAsia" w:asciiTheme="minorEastAsia" w:hAnsiTheme="minorEastAsia" w:eastAsiaTheme="minorEastAsia" w:cstheme="minorEastAsia"/>
          <w:sz w:val="32"/>
          <w:szCs w:val="32"/>
        </w:rPr>
        <w:t>%,减少的主要原因是</w:t>
      </w:r>
      <w:r>
        <w:rPr>
          <w:rFonts w:hint="eastAsia" w:asciiTheme="minorEastAsia" w:hAnsiTheme="minorEastAsia" w:eastAsiaTheme="minorEastAsia" w:cstheme="minorEastAsia"/>
          <w:sz w:val="32"/>
          <w:szCs w:val="32"/>
          <w:lang w:val="en-US" w:eastAsia="zh-CN"/>
        </w:rPr>
        <w:t>我局</w:t>
      </w:r>
      <w:r>
        <w:rPr>
          <w:rFonts w:hint="eastAsia" w:asciiTheme="minorEastAsia" w:hAnsiTheme="minorEastAsia" w:eastAsiaTheme="minorEastAsia" w:cstheme="minorEastAsia"/>
          <w:sz w:val="32"/>
          <w:szCs w:val="32"/>
        </w:rPr>
        <w:t>严格遵守中央八项规定，制订完善相关制度，厉行节约，严格控制三公经费支出，故三公经费开支大幅缩减。</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公务用车购置费支出预算为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与上年持平</w:t>
      </w:r>
      <w:r>
        <w:rPr>
          <w:rFonts w:hint="eastAsia" w:asciiTheme="minorEastAsia" w:hAnsiTheme="minorEastAsia" w:eastAsiaTheme="minorEastAsia" w:cstheme="minorEastAsia"/>
          <w:sz w:val="32"/>
          <w:szCs w:val="32"/>
        </w:rPr>
        <w:t>。</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公务用车运行维护费支出预算为</w:t>
      </w:r>
      <w:r>
        <w:rPr>
          <w:rFonts w:hint="eastAsia" w:asciiTheme="minorEastAsia" w:hAnsiTheme="minorEastAsia" w:eastAsiaTheme="minorEastAsia" w:cstheme="minorEastAsia"/>
          <w:sz w:val="32"/>
          <w:szCs w:val="32"/>
          <w:u w:val="none"/>
          <w:lang w:val="en-US" w:eastAsia="zh-CN"/>
        </w:rPr>
        <w:t>30.4</w:t>
      </w:r>
      <w:r>
        <w:rPr>
          <w:rFonts w:hint="eastAsia" w:asciiTheme="minorEastAsia" w:hAnsiTheme="minorEastAsia" w:eastAsiaTheme="minorEastAsia" w:cstheme="minorEastAsia"/>
          <w:sz w:val="32"/>
          <w:szCs w:val="32"/>
        </w:rPr>
        <w:t>万元，支出决算为</w:t>
      </w:r>
      <w:r>
        <w:rPr>
          <w:rFonts w:hint="eastAsia" w:asciiTheme="minorEastAsia" w:hAnsiTheme="minorEastAsia" w:eastAsiaTheme="minorEastAsia" w:cstheme="minorEastAsia"/>
          <w:sz w:val="32"/>
          <w:szCs w:val="32"/>
          <w:lang w:val="en-US" w:eastAsia="zh-CN"/>
        </w:rPr>
        <w:t>0.91</w:t>
      </w:r>
      <w:r>
        <w:rPr>
          <w:rFonts w:hint="eastAsia" w:asciiTheme="minorEastAsia" w:hAnsiTheme="minorEastAsia" w:eastAsiaTheme="minorEastAsia" w:cstheme="minorEastAsia"/>
          <w:sz w:val="32"/>
          <w:szCs w:val="32"/>
        </w:rPr>
        <w:t>万元，完成预算的</w:t>
      </w:r>
      <w:r>
        <w:rPr>
          <w:rFonts w:hint="eastAsia" w:asciiTheme="minorEastAsia" w:hAnsiTheme="minorEastAsia" w:eastAsiaTheme="minorEastAsia" w:cstheme="minorEastAsia"/>
          <w:sz w:val="32"/>
          <w:szCs w:val="32"/>
          <w:lang w:val="en-US" w:eastAsia="zh-CN"/>
        </w:rPr>
        <w:t>3</w:t>
      </w:r>
      <w:r>
        <w:rPr>
          <w:rFonts w:hint="eastAsia" w:asciiTheme="minorEastAsia" w:hAnsiTheme="minorEastAsia" w:eastAsiaTheme="minorEastAsia" w:cstheme="minorEastAsia"/>
          <w:sz w:val="32"/>
          <w:szCs w:val="32"/>
        </w:rPr>
        <w:t>%，决算数小于预算数的主要原因是我局</w:t>
      </w:r>
      <w:r>
        <w:rPr>
          <w:rFonts w:hint="eastAsia" w:asciiTheme="minorEastAsia" w:hAnsiTheme="minorEastAsia" w:eastAsiaTheme="minorEastAsia" w:cstheme="minorEastAsia"/>
          <w:sz w:val="32"/>
          <w:szCs w:val="32"/>
          <w:lang w:eastAsia="zh-CN"/>
        </w:rPr>
        <w:t>严格遵照相关文件执行开支</w:t>
      </w:r>
      <w:r>
        <w:rPr>
          <w:rFonts w:hint="eastAsia" w:asciiTheme="minorEastAsia" w:hAnsiTheme="minorEastAsia" w:eastAsiaTheme="minorEastAsia" w:cstheme="minorEastAsia"/>
          <w:sz w:val="32"/>
          <w:szCs w:val="32"/>
        </w:rPr>
        <w:t>，与上年</w:t>
      </w:r>
      <w:r>
        <w:rPr>
          <w:rFonts w:hint="eastAsia" w:asciiTheme="minorEastAsia" w:hAnsiTheme="minorEastAsia" w:eastAsiaTheme="minorEastAsia" w:cstheme="minorEastAsia"/>
          <w:sz w:val="32"/>
          <w:szCs w:val="32"/>
          <w:lang w:eastAsia="zh-CN"/>
        </w:rPr>
        <w:t>决算</w:t>
      </w:r>
      <w:r>
        <w:rPr>
          <w:rFonts w:hint="eastAsia" w:asciiTheme="minorEastAsia" w:hAnsiTheme="minorEastAsia" w:eastAsiaTheme="minorEastAsia" w:cstheme="minorEastAsia"/>
          <w:sz w:val="32"/>
          <w:szCs w:val="32"/>
        </w:rPr>
        <w:t>相比减少</w:t>
      </w:r>
      <w:r>
        <w:rPr>
          <w:rFonts w:hint="eastAsia" w:asciiTheme="minorEastAsia" w:hAnsiTheme="minorEastAsia" w:eastAsiaTheme="minorEastAsia" w:cstheme="minorEastAsia"/>
          <w:sz w:val="32"/>
          <w:szCs w:val="32"/>
          <w:lang w:val="en-US" w:eastAsia="zh-CN"/>
        </w:rPr>
        <w:t>2.04</w:t>
      </w:r>
      <w:r>
        <w:rPr>
          <w:rFonts w:hint="eastAsia" w:asciiTheme="minorEastAsia" w:hAnsiTheme="minorEastAsia" w:eastAsiaTheme="minorEastAsia" w:cstheme="minorEastAsia"/>
          <w:sz w:val="32"/>
          <w:szCs w:val="32"/>
        </w:rPr>
        <w:t>万元，减少</w:t>
      </w:r>
      <w:r>
        <w:rPr>
          <w:rFonts w:hint="eastAsia" w:asciiTheme="minorEastAsia" w:hAnsiTheme="minorEastAsia" w:eastAsiaTheme="minorEastAsia" w:cstheme="minorEastAsia"/>
          <w:sz w:val="32"/>
          <w:szCs w:val="32"/>
          <w:lang w:val="en-US" w:eastAsia="zh-CN"/>
        </w:rPr>
        <w:t>69.15</w:t>
      </w:r>
      <w:r>
        <w:rPr>
          <w:rFonts w:hint="eastAsia" w:asciiTheme="minorEastAsia" w:hAnsiTheme="minorEastAsia" w:eastAsiaTheme="minorEastAsia" w:cstheme="minorEastAsia"/>
          <w:sz w:val="32"/>
          <w:szCs w:val="32"/>
        </w:rPr>
        <w:t>%,减少的主要原因一是公车改革后未新增车辆购置，压缩原有公车开支；</w:t>
      </w:r>
      <w:r>
        <w:rPr>
          <w:rFonts w:hint="eastAsia" w:asciiTheme="minorEastAsia" w:hAnsiTheme="minorEastAsia" w:eastAsiaTheme="minorEastAsia" w:cstheme="minorEastAsia"/>
          <w:sz w:val="32"/>
          <w:szCs w:val="32"/>
          <w:lang w:eastAsia="zh-CN"/>
        </w:rPr>
        <w:t>二</w:t>
      </w:r>
      <w:r>
        <w:rPr>
          <w:rFonts w:hint="eastAsia" w:asciiTheme="minorEastAsia" w:hAnsiTheme="minorEastAsia" w:eastAsiaTheme="minorEastAsia" w:cstheme="minorEastAsia"/>
          <w:sz w:val="32"/>
          <w:szCs w:val="32"/>
        </w:rPr>
        <w:t>是我局严格遵守中央八项规定，制订完善相关制度，厉行节约，严格控制三公经费支出。</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（二）“三公”经费财政拨款支出决算具体情况说明</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2021年度“三公”经费财政拨款支出决算中，公务接待费支出决算</w:t>
      </w:r>
      <w:r>
        <w:rPr>
          <w:rFonts w:hint="eastAsia" w:asciiTheme="minorEastAsia" w:hAnsiTheme="minorEastAsia" w:eastAsiaTheme="minorEastAsia" w:cstheme="minorEastAsia"/>
          <w:sz w:val="32"/>
          <w:szCs w:val="32"/>
          <w:lang w:val="en-US" w:eastAsia="zh-CN"/>
        </w:rPr>
        <w:t>0.22</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19.47</w:t>
      </w:r>
      <w:r>
        <w:rPr>
          <w:rFonts w:hint="eastAsia" w:asciiTheme="minorEastAsia" w:hAnsiTheme="minorEastAsia" w:eastAsiaTheme="minorEastAsia" w:cstheme="minorEastAsia"/>
          <w:sz w:val="32"/>
          <w:szCs w:val="32"/>
        </w:rPr>
        <w:t>%,因公出国（境）费支出决算</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万元,公务用车购置费及运行维护费支出决算</w:t>
      </w:r>
      <w:r>
        <w:rPr>
          <w:rFonts w:hint="eastAsia" w:asciiTheme="minorEastAsia" w:hAnsiTheme="minorEastAsia" w:eastAsiaTheme="minorEastAsia" w:cstheme="minorEastAsia"/>
          <w:sz w:val="32"/>
          <w:szCs w:val="32"/>
          <w:lang w:val="en-US" w:eastAsia="zh-CN"/>
        </w:rPr>
        <w:t>0.91</w:t>
      </w:r>
      <w:r>
        <w:rPr>
          <w:rFonts w:hint="eastAsia" w:asciiTheme="minorEastAsia" w:hAnsiTheme="minorEastAsia" w:eastAsiaTheme="minorEastAsia" w:cstheme="minorEastAsia"/>
          <w:sz w:val="32"/>
          <w:szCs w:val="32"/>
        </w:rPr>
        <w:t>万元，占</w:t>
      </w:r>
      <w:r>
        <w:rPr>
          <w:rFonts w:hint="eastAsia" w:asciiTheme="minorEastAsia" w:hAnsiTheme="minorEastAsia" w:eastAsiaTheme="minorEastAsia" w:cstheme="minorEastAsia"/>
          <w:sz w:val="32"/>
          <w:szCs w:val="32"/>
          <w:lang w:val="en-US" w:eastAsia="zh-CN"/>
        </w:rPr>
        <w:t>80.53</w:t>
      </w:r>
      <w:r>
        <w:rPr>
          <w:rFonts w:hint="eastAsia" w:asciiTheme="minorEastAsia" w:hAnsiTheme="minorEastAsia" w:eastAsiaTheme="minorEastAsia" w:cstheme="minorEastAsia"/>
          <w:sz w:val="32"/>
          <w:szCs w:val="32"/>
        </w:rPr>
        <w:t>%。其中：</w:t>
      </w:r>
    </w:p>
    <w:p>
      <w:pPr>
        <w:pStyle w:val="15"/>
        <w:ind w:firstLine="640" w:firstLineChars="20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1、因公出国（境）费支出决算为</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w:t>
      </w:r>
    </w:p>
    <w:p>
      <w:pPr>
        <w:pStyle w:val="15"/>
        <w:ind w:firstLine="800" w:firstLineChars="25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2、公务接待费支出决算为</w:t>
      </w:r>
      <w:r>
        <w:rPr>
          <w:rFonts w:hint="eastAsia" w:asciiTheme="minorEastAsia" w:hAnsiTheme="minorEastAsia" w:eastAsiaTheme="minorEastAsia" w:cstheme="minorEastAsia"/>
          <w:sz w:val="32"/>
          <w:szCs w:val="32"/>
          <w:lang w:val="en-US" w:eastAsia="zh-CN"/>
        </w:rPr>
        <w:t>0.22</w:t>
      </w:r>
      <w:r>
        <w:rPr>
          <w:rFonts w:hint="eastAsia" w:asciiTheme="minorEastAsia" w:hAnsiTheme="minorEastAsia" w:eastAsiaTheme="minorEastAsia" w:cstheme="minorEastAsia"/>
          <w:sz w:val="32"/>
          <w:szCs w:val="32"/>
        </w:rPr>
        <w:t>万元，全年共接待来访团组</w:t>
      </w:r>
      <w:r>
        <w:rPr>
          <w:rFonts w:hint="eastAsia" w:asciiTheme="minorEastAsia" w:hAnsiTheme="minorEastAsia" w:eastAsiaTheme="minorEastAsia" w:cstheme="minorEastAsia"/>
          <w:sz w:val="32"/>
          <w:szCs w:val="32"/>
          <w:lang w:val="en-US" w:eastAsia="zh-CN"/>
        </w:rPr>
        <w:t>4</w:t>
      </w:r>
      <w:r>
        <w:rPr>
          <w:rFonts w:hint="eastAsia" w:asciiTheme="minorEastAsia" w:hAnsiTheme="minorEastAsia" w:eastAsiaTheme="minorEastAsia" w:cstheme="minorEastAsia"/>
          <w:sz w:val="32"/>
          <w:szCs w:val="32"/>
        </w:rPr>
        <w:t>个、来宾</w:t>
      </w:r>
      <w:r>
        <w:rPr>
          <w:rFonts w:hint="eastAsia" w:asciiTheme="minorEastAsia" w:hAnsiTheme="minorEastAsia" w:eastAsiaTheme="minorEastAsia" w:cstheme="minorEastAsia"/>
          <w:sz w:val="32"/>
          <w:szCs w:val="32"/>
          <w:lang w:val="en-US" w:eastAsia="zh-CN"/>
        </w:rPr>
        <w:t>12</w:t>
      </w:r>
      <w:r>
        <w:rPr>
          <w:rFonts w:hint="eastAsia" w:asciiTheme="minorEastAsia" w:hAnsiTheme="minorEastAsia" w:eastAsiaTheme="minorEastAsia" w:cstheme="minorEastAsia"/>
          <w:sz w:val="32"/>
          <w:szCs w:val="32"/>
        </w:rPr>
        <w:t>人次，主要是</w:t>
      </w:r>
      <w:r>
        <w:rPr>
          <w:rFonts w:hint="eastAsia" w:asciiTheme="minorEastAsia" w:hAnsiTheme="minorEastAsia" w:eastAsiaTheme="minorEastAsia" w:cstheme="minorEastAsia"/>
          <w:sz w:val="32"/>
          <w:szCs w:val="32"/>
          <w:lang w:eastAsia="zh-CN"/>
        </w:rPr>
        <w:t>农村危房改造迎检、创省级文明卫生城市、环保督</w:t>
      </w:r>
      <w:r>
        <w:rPr>
          <w:rFonts w:hint="eastAsia" w:asciiTheme="minorEastAsia" w:hAnsiTheme="minorEastAsia" w:eastAsiaTheme="minorEastAsia" w:cstheme="minorEastAsia"/>
          <w:sz w:val="32"/>
          <w:szCs w:val="32"/>
          <w:lang w:val="en-US" w:eastAsia="zh-CN"/>
        </w:rPr>
        <w:t>察</w:t>
      </w:r>
      <w:bookmarkStart w:id="3" w:name="_GoBack"/>
      <w:bookmarkEnd w:id="3"/>
      <w:r>
        <w:rPr>
          <w:rFonts w:hint="eastAsia" w:asciiTheme="minorEastAsia" w:hAnsiTheme="minorEastAsia" w:eastAsiaTheme="minorEastAsia" w:cstheme="minorEastAsia"/>
          <w:sz w:val="32"/>
          <w:szCs w:val="32"/>
          <w:lang w:eastAsia="zh-CN"/>
        </w:rPr>
        <w:t>迎检</w:t>
      </w:r>
      <w:r>
        <w:rPr>
          <w:rFonts w:hint="eastAsia" w:asciiTheme="minorEastAsia" w:hAnsiTheme="minorEastAsia" w:eastAsiaTheme="minorEastAsia" w:cstheme="minorEastAsia"/>
          <w:sz w:val="32"/>
          <w:szCs w:val="32"/>
        </w:rPr>
        <w:t>发生的接待支出。</w:t>
      </w:r>
    </w:p>
    <w:p>
      <w:pPr>
        <w:ind w:firstLine="640" w:firstLineChars="200"/>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sz w:val="32"/>
          <w:szCs w:val="32"/>
        </w:rPr>
        <w:t>3、公务用车购置费及运行维护费支出决算为</w:t>
      </w:r>
      <w:r>
        <w:rPr>
          <w:rFonts w:hint="eastAsia" w:asciiTheme="minorEastAsia" w:hAnsiTheme="minorEastAsia" w:eastAsiaTheme="minorEastAsia" w:cstheme="minorEastAsia"/>
          <w:sz w:val="32"/>
          <w:szCs w:val="32"/>
          <w:lang w:val="en-US" w:eastAsia="zh-CN"/>
        </w:rPr>
        <w:t>0.91</w:t>
      </w:r>
      <w:r>
        <w:rPr>
          <w:rFonts w:hint="eastAsia" w:asciiTheme="minorEastAsia" w:hAnsiTheme="minorEastAsia" w:eastAsiaTheme="minorEastAsia" w:cstheme="minorEastAsia"/>
          <w:sz w:val="32"/>
          <w:szCs w:val="32"/>
        </w:rPr>
        <w:t>万元，其中：公务用车购置费</w:t>
      </w:r>
      <w:r>
        <w:rPr>
          <w:rFonts w:hint="eastAsia" w:asciiTheme="minorEastAsia" w:hAnsiTheme="minorEastAsia" w:eastAsiaTheme="minorEastAsia" w:cstheme="minorEastAsia"/>
          <w:sz w:val="32"/>
          <w:szCs w:val="32"/>
          <w:lang w:val="en-US" w:eastAsia="zh-CN"/>
        </w:rPr>
        <w:t>0</w:t>
      </w:r>
      <w:r>
        <w:rPr>
          <w:rFonts w:hint="eastAsia" w:asciiTheme="minorEastAsia" w:hAnsiTheme="minorEastAsia" w:eastAsiaTheme="minorEastAsia" w:cstheme="minorEastAsia"/>
          <w:sz w:val="32"/>
          <w:szCs w:val="32"/>
        </w:rPr>
        <w:t>元</w:t>
      </w:r>
      <w:r>
        <w:rPr>
          <w:rFonts w:hint="eastAsia" w:asciiTheme="minorEastAsia" w:hAnsiTheme="minorEastAsia" w:eastAsiaTheme="minorEastAsia" w:cstheme="minorEastAsia"/>
          <w:color w:val="000000" w:themeColor="text1"/>
          <w:sz w:val="32"/>
          <w:szCs w:val="32"/>
          <w14:textFill>
            <w14:solidFill>
              <w14:schemeClr w14:val="tx1"/>
            </w14:solidFill>
          </w14:textFill>
        </w:rPr>
        <w:t>。</w:t>
      </w:r>
      <w:r>
        <w:rPr>
          <w:rFonts w:hint="eastAsia" w:asciiTheme="minorEastAsia" w:hAnsiTheme="minorEastAsia" w:eastAsiaTheme="minorEastAsia" w:cstheme="minorEastAsia"/>
          <w:sz w:val="32"/>
          <w:szCs w:val="32"/>
        </w:rPr>
        <w:t>公务用车运行维护费</w:t>
      </w:r>
      <w:r>
        <w:rPr>
          <w:rFonts w:hint="eastAsia" w:asciiTheme="minorEastAsia" w:hAnsiTheme="minorEastAsia" w:eastAsiaTheme="minorEastAsia" w:cstheme="minorEastAsia"/>
          <w:sz w:val="32"/>
          <w:szCs w:val="32"/>
          <w:lang w:val="en-US" w:eastAsia="zh-CN"/>
        </w:rPr>
        <w:t>0.91</w:t>
      </w:r>
      <w:r>
        <w:rPr>
          <w:rFonts w:hint="eastAsia" w:asciiTheme="minorEastAsia" w:hAnsiTheme="minorEastAsia" w:eastAsiaTheme="minorEastAsia" w:cstheme="minorEastAsia"/>
          <w:sz w:val="32"/>
          <w:szCs w:val="32"/>
        </w:rPr>
        <w:t>万元，</w:t>
      </w:r>
      <w:r>
        <w:rPr>
          <w:rFonts w:hint="eastAsia" w:asciiTheme="minorEastAsia" w:hAnsiTheme="minorEastAsia" w:eastAsiaTheme="minorEastAsia" w:cstheme="minorEastAsia"/>
          <w:sz w:val="32"/>
          <w:szCs w:val="32"/>
          <w:lang w:eastAsia="zh-CN"/>
        </w:rPr>
        <w:t>公车运行维护</w:t>
      </w:r>
      <w:r>
        <w:rPr>
          <w:rFonts w:hint="eastAsia" w:asciiTheme="minorEastAsia" w:hAnsiTheme="minorEastAsia" w:eastAsiaTheme="minorEastAsia" w:cstheme="minorEastAsia"/>
          <w:sz w:val="32"/>
          <w:szCs w:val="32"/>
        </w:rPr>
        <w:t>支出，截止202</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年12月31日，我单位开支财政拨款的公务用车保有量为</w:t>
      </w:r>
      <w:r>
        <w:rPr>
          <w:rFonts w:hint="eastAsia" w:asciiTheme="minorEastAsia" w:hAnsiTheme="minorEastAsia" w:eastAsiaTheme="minorEastAsia" w:cstheme="minorEastAsia"/>
          <w:sz w:val="32"/>
          <w:szCs w:val="32"/>
          <w:lang w:val="en-US" w:eastAsia="zh-CN"/>
        </w:rPr>
        <w:t>1</w:t>
      </w:r>
      <w:r>
        <w:rPr>
          <w:rFonts w:hint="eastAsia" w:asciiTheme="minorEastAsia" w:hAnsiTheme="minorEastAsia" w:eastAsiaTheme="minorEastAsia" w:cstheme="minorEastAsia"/>
          <w:sz w:val="32"/>
          <w:szCs w:val="32"/>
        </w:rPr>
        <w:t>辆。</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八、政府性基金预算收入支出决算情况</w:t>
      </w:r>
    </w:p>
    <w:p>
      <w:pPr>
        <w:pStyle w:val="15"/>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 xml:space="preserve">     2021年</w:t>
      </w:r>
      <w:r>
        <w:rPr>
          <w:rFonts w:hint="eastAsia" w:asciiTheme="minorEastAsia" w:hAnsiTheme="minorEastAsia" w:eastAsiaTheme="minorEastAsia" w:cstheme="minorEastAsia"/>
          <w:sz w:val="32"/>
          <w:szCs w:val="32"/>
          <w:lang w:eastAsia="zh-CN"/>
        </w:rPr>
        <w:t>我</w:t>
      </w:r>
      <w:r>
        <w:rPr>
          <w:rFonts w:hint="eastAsia" w:asciiTheme="minorEastAsia" w:hAnsiTheme="minorEastAsia" w:eastAsiaTheme="minorEastAsia" w:cstheme="minorEastAsia"/>
          <w:sz w:val="32"/>
          <w:szCs w:val="32"/>
        </w:rPr>
        <w:t>单位没有政府性基金收入，也没有使用政府性基金安排的支出</w:t>
      </w:r>
      <w:r>
        <w:rPr>
          <w:rFonts w:hint="eastAsia" w:asciiTheme="minorEastAsia" w:hAnsiTheme="minorEastAsia" w:eastAsiaTheme="minorEastAsia" w:cstheme="minorEastAsia"/>
          <w:sz w:val="32"/>
          <w:szCs w:val="32"/>
          <w:lang w:eastAsia="zh-CN"/>
        </w:rPr>
        <w:t>。</w:t>
      </w:r>
    </w:p>
    <w:p>
      <w:pPr>
        <w:pStyle w:val="15"/>
        <w:ind w:firstLine="640" w:firstLineChars="200"/>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九、机关运行经费支出说明</w:t>
      </w:r>
    </w:p>
    <w:p>
      <w:pPr>
        <w:pStyle w:val="15"/>
        <w:ind w:firstLine="640" w:firstLineChars="200"/>
        <w:rPr>
          <w:rFonts w:hint="eastAsia" w:asciiTheme="minorEastAsia" w:hAnsiTheme="minorEastAsia" w:eastAsiaTheme="minorEastAsia" w:cstheme="minorEastAsia"/>
          <w:sz w:val="32"/>
          <w:szCs w:val="32"/>
          <w:highlight w:val="none"/>
        </w:rPr>
      </w:pPr>
      <w:r>
        <w:rPr>
          <w:rFonts w:hint="eastAsia" w:asciiTheme="minorEastAsia" w:hAnsiTheme="minorEastAsia" w:eastAsiaTheme="minorEastAsia" w:cstheme="minorEastAsia"/>
          <w:sz w:val="32"/>
          <w:szCs w:val="32"/>
          <w:highlight w:val="none"/>
        </w:rPr>
        <w:t>本部门2021年度机关运行经费支出</w:t>
      </w:r>
      <w:r>
        <w:rPr>
          <w:rFonts w:hint="eastAsia" w:asciiTheme="minorEastAsia" w:hAnsiTheme="minorEastAsia" w:eastAsiaTheme="minorEastAsia" w:cstheme="minorEastAsia"/>
          <w:sz w:val="32"/>
          <w:szCs w:val="32"/>
          <w:highlight w:val="none"/>
          <w:lang w:val="en-US" w:eastAsia="zh-CN"/>
        </w:rPr>
        <w:t>213.66</w:t>
      </w:r>
      <w:r>
        <w:rPr>
          <w:rFonts w:hint="eastAsia" w:asciiTheme="minorEastAsia" w:hAnsiTheme="minorEastAsia" w:eastAsiaTheme="minorEastAsia" w:cstheme="minorEastAsia"/>
          <w:sz w:val="32"/>
          <w:szCs w:val="32"/>
          <w:highlight w:val="none"/>
        </w:rPr>
        <w:t>万元，比年初预算数增加</w:t>
      </w:r>
      <w:r>
        <w:rPr>
          <w:rFonts w:hint="eastAsia" w:asciiTheme="minorEastAsia" w:hAnsiTheme="minorEastAsia" w:eastAsiaTheme="minorEastAsia" w:cstheme="minorEastAsia"/>
          <w:sz w:val="32"/>
          <w:szCs w:val="32"/>
          <w:highlight w:val="none"/>
          <w:lang w:val="en-US" w:eastAsia="zh-CN"/>
        </w:rPr>
        <w:t>104.66</w:t>
      </w:r>
      <w:r>
        <w:rPr>
          <w:rFonts w:hint="eastAsia" w:asciiTheme="minorEastAsia" w:hAnsiTheme="minorEastAsia" w:eastAsiaTheme="minorEastAsia" w:cstheme="minorEastAsia"/>
          <w:sz w:val="32"/>
          <w:szCs w:val="32"/>
          <w:highlight w:val="none"/>
        </w:rPr>
        <w:t>万元，增长</w:t>
      </w:r>
      <w:r>
        <w:rPr>
          <w:rFonts w:hint="eastAsia" w:asciiTheme="minorEastAsia" w:hAnsiTheme="minorEastAsia" w:eastAsiaTheme="minorEastAsia" w:cstheme="minorEastAsia"/>
          <w:sz w:val="32"/>
          <w:szCs w:val="32"/>
          <w:highlight w:val="none"/>
          <w:lang w:val="en-US" w:eastAsia="zh-CN"/>
        </w:rPr>
        <w:t>96.02</w:t>
      </w:r>
      <w:r>
        <w:rPr>
          <w:rFonts w:hint="eastAsia" w:asciiTheme="minorEastAsia" w:hAnsiTheme="minorEastAsia" w:eastAsiaTheme="minorEastAsia" w:cstheme="minorEastAsia"/>
          <w:sz w:val="32"/>
          <w:szCs w:val="32"/>
          <w:highlight w:val="none"/>
        </w:rPr>
        <w:t>%。主要原因是：</w:t>
      </w:r>
      <w:r>
        <w:rPr>
          <w:rFonts w:hint="eastAsia" w:asciiTheme="minorEastAsia" w:hAnsiTheme="minorEastAsia" w:eastAsiaTheme="minorEastAsia" w:cstheme="minorEastAsia"/>
          <w:sz w:val="32"/>
          <w:szCs w:val="32"/>
          <w:highlight w:val="none"/>
          <w:lang w:eastAsia="zh-CN"/>
        </w:rPr>
        <w:t>社会成本增加导致机关运行经费比预算增加</w:t>
      </w:r>
      <w:r>
        <w:rPr>
          <w:rFonts w:hint="eastAsia" w:asciiTheme="minorEastAsia" w:hAnsiTheme="minorEastAsia" w:eastAsiaTheme="minorEastAsia" w:cstheme="minorEastAsia"/>
          <w:sz w:val="32"/>
          <w:szCs w:val="32"/>
          <w:highlight w:val="none"/>
        </w:rPr>
        <w:t>。</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十、一般性支出情况说明</w:t>
      </w:r>
    </w:p>
    <w:p>
      <w:pPr>
        <w:ind w:firstLine="640" w:firstLineChars="200"/>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2021年本部门开支会议费</w:t>
      </w:r>
      <w:r>
        <w:rPr>
          <w:rFonts w:hint="eastAsia" w:asciiTheme="minorEastAsia" w:hAnsiTheme="minorEastAsia" w:eastAsiaTheme="minorEastAsia" w:cstheme="minorEastAsia"/>
          <w:sz w:val="32"/>
          <w:szCs w:val="32"/>
          <w:lang w:val="en-US" w:eastAsia="zh-CN"/>
        </w:rPr>
        <w:t>3.84</w:t>
      </w:r>
      <w:r>
        <w:rPr>
          <w:rFonts w:hint="eastAsia" w:asciiTheme="minorEastAsia" w:hAnsiTheme="minorEastAsia" w:eastAsiaTheme="minorEastAsia" w:cstheme="minorEastAsia"/>
          <w:sz w:val="32"/>
          <w:szCs w:val="32"/>
        </w:rPr>
        <w:t>万元，用于召开用于召开</w:t>
      </w:r>
      <w:r>
        <w:rPr>
          <w:rFonts w:hint="eastAsia" w:asciiTheme="minorEastAsia" w:hAnsiTheme="minorEastAsia" w:eastAsiaTheme="minorEastAsia" w:cstheme="minorEastAsia"/>
          <w:sz w:val="32"/>
          <w:szCs w:val="32"/>
          <w:lang w:eastAsia="zh-CN"/>
        </w:rPr>
        <w:t>农村危改</w:t>
      </w:r>
      <w:r>
        <w:rPr>
          <w:rFonts w:hint="eastAsia" w:asciiTheme="minorEastAsia" w:hAnsiTheme="minorEastAsia" w:eastAsiaTheme="minorEastAsia" w:cstheme="minorEastAsia"/>
          <w:sz w:val="32"/>
          <w:szCs w:val="32"/>
        </w:rPr>
        <w:t>会议</w:t>
      </w:r>
      <w:r>
        <w:rPr>
          <w:rFonts w:hint="eastAsia" w:asciiTheme="minorEastAsia" w:hAnsiTheme="minorEastAsia" w:eastAsiaTheme="minorEastAsia" w:cstheme="minorEastAsia"/>
          <w:sz w:val="32"/>
          <w:szCs w:val="32"/>
          <w:lang w:eastAsia="zh-CN"/>
        </w:rPr>
        <w:t>、建筑行业年会、党建工作会议</w:t>
      </w:r>
      <w:r>
        <w:rPr>
          <w:rFonts w:hint="eastAsia" w:asciiTheme="minorEastAsia" w:hAnsiTheme="minorEastAsia" w:eastAsiaTheme="minorEastAsia" w:cstheme="minorEastAsia"/>
          <w:sz w:val="32"/>
          <w:szCs w:val="32"/>
        </w:rPr>
        <w:t>，人数</w:t>
      </w:r>
      <w:r>
        <w:rPr>
          <w:rFonts w:hint="eastAsia" w:asciiTheme="minorEastAsia" w:hAnsiTheme="minorEastAsia" w:eastAsiaTheme="minorEastAsia" w:cstheme="minorEastAsia"/>
          <w:sz w:val="32"/>
          <w:szCs w:val="32"/>
          <w:lang w:val="en-US" w:eastAsia="zh-CN"/>
        </w:rPr>
        <w:t>550</w:t>
      </w:r>
      <w:r>
        <w:rPr>
          <w:rFonts w:hint="eastAsia" w:asciiTheme="minorEastAsia" w:hAnsiTheme="minorEastAsia" w:eastAsiaTheme="minorEastAsia" w:cstheme="minorEastAsia"/>
          <w:sz w:val="32"/>
          <w:szCs w:val="32"/>
        </w:rPr>
        <w:t>人，内容为</w:t>
      </w:r>
      <w:r>
        <w:rPr>
          <w:rFonts w:hint="eastAsia" w:asciiTheme="minorEastAsia" w:hAnsiTheme="minorEastAsia" w:eastAsiaTheme="minorEastAsia" w:cstheme="minorEastAsia"/>
          <w:sz w:val="32"/>
          <w:szCs w:val="32"/>
          <w:lang w:eastAsia="zh-CN"/>
        </w:rPr>
        <w:t>农村危改、建筑行业年度总结会议、党建会议</w:t>
      </w:r>
      <w:r>
        <w:rPr>
          <w:rFonts w:hint="eastAsia" w:asciiTheme="minorEastAsia" w:hAnsiTheme="minorEastAsia" w:eastAsiaTheme="minorEastAsia" w:cstheme="minorEastAsia"/>
          <w:sz w:val="32"/>
          <w:szCs w:val="32"/>
        </w:rPr>
        <w:t>；开支培训费</w:t>
      </w:r>
      <w:r>
        <w:rPr>
          <w:rFonts w:hint="eastAsia" w:asciiTheme="minorEastAsia" w:hAnsiTheme="minorEastAsia" w:eastAsiaTheme="minorEastAsia" w:cstheme="minorEastAsia"/>
          <w:sz w:val="32"/>
          <w:szCs w:val="32"/>
          <w:lang w:val="en-US" w:eastAsia="zh-CN"/>
        </w:rPr>
        <w:t>8.73</w:t>
      </w:r>
      <w:r>
        <w:rPr>
          <w:rFonts w:hint="eastAsia" w:asciiTheme="minorEastAsia" w:hAnsiTheme="minorEastAsia" w:eastAsiaTheme="minorEastAsia" w:cstheme="minorEastAsia"/>
          <w:sz w:val="32"/>
          <w:szCs w:val="32"/>
        </w:rPr>
        <w:t>万元，用于开展用于开展</w:t>
      </w:r>
      <w:r>
        <w:rPr>
          <w:rFonts w:hint="eastAsia" w:asciiTheme="minorEastAsia" w:hAnsiTheme="minorEastAsia" w:eastAsiaTheme="minorEastAsia" w:cstheme="minorEastAsia"/>
          <w:sz w:val="32"/>
          <w:szCs w:val="32"/>
          <w:lang w:eastAsia="zh-CN"/>
        </w:rPr>
        <w:t>农村建筑工匠</w:t>
      </w:r>
      <w:r>
        <w:rPr>
          <w:rFonts w:hint="eastAsia" w:asciiTheme="minorEastAsia" w:hAnsiTheme="minorEastAsia" w:eastAsiaTheme="minorEastAsia" w:cstheme="minorEastAsia"/>
          <w:sz w:val="32"/>
          <w:szCs w:val="32"/>
        </w:rPr>
        <w:t>培训，人数</w:t>
      </w:r>
      <w:r>
        <w:rPr>
          <w:rFonts w:hint="eastAsia" w:asciiTheme="minorEastAsia" w:hAnsiTheme="minorEastAsia" w:eastAsiaTheme="minorEastAsia" w:cstheme="minorEastAsia"/>
          <w:sz w:val="32"/>
          <w:szCs w:val="32"/>
          <w:lang w:val="en-US" w:eastAsia="zh-CN"/>
        </w:rPr>
        <w:t>320</w:t>
      </w:r>
      <w:r>
        <w:rPr>
          <w:rFonts w:hint="eastAsia" w:asciiTheme="minorEastAsia" w:hAnsiTheme="minorEastAsia" w:eastAsiaTheme="minorEastAsia" w:cstheme="minorEastAsia"/>
          <w:sz w:val="32"/>
          <w:szCs w:val="32"/>
        </w:rPr>
        <w:t>人，内容为</w:t>
      </w:r>
      <w:r>
        <w:rPr>
          <w:rFonts w:hint="eastAsia" w:asciiTheme="minorEastAsia" w:hAnsiTheme="minorEastAsia" w:eastAsiaTheme="minorEastAsia" w:cstheme="minorEastAsia"/>
          <w:sz w:val="32"/>
          <w:szCs w:val="32"/>
          <w:lang w:eastAsia="zh-CN"/>
        </w:rPr>
        <w:t>建筑工匠技能培训；</w:t>
      </w:r>
      <w:r>
        <w:rPr>
          <w:rFonts w:hint="eastAsia" w:asciiTheme="minorEastAsia" w:hAnsiTheme="minorEastAsia" w:eastAsiaTheme="minorEastAsia" w:cstheme="minorEastAsia"/>
          <w:sz w:val="32"/>
          <w:szCs w:val="32"/>
        </w:rPr>
        <w:t>用于开展</w:t>
      </w:r>
      <w:r>
        <w:rPr>
          <w:rFonts w:hint="eastAsia" w:asciiTheme="minorEastAsia" w:hAnsiTheme="minorEastAsia" w:eastAsiaTheme="minorEastAsia" w:cstheme="minorEastAsia"/>
          <w:sz w:val="32"/>
          <w:szCs w:val="32"/>
          <w:lang w:eastAsia="zh-CN"/>
        </w:rPr>
        <w:t>质量安全监督</w:t>
      </w:r>
      <w:r>
        <w:rPr>
          <w:rFonts w:hint="eastAsia" w:asciiTheme="minorEastAsia" w:hAnsiTheme="minorEastAsia" w:eastAsiaTheme="minorEastAsia" w:cstheme="minorEastAsia"/>
          <w:sz w:val="32"/>
          <w:szCs w:val="32"/>
        </w:rPr>
        <w:t>培训，人数</w:t>
      </w:r>
      <w:r>
        <w:rPr>
          <w:rFonts w:hint="eastAsia" w:asciiTheme="minorEastAsia" w:hAnsiTheme="minorEastAsia" w:eastAsiaTheme="minorEastAsia" w:cstheme="minorEastAsia"/>
          <w:sz w:val="32"/>
          <w:szCs w:val="32"/>
          <w:lang w:val="en-US" w:eastAsia="zh-CN"/>
        </w:rPr>
        <w:t>35</w:t>
      </w:r>
      <w:r>
        <w:rPr>
          <w:rFonts w:hint="eastAsia" w:asciiTheme="minorEastAsia" w:hAnsiTheme="minorEastAsia" w:eastAsiaTheme="minorEastAsia" w:cstheme="minorEastAsia"/>
          <w:sz w:val="32"/>
          <w:szCs w:val="32"/>
        </w:rPr>
        <w:t>人</w:t>
      </w:r>
      <w:r>
        <w:rPr>
          <w:rFonts w:hint="eastAsia" w:asciiTheme="minorEastAsia" w:hAnsiTheme="minorEastAsia" w:eastAsiaTheme="minorEastAsia" w:cstheme="minorEastAsia"/>
          <w:sz w:val="32"/>
          <w:szCs w:val="32"/>
          <w:lang w:val="en-US" w:eastAsia="zh-CN"/>
        </w:rPr>
        <w:t>,内容为监督员继续教育、消防培训等</w:t>
      </w:r>
      <w:r>
        <w:rPr>
          <w:rFonts w:hint="eastAsia" w:asciiTheme="minorEastAsia" w:hAnsiTheme="minorEastAsia" w:eastAsiaTheme="minorEastAsia" w:cstheme="minorEastAsia"/>
          <w:sz w:val="32"/>
          <w:szCs w:val="32"/>
          <w:lang w:eastAsia="zh-CN"/>
        </w:rPr>
        <w:t>。</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十一、政府采购支出说明</w:t>
      </w:r>
    </w:p>
    <w:p>
      <w:pPr>
        <w:pStyle w:val="15"/>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本部门2021年度政府采购支出总额</w:t>
      </w:r>
      <w:r>
        <w:rPr>
          <w:rFonts w:hint="eastAsia" w:asciiTheme="minorEastAsia" w:hAnsiTheme="minorEastAsia" w:eastAsiaTheme="minorEastAsia" w:cstheme="minorEastAsia"/>
          <w:sz w:val="32"/>
          <w:szCs w:val="32"/>
          <w:lang w:val="en-US" w:eastAsia="zh-CN"/>
        </w:rPr>
        <w:t>155.83</w:t>
      </w:r>
      <w:r>
        <w:rPr>
          <w:rFonts w:hint="eastAsia" w:asciiTheme="minorEastAsia" w:hAnsiTheme="minorEastAsia" w:eastAsiaTheme="minorEastAsia" w:cstheme="minorEastAsia"/>
          <w:sz w:val="32"/>
          <w:szCs w:val="32"/>
        </w:rPr>
        <w:t>万元，其中：政府采购货物支出</w:t>
      </w:r>
      <w:r>
        <w:rPr>
          <w:rFonts w:hint="eastAsia" w:asciiTheme="minorEastAsia" w:hAnsiTheme="minorEastAsia" w:eastAsiaTheme="minorEastAsia" w:cstheme="minorEastAsia"/>
          <w:sz w:val="32"/>
          <w:szCs w:val="32"/>
          <w:lang w:val="en-US" w:eastAsia="zh-CN"/>
        </w:rPr>
        <w:t>23.91</w:t>
      </w:r>
      <w:r>
        <w:rPr>
          <w:rFonts w:hint="eastAsia" w:asciiTheme="minorEastAsia" w:hAnsiTheme="minorEastAsia" w:eastAsiaTheme="minorEastAsia" w:cstheme="minorEastAsia"/>
          <w:sz w:val="32"/>
          <w:szCs w:val="32"/>
        </w:rPr>
        <w:t>万元、政府采购工程支出</w:t>
      </w:r>
      <w:r>
        <w:rPr>
          <w:rFonts w:hint="eastAsia" w:asciiTheme="minorEastAsia" w:hAnsiTheme="minorEastAsia" w:eastAsiaTheme="minorEastAsia" w:cstheme="minorEastAsia"/>
          <w:sz w:val="32"/>
          <w:szCs w:val="32"/>
          <w:lang w:val="en-US" w:eastAsia="zh-CN"/>
        </w:rPr>
        <w:t>0.9</w:t>
      </w:r>
      <w:r>
        <w:rPr>
          <w:rFonts w:hint="eastAsia" w:asciiTheme="minorEastAsia" w:hAnsiTheme="minorEastAsia" w:eastAsiaTheme="minorEastAsia" w:cstheme="minorEastAsia"/>
          <w:sz w:val="32"/>
          <w:szCs w:val="32"/>
        </w:rPr>
        <w:t>万元、政府采购服务支出</w:t>
      </w:r>
      <w:r>
        <w:rPr>
          <w:rFonts w:hint="eastAsia" w:asciiTheme="minorEastAsia" w:hAnsiTheme="minorEastAsia" w:eastAsiaTheme="minorEastAsia" w:cstheme="minorEastAsia"/>
          <w:sz w:val="32"/>
          <w:szCs w:val="32"/>
          <w:lang w:val="en-US" w:eastAsia="zh-CN"/>
        </w:rPr>
        <w:t>131.03</w:t>
      </w:r>
      <w:r>
        <w:rPr>
          <w:rFonts w:hint="eastAsia" w:asciiTheme="minorEastAsia" w:hAnsiTheme="minorEastAsia" w:eastAsiaTheme="minorEastAsia" w:cstheme="minorEastAsia"/>
          <w:sz w:val="32"/>
          <w:szCs w:val="32"/>
        </w:rPr>
        <w:t>万元。授予小微企业合同金额</w:t>
      </w:r>
      <w:r>
        <w:rPr>
          <w:rFonts w:hint="eastAsia" w:asciiTheme="minorEastAsia" w:hAnsiTheme="minorEastAsia" w:eastAsiaTheme="minorEastAsia" w:cstheme="minorEastAsia"/>
          <w:sz w:val="32"/>
          <w:szCs w:val="32"/>
          <w:lang w:val="en-US" w:eastAsia="zh-CN"/>
        </w:rPr>
        <w:t>155.83</w:t>
      </w:r>
      <w:r>
        <w:rPr>
          <w:rFonts w:hint="eastAsia" w:asciiTheme="minorEastAsia" w:hAnsiTheme="minorEastAsia" w:eastAsiaTheme="minorEastAsia" w:cstheme="minorEastAsia"/>
          <w:sz w:val="32"/>
          <w:szCs w:val="32"/>
        </w:rPr>
        <w:t>万元，占授予中小企业合同金额的</w:t>
      </w:r>
      <w:r>
        <w:rPr>
          <w:rFonts w:hint="eastAsia" w:asciiTheme="minorEastAsia" w:hAnsiTheme="minorEastAsia" w:eastAsiaTheme="minorEastAsia" w:cstheme="minorEastAsia"/>
          <w:sz w:val="32"/>
          <w:szCs w:val="32"/>
          <w:lang w:val="en-US" w:eastAsia="zh-CN"/>
        </w:rPr>
        <w:t>100</w:t>
      </w:r>
      <w:r>
        <w:rPr>
          <w:rFonts w:hint="eastAsia" w:asciiTheme="minorEastAsia" w:hAnsiTheme="minorEastAsia" w:eastAsiaTheme="minorEastAsia" w:cstheme="minorEastAsia"/>
          <w:sz w:val="32"/>
          <w:szCs w:val="32"/>
        </w:rPr>
        <w:t>%；货物采购授予小微企业合同金额占货物支出金额的</w:t>
      </w:r>
      <w:r>
        <w:rPr>
          <w:rFonts w:hint="eastAsia" w:asciiTheme="minorEastAsia" w:hAnsiTheme="minorEastAsia" w:eastAsiaTheme="minorEastAsia" w:cstheme="minorEastAsia"/>
          <w:sz w:val="32"/>
          <w:szCs w:val="32"/>
          <w:lang w:val="en-US" w:eastAsia="zh-CN"/>
        </w:rPr>
        <w:t>15.34</w:t>
      </w:r>
      <w:r>
        <w:rPr>
          <w:rFonts w:hint="eastAsia" w:asciiTheme="minorEastAsia" w:hAnsiTheme="minorEastAsia" w:eastAsiaTheme="minorEastAsia" w:cstheme="minorEastAsia"/>
          <w:sz w:val="32"/>
          <w:szCs w:val="32"/>
        </w:rPr>
        <w:t>%，工程采购授予小微企业合同金额占工程支出金额的</w:t>
      </w:r>
      <w:r>
        <w:rPr>
          <w:rFonts w:hint="eastAsia" w:asciiTheme="minorEastAsia" w:hAnsiTheme="minorEastAsia" w:eastAsiaTheme="minorEastAsia" w:cstheme="minorEastAsia"/>
          <w:sz w:val="32"/>
          <w:szCs w:val="32"/>
          <w:lang w:val="en-US" w:eastAsia="zh-CN"/>
        </w:rPr>
        <w:t>0.58</w:t>
      </w:r>
      <w:r>
        <w:rPr>
          <w:rFonts w:hint="eastAsia" w:asciiTheme="minorEastAsia" w:hAnsiTheme="minorEastAsia" w:eastAsiaTheme="minorEastAsia" w:cstheme="minorEastAsia"/>
          <w:sz w:val="32"/>
          <w:szCs w:val="32"/>
        </w:rPr>
        <w:t>%，服务采购授予小微企业合同金额占服务支出金额的</w:t>
      </w:r>
      <w:r>
        <w:rPr>
          <w:rFonts w:hint="eastAsia" w:asciiTheme="minorEastAsia" w:hAnsiTheme="minorEastAsia" w:eastAsiaTheme="minorEastAsia" w:cstheme="minorEastAsia"/>
          <w:sz w:val="32"/>
          <w:szCs w:val="32"/>
          <w:lang w:val="en-US" w:eastAsia="zh-CN"/>
        </w:rPr>
        <w:t>84.08</w:t>
      </w:r>
      <w:r>
        <w:rPr>
          <w:rFonts w:hint="eastAsia" w:asciiTheme="minorEastAsia" w:hAnsiTheme="minorEastAsia" w:eastAsiaTheme="minorEastAsia" w:cstheme="minorEastAsia"/>
          <w:sz w:val="32"/>
          <w:szCs w:val="32"/>
        </w:rPr>
        <w:t>%。</w:t>
      </w:r>
    </w:p>
    <w:p>
      <w:pPr>
        <w:pStyle w:val="15"/>
        <w:ind w:firstLine="640" w:firstLineChars="200"/>
        <w:rPr>
          <w:rFonts w:hint="eastAsia" w:asciiTheme="minorEastAsia" w:hAnsiTheme="minorEastAsia" w:eastAsiaTheme="minorEastAsia" w:cstheme="minorEastAsia"/>
          <w:b/>
          <w:sz w:val="32"/>
          <w:szCs w:val="32"/>
          <w:highlight w:val="none"/>
        </w:rPr>
      </w:pPr>
      <w:r>
        <w:rPr>
          <w:rFonts w:hint="eastAsia" w:asciiTheme="minorEastAsia" w:hAnsiTheme="minorEastAsia" w:eastAsiaTheme="minorEastAsia" w:cstheme="minorEastAsia"/>
          <w:b/>
          <w:sz w:val="32"/>
          <w:szCs w:val="32"/>
          <w:highlight w:val="none"/>
        </w:rPr>
        <w:t>十二、国有资产占用情况说明</w:t>
      </w:r>
    </w:p>
    <w:p>
      <w:pPr>
        <w:pStyle w:val="15"/>
        <w:ind w:firstLine="640" w:firstLineChars="200"/>
        <w:rPr>
          <w:rFonts w:hint="eastAsia" w:asciiTheme="minorEastAsia" w:hAnsiTheme="minorEastAsia" w:eastAsiaTheme="minorEastAsia" w:cstheme="minorEastAsia"/>
          <w:sz w:val="32"/>
          <w:szCs w:val="32"/>
          <w:highlight w:val="none"/>
        </w:rPr>
      </w:pPr>
      <w:r>
        <w:rPr>
          <w:rFonts w:hint="eastAsia" w:asciiTheme="minorEastAsia" w:hAnsiTheme="minorEastAsia" w:eastAsiaTheme="minorEastAsia" w:cstheme="minorEastAsia"/>
          <w:sz w:val="32"/>
          <w:szCs w:val="32"/>
          <w:highlight w:val="none"/>
        </w:rPr>
        <w:t>截至2021年12月31日，</w:t>
      </w:r>
      <w:r>
        <w:rPr>
          <w:rFonts w:hint="eastAsia" w:asciiTheme="minorEastAsia" w:hAnsiTheme="minorEastAsia" w:eastAsiaTheme="minorEastAsia" w:cstheme="minorEastAsia"/>
          <w:sz w:val="32"/>
          <w:szCs w:val="32"/>
          <w:highlight w:val="none"/>
          <w:lang w:eastAsia="zh-CN"/>
        </w:rPr>
        <w:t>本</w:t>
      </w:r>
      <w:r>
        <w:rPr>
          <w:rFonts w:hint="eastAsia" w:asciiTheme="minorEastAsia" w:hAnsiTheme="minorEastAsia" w:eastAsiaTheme="minorEastAsia" w:cstheme="minorEastAsia"/>
          <w:sz w:val="32"/>
          <w:szCs w:val="32"/>
          <w:highlight w:val="none"/>
        </w:rPr>
        <w:t>单位共有车辆</w:t>
      </w:r>
      <w:r>
        <w:rPr>
          <w:rFonts w:hint="eastAsia" w:asciiTheme="minorEastAsia" w:hAnsiTheme="minorEastAsia" w:eastAsiaTheme="minorEastAsia" w:cstheme="minorEastAsia"/>
          <w:sz w:val="32"/>
          <w:szCs w:val="32"/>
          <w:highlight w:val="none"/>
          <w:lang w:val="en-US" w:eastAsia="zh-CN"/>
        </w:rPr>
        <w:t>3</w:t>
      </w:r>
      <w:r>
        <w:rPr>
          <w:rFonts w:hint="eastAsia" w:asciiTheme="minorEastAsia" w:hAnsiTheme="minorEastAsia" w:eastAsiaTheme="minorEastAsia" w:cstheme="minorEastAsia"/>
          <w:sz w:val="32"/>
          <w:szCs w:val="32"/>
          <w:highlight w:val="none"/>
        </w:rPr>
        <w:t>辆，其中，主要</w:t>
      </w:r>
      <w:r>
        <w:rPr>
          <w:rFonts w:hint="eastAsia" w:asciiTheme="minorEastAsia" w:hAnsiTheme="minorEastAsia" w:eastAsiaTheme="minorEastAsia" w:cstheme="minorEastAsia"/>
          <w:sz w:val="32"/>
          <w:szCs w:val="32"/>
          <w:highlight w:val="none"/>
          <w:lang w:eastAsia="zh-CN"/>
        </w:rPr>
        <w:t>为</w:t>
      </w:r>
      <w:r>
        <w:rPr>
          <w:rFonts w:hint="eastAsia" w:asciiTheme="minorEastAsia" w:hAnsiTheme="minorEastAsia" w:eastAsiaTheme="minorEastAsia" w:cstheme="minorEastAsia"/>
          <w:sz w:val="32"/>
          <w:szCs w:val="32"/>
          <w:highlight w:val="none"/>
        </w:rPr>
        <w:t>执法执勤用车</w:t>
      </w:r>
      <w:r>
        <w:rPr>
          <w:rFonts w:hint="eastAsia" w:asciiTheme="minorEastAsia" w:hAnsiTheme="minorEastAsia" w:eastAsiaTheme="minorEastAsia" w:cstheme="minorEastAsia"/>
          <w:sz w:val="32"/>
          <w:szCs w:val="32"/>
          <w:highlight w:val="none"/>
          <w:lang w:val="en-US" w:eastAsia="zh-CN"/>
        </w:rPr>
        <w:t>1</w:t>
      </w:r>
      <w:r>
        <w:rPr>
          <w:rFonts w:hint="eastAsia" w:asciiTheme="minorEastAsia" w:hAnsiTheme="minorEastAsia" w:eastAsiaTheme="minorEastAsia" w:cstheme="minorEastAsia"/>
          <w:sz w:val="32"/>
          <w:szCs w:val="32"/>
          <w:highlight w:val="none"/>
        </w:rPr>
        <w:t>辆</w:t>
      </w:r>
      <w:r>
        <w:rPr>
          <w:rFonts w:hint="eastAsia" w:asciiTheme="minorEastAsia" w:hAnsiTheme="minorEastAsia" w:eastAsiaTheme="minorEastAsia" w:cstheme="minorEastAsia"/>
          <w:sz w:val="32"/>
          <w:szCs w:val="32"/>
          <w:highlight w:val="none"/>
          <w:lang w:eastAsia="zh-CN"/>
        </w:rPr>
        <w:t>，</w:t>
      </w:r>
      <w:r>
        <w:rPr>
          <w:rFonts w:hint="eastAsia" w:asciiTheme="minorEastAsia" w:hAnsiTheme="minorEastAsia" w:eastAsiaTheme="minorEastAsia" w:cstheme="minorEastAsia"/>
          <w:sz w:val="32"/>
          <w:szCs w:val="32"/>
          <w:highlight w:val="none"/>
          <w:lang w:val="en-US" w:eastAsia="zh-CN"/>
        </w:rPr>
        <w:t>其他按照规定配备的公务用车1辆</w:t>
      </w:r>
      <w:r>
        <w:rPr>
          <w:rFonts w:hint="eastAsia" w:asciiTheme="minorEastAsia" w:hAnsiTheme="minorEastAsia" w:eastAsiaTheme="minorEastAsia" w:cstheme="minorEastAsia"/>
          <w:sz w:val="32"/>
          <w:szCs w:val="32"/>
          <w:highlight w:val="none"/>
          <w:lang w:eastAsia="zh-CN"/>
        </w:rPr>
        <w:t>，</w:t>
      </w:r>
      <w:r>
        <w:rPr>
          <w:rFonts w:hint="eastAsia" w:ascii="仿宋_GB2312" w:hAnsi="仿宋_GB2312" w:eastAsia="仿宋_GB2312" w:cs="仿宋_GB2312"/>
          <w:bCs/>
          <w:kern w:val="0"/>
          <w:sz w:val="32"/>
          <w:szCs w:val="32"/>
          <w:highlight w:val="none"/>
        </w:rPr>
        <w:t>特种专业技术用车</w:t>
      </w:r>
      <w:r>
        <w:rPr>
          <w:rFonts w:hint="eastAsia" w:ascii="仿宋_GB2312" w:hAnsi="仿宋_GB2312" w:eastAsia="仿宋_GB2312" w:cs="仿宋_GB2312"/>
          <w:bCs/>
          <w:kern w:val="0"/>
          <w:sz w:val="32"/>
          <w:szCs w:val="32"/>
          <w:highlight w:val="none"/>
          <w:u w:val="none"/>
        </w:rPr>
        <w:t xml:space="preserve"> </w:t>
      </w:r>
      <w:r>
        <w:rPr>
          <w:rFonts w:hint="eastAsia" w:ascii="仿宋_GB2312" w:hAnsi="仿宋_GB2312" w:eastAsia="仿宋_GB2312" w:cs="仿宋_GB2312"/>
          <w:bCs/>
          <w:kern w:val="0"/>
          <w:sz w:val="32"/>
          <w:szCs w:val="32"/>
          <w:highlight w:val="none"/>
          <w:u w:val="none"/>
          <w:lang w:val="en-US" w:eastAsia="zh-CN"/>
        </w:rPr>
        <w:t>1</w:t>
      </w:r>
      <w:r>
        <w:rPr>
          <w:rFonts w:hint="eastAsia" w:ascii="仿宋_GB2312" w:hAnsi="仿宋_GB2312" w:eastAsia="仿宋_GB2312" w:cs="仿宋_GB2312"/>
          <w:bCs/>
          <w:kern w:val="0"/>
          <w:sz w:val="32"/>
          <w:szCs w:val="32"/>
          <w:highlight w:val="none"/>
        </w:rPr>
        <w:t>辆</w:t>
      </w:r>
      <w:r>
        <w:rPr>
          <w:rFonts w:hint="eastAsia" w:ascii="仿宋_GB2312" w:hAnsi="仿宋_GB2312" w:eastAsia="仿宋_GB2312" w:cs="仿宋_GB2312"/>
          <w:bCs/>
          <w:kern w:val="0"/>
          <w:sz w:val="32"/>
          <w:szCs w:val="32"/>
          <w:highlight w:val="none"/>
          <w:lang w:val="en-US" w:eastAsia="zh-CN"/>
        </w:rPr>
        <w:t>；</w:t>
      </w:r>
      <w:r>
        <w:rPr>
          <w:rFonts w:hint="eastAsia" w:asciiTheme="minorEastAsia" w:hAnsiTheme="minorEastAsia" w:eastAsiaTheme="minorEastAsia" w:cstheme="minorEastAsia"/>
          <w:sz w:val="32"/>
          <w:szCs w:val="32"/>
          <w:highlight w:val="none"/>
        </w:rPr>
        <w:t>单位</w:t>
      </w:r>
      <w:r>
        <w:rPr>
          <w:rFonts w:hint="eastAsia" w:asciiTheme="minorEastAsia" w:hAnsiTheme="minorEastAsia" w:eastAsiaTheme="minorEastAsia" w:cstheme="minorEastAsia"/>
          <w:sz w:val="32"/>
          <w:szCs w:val="32"/>
          <w:highlight w:val="none"/>
          <w:lang w:eastAsia="zh-CN"/>
        </w:rPr>
        <w:t>无</w:t>
      </w:r>
      <w:r>
        <w:rPr>
          <w:rFonts w:hint="eastAsia" w:asciiTheme="minorEastAsia" w:hAnsiTheme="minorEastAsia" w:eastAsiaTheme="minorEastAsia" w:cstheme="minorEastAsia"/>
          <w:sz w:val="32"/>
          <w:szCs w:val="32"/>
          <w:highlight w:val="none"/>
        </w:rPr>
        <w:t>价值50万元以上通用设备；单位</w:t>
      </w:r>
      <w:r>
        <w:rPr>
          <w:rFonts w:hint="eastAsia" w:asciiTheme="minorEastAsia" w:hAnsiTheme="minorEastAsia" w:eastAsiaTheme="minorEastAsia" w:cstheme="minorEastAsia"/>
          <w:sz w:val="32"/>
          <w:szCs w:val="32"/>
          <w:highlight w:val="none"/>
          <w:lang w:eastAsia="zh-CN"/>
        </w:rPr>
        <w:t>无</w:t>
      </w:r>
      <w:r>
        <w:rPr>
          <w:rFonts w:hint="eastAsia" w:asciiTheme="minorEastAsia" w:hAnsiTheme="minorEastAsia" w:eastAsiaTheme="minorEastAsia" w:cstheme="minorEastAsia"/>
          <w:sz w:val="32"/>
          <w:szCs w:val="32"/>
          <w:highlight w:val="none"/>
        </w:rPr>
        <w:t>价值100万元以上专用设备。</w:t>
      </w:r>
    </w:p>
    <w:p>
      <w:pPr>
        <w:pStyle w:val="15"/>
        <w:ind w:firstLine="640" w:firstLineChars="200"/>
        <w:rPr>
          <w:rFonts w:hint="eastAsia"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十三、2021年度预算绩效情况说明</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b/>
          <w:color w:val="000000"/>
          <w:kern w:val="0"/>
          <w:sz w:val="32"/>
          <w:szCs w:val="32"/>
        </w:rPr>
        <w:t>（1）绩效管理评价工作开展情况</w:t>
      </w:r>
      <w:r>
        <w:rPr>
          <w:rFonts w:hint="eastAsia" w:asciiTheme="minorEastAsia" w:hAnsiTheme="minorEastAsia" w:eastAsiaTheme="minorEastAsia" w:cstheme="minorEastAsia"/>
          <w:color w:val="000000"/>
          <w:kern w:val="0"/>
          <w:sz w:val="32"/>
          <w:szCs w:val="32"/>
        </w:rPr>
        <w:t>。</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highlight w:val="none"/>
        </w:rPr>
        <w:t>根据预算绩效管理要求，</w:t>
      </w:r>
      <w:r>
        <w:rPr>
          <w:rFonts w:hint="eastAsia" w:asciiTheme="minorEastAsia" w:hAnsiTheme="minorEastAsia" w:eastAsiaTheme="minorEastAsia" w:cstheme="minorEastAsia"/>
          <w:color w:val="000000"/>
          <w:kern w:val="0"/>
          <w:sz w:val="32"/>
          <w:szCs w:val="32"/>
          <w:highlight w:val="none"/>
          <w:lang w:val="en-US" w:eastAsia="zh-CN"/>
        </w:rPr>
        <w:t>经局党委研究决定处理了绩效管理评价工作领导小组，</w:t>
      </w:r>
      <w:r>
        <w:rPr>
          <w:rFonts w:hint="eastAsia" w:asciiTheme="minorEastAsia" w:hAnsiTheme="minorEastAsia" w:eastAsiaTheme="minorEastAsia" w:cstheme="minorEastAsia"/>
          <w:color w:val="000000"/>
          <w:kern w:val="0"/>
          <w:sz w:val="32"/>
          <w:szCs w:val="32"/>
        </w:rPr>
        <w:t>组织对2021年度一般公共预算项目支出全面开展绩效自评，</w:t>
      </w:r>
      <w:r>
        <w:rPr>
          <w:rFonts w:hint="eastAsia" w:asciiTheme="minorEastAsia" w:hAnsiTheme="minorEastAsia" w:eastAsiaTheme="minorEastAsia" w:cstheme="minorEastAsia"/>
          <w:color w:val="000000"/>
          <w:kern w:val="0"/>
          <w:sz w:val="32"/>
          <w:szCs w:val="32"/>
          <w:lang w:val="en-US" w:eastAsia="zh-CN"/>
        </w:rPr>
        <w:t>5</w:t>
      </w:r>
      <w:r>
        <w:rPr>
          <w:rFonts w:hint="eastAsia" w:asciiTheme="minorEastAsia" w:hAnsiTheme="minorEastAsia" w:eastAsiaTheme="minorEastAsia" w:cstheme="minorEastAsia"/>
          <w:color w:val="000000"/>
          <w:kern w:val="0"/>
          <w:sz w:val="32"/>
          <w:szCs w:val="32"/>
        </w:rPr>
        <w:t>个</w:t>
      </w:r>
      <w:r>
        <w:rPr>
          <w:rFonts w:hint="eastAsia" w:asciiTheme="minorEastAsia" w:hAnsiTheme="minorEastAsia" w:eastAsiaTheme="minorEastAsia" w:cstheme="minorEastAsia"/>
          <w:color w:val="000000"/>
          <w:kern w:val="0"/>
          <w:sz w:val="32"/>
          <w:szCs w:val="32"/>
          <w:lang w:val="en-US" w:eastAsia="zh-CN"/>
        </w:rPr>
        <w:t>都是</w:t>
      </w:r>
      <w:r>
        <w:rPr>
          <w:rFonts w:hint="eastAsia" w:asciiTheme="minorEastAsia" w:hAnsiTheme="minorEastAsia" w:eastAsiaTheme="minorEastAsia" w:cstheme="minorEastAsia"/>
          <w:color w:val="000000"/>
          <w:kern w:val="0"/>
          <w:sz w:val="32"/>
          <w:szCs w:val="32"/>
        </w:rPr>
        <w:t>二级项目，共涉及资金</w:t>
      </w:r>
      <w:r>
        <w:rPr>
          <w:rFonts w:hint="eastAsia" w:asciiTheme="minorEastAsia" w:hAnsiTheme="minorEastAsia" w:eastAsiaTheme="minorEastAsia" w:cstheme="minorEastAsia"/>
          <w:color w:val="000000"/>
          <w:kern w:val="0"/>
          <w:sz w:val="32"/>
          <w:szCs w:val="32"/>
          <w:lang w:val="en-US" w:eastAsia="zh-CN"/>
        </w:rPr>
        <w:t>213.84</w:t>
      </w:r>
      <w:r>
        <w:rPr>
          <w:rFonts w:hint="eastAsia" w:asciiTheme="minorEastAsia" w:hAnsiTheme="minorEastAsia" w:eastAsiaTheme="minorEastAsia" w:cstheme="minorEastAsia"/>
          <w:color w:val="000000"/>
          <w:kern w:val="0"/>
          <w:sz w:val="32"/>
          <w:szCs w:val="32"/>
        </w:rPr>
        <w:t>万元，占一般公共预算项目支出总额的</w:t>
      </w:r>
      <w:r>
        <w:rPr>
          <w:rFonts w:hint="eastAsia" w:asciiTheme="minorEastAsia" w:hAnsiTheme="minorEastAsia" w:eastAsiaTheme="minorEastAsia" w:cstheme="minorEastAsia"/>
          <w:color w:val="000000"/>
          <w:kern w:val="0"/>
          <w:sz w:val="32"/>
          <w:szCs w:val="32"/>
          <w:lang w:val="en-US" w:eastAsia="zh-CN"/>
        </w:rPr>
        <w:t>42</w:t>
      </w:r>
      <w:r>
        <w:rPr>
          <w:rFonts w:hint="eastAsia" w:asciiTheme="minorEastAsia" w:hAnsiTheme="minorEastAsia" w:eastAsiaTheme="minorEastAsia" w:cstheme="minorEastAsia"/>
          <w:color w:val="000000"/>
          <w:kern w:val="0"/>
          <w:sz w:val="32"/>
          <w:szCs w:val="32"/>
        </w:rPr>
        <w:t>%。</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rPr>
        <w:t>对“住建项目前期经费支出 ”“农村危房改造考核、督查、迎检、农村住房排查等支出”</w:t>
      </w:r>
      <w:r>
        <w:rPr>
          <w:rFonts w:hint="eastAsia" w:asciiTheme="minorEastAsia" w:hAnsiTheme="minorEastAsia" w:eastAsiaTheme="minorEastAsia" w:cstheme="minorEastAsia"/>
          <w:color w:val="000000"/>
          <w:kern w:val="0"/>
          <w:sz w:val="32"/>
          <w:szCs w:val="32"/>
          <w:lang w:eastAsia="zh-CN"/>
        </w:rPr>
        <w:t>“物业管理工作经费”“白蚁防治灭治”“管理公房修缮”等</w:t>
      </w:r>
      <w:r>
        <w:rPr>
          <w:rFonts w:hint="eastAsia" w:asciiTheme="minorEastAsia" w:hAnsiTheme="minorEastAsia" w:eastAsiaTheme="minorEastAsia" w:cstheme="minorEastAsia"/>
          <w:color w:val="000000"/>
          <w:kern w:val="0"/>
          <w:sz w:val="32"/>
          <w:szCs w:val="32"/>
          <w:lang w:val="en-US" w:eastAsia="zh-CN"/>
        </w:rPr>
        <w:t>5</w:t>
      </w:r>
      <w:r>
        <w:rPr>
          <w:rFonts w:hint="eastAsia" w:asciiTheme="minorEastAsia" w:hAnsiTheme="minorEastAsia" w:eastAsiaTheme="minorEastAsia" w:cstheme="minorEastAsia"/>
          <w:color w:val="000000"/>
          <w:kern w:val="0"/>
          <w:sz w:val="32"/>
          <w:szCs w:val="32"/>
          <w:lang w:eastAsia="zh-CN"/>
        </w:rPr>
        <w:t>个项目开展了部门评价，涉及一般公共</w:t>
      </w:r>
      <w:r>
        <w:rPr>
          <w:rFonts w:hint="eastAsia" w:asciiTheme="minorEastAsia" w:hAnsiTheme="minorEastAsia" w:eastAsiaTheme="minorEastAsia" w:cstheme="minorEastAsia"/>
          <w:color w:val="000000"/>
          <w:kern w:val="0"/>
          <w:sz w:val="32"/>
          <w:szCs w:val="32"/>
        </w:rPr>
        <w:t>预算支出</w:t>
      </w:r>
      <w:r>
        <w:rPr>
          <w:rFonts w:hint="eastAsia" w:asciiTheme="minorEastAsia" w:hAnsiTheme="minorEastAsia" w:eastAsiaTheme="minorEastAsia" w:cstheme="minorEastAsia"/>
          <w:color w:val="000000"/>
          <w:kern w:val="0"/>
          <w:sz w:val="32"/>
          <w:szCs w:val="32"/>
          <w:lang w:val="en-US" w:eastAsia="zh-CN"/>
        </w:rPr>
        <w:t>213.84</w:t>
      </w:r>
      <w:r>
        <w:rPr>
          <w:rFonts w:hint="eastAsia" w:asciiTheme="minorEastAsia" w:hAnsiTheme="minorEastAsia" w:eastAsiaTheme="minorEastAsia" w:cstheme="minorEastAsia"/>
          <w:color w:val="000000"/>
          <w:kern w:val="0"/>
          <w:sz w:val="32"/>
          <w:szCs w:val="32"/>
        </w:rPr>
        <w:t>万元。</w:t>
      </w:r>
    </w:p>
    <w:p>
      <w:pPr>
        <w:autoSpaceDE w:val="0"/>
        <w:autoSpaceDN w:val="0"/>
        <w:adjustRightInd w:val="0"/>
        <w:ind w:firstLine="640" w:firstLineChars="200"/>
        <w:jc w:val="left"/>
        <w:rPr>
          <w:rFonts w:hint="eastAsia" w:asciiTheme="minorEastAsia" w:hAnsiTheme="minorEastAsia" w:eastAsiaTheme="minorEastAsia" w:cstheme="minorEastAsia"/>
          <w:b/>
          <w:color w:val="000000"/>
          <w:kern w:val="0"/>
          <w:sz w:val="32"/>
          <w:szCs w:val="32"/>
        </w:rPr>
      </w:pPr>
      <w:r>
        <w:rPr>
          <w:rFonts w:hint="eastAsia" w:asciiTheme="minorEastAsia" w:hAnsiTheme="minorEastAsia" w:eastAsiaTheme="minorEastAsia" w:cstheme="minorEastAsia"/>
          <w:b/>
          <w:color w:val="000000"/>
          <w:kern w:val="0"/>
          <w:sz w:val="32"/>
          <w:szCs w:val="32"/>
        </w:rPr>
        <w:t>（2）部门决算中项目绩效自评结果。</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rPr>
        <w:t>农村危房改造考核、督查、迎检、农村住房排查等支出项目绩效自评综述：根据年初设定的绩效目标，项目绩效自评得分为</w:t>
      </w:r>
      <w:r>
        <w:rPr>
          <w:rFonts w:hint="eastAsia" w:asciiTheme="minorEastAsia" w:hAnsiTheme="minorEastAsia" w:eastAsiaTheme="minorEastAsia" w:cstheme="minorEastAsia"/>
          <w:color w:val="000000"/>
          <w:kern w:val="0"/>
          <w:sz w:val="32"/>
          <w:szCs w:val="32"/>
          <w:lang w:val="en-US" w:eastAsia="zh-CN"/>
        </w:rPr>
        <w:t>98</w:t>
      </w:r>
      <w:r>
        <w:rPr>
          <w:rFonts w:hint="eastAsia" w:asciiTheme="minorEastAsia" w:hAnsiTheme="minorEastAsia" w:eastAsiaTheme="minorEastAsia" w:cstheme="minorEastAsia"/>
          <w:color w:val="000000"/>
          <w:kern w:val="0"/>
          <w:sz w:val="32"/>
          <w:szCs w:val="32"/>
        </w:rPr>
        <w:t>分。项目全年预算数为</w:t>
      </w:r>
      <w:r>
        <w:rPr>
          <w:rFonts w:hint="eastAsia" w:asciiTheme="minorEastAsia" w:hAnsiTheme="minorEastAsia" w:eastAsiaTheme="minorEastAsia" w:cstheme="minorEastAsia"/>
          <w:color w:val="000000"/>
          <w:kern w:val="0"/>
          <w:sz w:val="32"/>
          <w:szCs w:val="32"/>
          <w:lang w:val="en-US" w:eastAsia="zh-CN"/>
        </w:rPr>
        <w:t>40</w:t>
      </w:r>
      <w:r>
        <w:rPr>
          <w:rFonts w:hint="eastAsia" w:asciiTheme="minorEastAsia" w:hAnsiTheme="minorEastAsia" w:eastAsiaTheme="minorEastAsia" w:cstheme="minorEastAsia"/>
          <w:color w:val="000000"/>
          <w:kern w:val="0"/>
          <w:sz w:val="32"/>
          <w:szCs w:val="32"/>
        </w:rPr>
        <w:t>万元，执行数为</w:t>
      </w:r>
      <w:r>
        <w:rPr>
          <w:rFonts w:hint="eastAsia" w:asciiTheme="minorEastAsia" w:hAnsiTheme="minorEastAsia" w:eastAsiaTheme="minorEastAsia" w:cstheme="minorEastAsia"/>
          <w:color w:val="000000"/>
          <w:kern w:val="0"/>
          <w:sz w:val="32"/>
          <w:szCs w:val="32"/>
          <w:lang w:val="en-US" w:eastAsia="zh-CN"/>
        </w:rPr>
        <w:t>36.07</w:t>
      </w:r>
      <w:r>
        <w:rPr>
          <w:rFonts w:hint="eastAsia" w:asciiTheme="minorEastAsia" w:hAnsiTheme="minorEastAsia" w:eastAsiaTheme="minorEastAsia" w:cstheme="minorEastAsia"/>
          <w:color w:val="000000"/>
          <w:kern w:val="0"/>
          <w:sz w:val="32"/>
          <w:szCs w:val="32"/>
        </w:rPr>
        <w:t>万元，完成预算的</w:t>
      </w:r>
      <w:r>
        <w:rPr>
          <w:rFonts w:hint="eastAsia" w:asciiTheme="minorEastAsia" w:hAnsiTheme="minorEastAsia" w:eastAsiaTheme="minorEastAsia" w:cstheme="minorEastAsia"/>
          <w:color w:val="000000"/>
          <w:kern w:val="0"/>
          <w:sz w:val="32"/>
          <w:szCs w:val="32"/>
          <w:lang w:val="en-US" w:eastAsia="zh-CN"/>
        </w:rPr>
        <w:t>90</w:t>
      </w:r>
      <w:r>
        <w:rPr>
          <w:rFonts w:hint="eastAsia" w:asciiTheme="minorEastAsia" w:hAnsiTheme="minorEastAsia" w:eastAsiaTheme="minorEastAsia" w:cstheme="minorEastAsia"/>
          <w:color w:val="000000"/>
          <w:kern w:val="0"/>
          <w:sz w:val="32"/>
          <w:szCs w:val="32"/>
        </w:rPr>
        <w:t>%。项目绩效目标完成情况：一是完成全市“六类”农村低收入群体危房改造309户；二是309户危改对象开、竣工率100%</w:t>
      </w:r>
      <w:r>
        <w:rPr>
          <w:rFonts w:hint="eastAsia" w:asciiTheme="minorEastAsia" w:hAnsiTheme="minorEastAsia" w:eastAsiaTheme="minorEastAsia" w:cstheme="minorEastAsia"/>
          <w:color w:val="000000"/>
          <w:kern w:val="0"/>
          <w:sz w:val="32"/>
          <w:szCs w:val="32"/>
          <w:lang w:eastAsia="zh-CN"/>
        </w:rPr>
        <w:t>；</w:t>
      </w:r>
      <w:r>
        <w:rPr>
          <w:rFonts w:hint="eastAsia" w:asciiTheme="minorEastAsia" w:hAnsiTheme="minorEastAsia" w:eastAsiaTheme="minorEastAsia" w:cstheme="minorEastAsia"/>
          <w:color w:val="000000"/>
          <w:kern w:val="0"/>
          <w:sz w:val="32"/>
          <w:szCs w:val="32"/>
          <w:lang w:val="en-US" w:eastAsia="zh-CN"/>
        </w:rPr>
        <w:t>三是</w:t>
      </w:r>
      <w:r>
        <w:rPr>
          <w:rFonts w:hint="eastAsia" w:asciiTheme="minorEastAsia" w:hAnsiTheme="minorEastAsia" w:eastAsiaTheme="minorEastAsia" w:cstheme="minorEastAsia"/>
          <w:color w:val="000000"/>
          <w:kern w:val="0"/>
          <w:sz w:val="32"/>
          <w:szCs w:val="32"/>
        </w:rPr>
        <w:t>已完成全覆盖竣工验收，已拨付专项补助资金837.5万元。发现的主要问题及原因：一是</w:t>
      </w:r>
      <w:r>
        <w:rPr>
          <w:rFonts w:hint="eastAsia" w:asciiTheme="minorEastAsia" w:hAnsiTheme="minorEastAsia" w:eastAsiaTheme="minorEastAsia" w:cstheme="minorEastAsia"/>
          <w:color w:val="000000"/>
          <w:kern w:val="0"/>
          <w:sz w:val="32"/>
          <w:szCs w:val="32"/>
          <w:lang w:val="en-US" w:eastAsia="zh-CN"/>
        </w:rPr>
        <w:t>资金投入不足，本级财政紧张，配套较少，造成农村困难人群在危改中自筹部份较多</w:t>
      </w:r>
      <w:r>
        <w:rPr>
          <w:rFonts w:hint="eastAsia" w:asciiTheme="minorEastAsia" w:hAnsiTheme="minorEastAsia" w:eastAsiaTheme="minorEastAsia" w:cstheme="minorEastAsia"/>
          <w:color w:val="000000"/>
          <w:kern w:val="0"/>
          <w:sz w:val="32"/>
          <w:szCs w:val="32"/>
        </w:rPr>
        <w:t>；二是</w:t>
      </w:r>
      <w:r>
        <w:rPr>
          <w:rFonts w:hint="eastAsia" w:asciiTheme="minorEastAsia" w:hAnsiTheme="minorEastAsia" w:eastAsiaTheme="minorEastAsia" w:cstheme="minorEastAsia"/>
          <w:color w:val="000000"/>
          <w:kern w:val="0"/>
          <w:sz w:val="32"/>
          <w:szCs w:val="32"/>
          <w:lang w:val="en-US" w:eastAsia="zh-CN"/>
        </w:rPr>
        <w:t>财政资金拨付不能及时到位</w:t>
      </w:r>
      <w:r>
        <w:rPr>
          <w:rFonts w:hint="eastAsia" w:asciiTheme="minorEastAsia" w:hAnsiTheme="minorEastAsia" w:eastAsiaTheme="minorEastAsia" w:cstheme="minorEastAsia"/>
          <w:color w:val="000000"/>
          <w:kern w:val="0"/>
          <w:sz w:val="32"/>
          <w:szCs w:val="32"/>
        </w:rPr>
        <w:t>。下一步改进措施：一是</w:t>
      </w:r>
      <w:r>
        <w:rPr>
          <w:rFonts w:hint="eastAsia" w:asciiTheme="minorEastAsia" w:hAnsiTheme="minorEastAsia" w:eastAsiaTheme="minorEastAsia" w:cstheme="minorEastAsia"/>
          <w:color w:val="000000"/>
          <w:kern w:val="0"/>
          <w:sz w:val="32"/>
          <w:szCs w:val="32"/>
          <w:lang w:val="en-US" w:eastAsia="zh-CN"/>
        </w:rPr>
        <w:t>加大资金投入</w:t>
      </w:r>
      <w:r>
        <w:rPr>
          <w:rFonts w:hint="eastAsia" w:asciiTheme="minorEastAsia" w:hAnsiTheme="minorEastAsia" w:eastAsiaTheme="minorEastAsia" w:cstheme="minorEastAsia"/>
          <w:color w:val="000000"/>
          <w:kern w:val="0"/>
          <w:sz w:val="32"/>
          <w:szCs w:val="32"/>
        </w:rPr>
        <w:t>；二是</w:t>
      </w:r>
      <w:r>
        <w:rPr>
          <w:rFonts w:hint="eastAsia" w:asciiTheme="minorEastAsia" w:hAnsiTheme="minorEastAsia" w:eastAsiaTheme="minorEastAsia" w:cstheme="minorEastAsia"/>
          <w:color w:val="000000"/>
          <w:kern w:val="0"/>
          <w:sz w:val="32"/>
          <w:szCs w:val="32"/>
          <w:lang w:val="en-US" w:eastAsia="zh-CN"/>
        </w:rPr>
        <w:t>资金及时拨付到位</w:t>
      </w:r>
      <w:r>
        <w:rPr>
          <w:rFonts w:hint="eastAsia" w:asciiTheme="minorEastAsia" w:hAnsiTheme="minorEastAsia" w:eastAsiaTheme="minorEastAsia" w:cstheme="minorEastAsia"/>
          <w:color w:val="000000"/>
          <w:kern w:val="0"/>
          <w:sz w:val="32"/>
          <w:szCs w:val="32"/>
        </w:rPr>
        <w:t>。</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b/>
          <w:color w:val="000000"/>
          <w:kern w:val="0"/>
          <w:sz w:val="32"/>
          <w:szCs w:val="32"/>
        </w:rPr>
        <w:t>（3）部门评价项目绩效评价结果。</w:t>
      </w:r>
    </w:p>
    <w:p>
      <w:pPr>
        <w:autoSpaceDE w:val="0"/>
        <w:autoSpaceDN w:val="0"/>
        <w:adjustRightInd w:val="0"/>
        <w:ind w:firstLine="640" w:firstLineChars="200"/>
        <w:jc w:val="left"/>
        <w:rPr>
          <w:rFonts w:hint="eastAsia" w:asciiTheme="minorEastAsia" w:hAnsiTheme="minorEastAsia" w:eastAsiaTheme="minorEastAsia" w:cstheme="minorEastAsia"/>
          <w:color w:val="000000"/>
          <w:kern w:val="0"/>
          <w:sz w:val="32"/>
          <w:szCs w:val="32"/>
        </w:rPr>
      </w:pPr>
      <w:r>
        <w:rPr>
          <w:rFonts w:hint="eastAsia" w:asciiTheme="minorEastAsia" w:hAnsiTheme="minorEastAsia" w:eastAsiaTheme="minorEastAsia" w:cstheme="minorEastAsia"/>
          <w:color w:val="000000"/>
          <w:kern w:val="0"/>
          <w:sz w:val="32"/>
          <w:szCs w:val="32"/>
          <w:lang w:val="en-US" w:eastAsia="zh-CN"/>
        </w:rPr>
        <w:t>现</w:t>
      </w:r>
      <w:r>
        <w:rPr>
          <w:rFonts w:hint="eastAsia" w:asciiTheme="minorEastAsia" w:hAnsiTheme="minorEastAsia" w:eastAsiaTheme="minorEastAsia" w:cstheme="minorEastAsia"/>
          <w:color w:val="000000"/>
          <w:kern w:val="0"/>
          <w:sz w:val="32"/>
          <w:szCs w:val="32"/>
        </w:rPr>
        <w:t>将</w:t>
      </w:r>
      <w:r>
        <w:rPr>
          <w:rFonts w:hint="eastAsia" w:asciiTheme="minorEastAsia" w:hAnsiTheme="minorEastAsia" w:eastAsiaTheme="minorEastAsia" w:cstheme="minorEastAsia"/>
          <w:color w:val="000000"/>
          <w:kern w:val="0"/>
          <w:sz w:val="32"/>
          <w:szCs w:val="32"/>
          <w:lang w:val="en-US" w:eastAsia="zh-CN"/>
        </w:rPr>
        <w:t>2021年部门整体支出绩效自评报告和农村危房改造考核、督查、迎检、农村住房排查等支出</w:t>
      </w:r>
      <w:r>
        <w:rPr>
          <w:rFonts w:hint="eastAsia" w:asciiTheme="minorEastAsia" w:hAnsiTheme="minorEastAsia" w:eastAsiaTheme="minorEastAsia" w:cstheme="minorEastAsia"/>
          <w:color w:val="000000"/>
          <w:kern w:val="0"/>
          <w:sz w:val="32"/>
          <w:szCs w:val="32"/>
          <w:lang w:eastAsia="zh-CN"/>
        </w:rPr>
        <w:t>绩效自评</w:t>
      </w:r>
      <w:r>
        <w:rPr>
          <w:rFonts w:hint="eastAsia" w:asciiTheme="minorEastAsia" w:hAnsiTheme="minorEastAsia" w:eastAsiaTheme="minorEastAsia" w:cstheme="minorEastAsia"/>
          <w:color w:val="000000"/>
          <w:kern w:val="0"/>
          <w:sz w:val="32"/>
          <w:szCs w:val="32"/>
        </w:rPr>
        <w:t>报告向社会公开。</w:t>
      </w: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rPr>
          <w:rFonts w:hint="eastAsia" w:asciiTheme="minorEastAsia" w:hAnsiTheme="minorEastAsia" w:eastAsiaTheme="minorEastAsia" w:cstheme="minorEastAsia"/>
          <w:sz w:val="72"/>
          <w:szCs w:val="72"/>
        </w:rPr>
      </w:pPr>
    </w:p>
    <w:p>
      <w:pPr>
        <w:pStyle w:val="15"/>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sz w:val="72"/>
          <w:szCs w:val="72"/>
        </w:rPr>
      </w:pPr>
    </w:p>
    <w:p>
      <w:pPr>
        <w:pStyle w:val="15"/>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第四部分</w:t>
      </w:r>
    </w:p>
    <w:p>
      <w:pPr>
        <w:jc w:val="center"/>
        <w:rPr>
          <w:rFonts w:hint="eastAsia" w:asciiTheme="minorEastAsia" w:hAnsiTheme="minorEastAsia" w:eastAsiaTheme="minorEastAsia" w:cstheme="minorEastAsia"/>
          <w:b/>
          <w:bCs/>
          <w:color w:val="000000"/>
          <w:kern w:val="0"/>
          <w:sz w:val="70"/>
          <w:szCs w:val="70"/>
        </w:rPr>
      </w:pPr>
    </w:p>
    <w:p>
      <w:pPr>
        <w:jc w:val="center"/>
        <w:rPr>
          <w:rFonts w:hint="eastAsia" w:asciiTheme="minorEastAsia" w:hAnsiTheme="minorEastAsia" w:eastAsiaTheme="minorEastAsia" w:cstheme="minorEastAsia"/>
          <w:b/>
          <w:bCs/>
          <w:color w:val="000000"/>
          <w:kern w:val="0"/>
          <w:sz w:val="70"/>
          <w:szCs w:val="70"/>
        </w:rPr>
      </w:pPr>
      <w:r>
        <w:rPr>
          <w:rFonts w:hint="eastAsia" w:asciiTheme="minorEastAsia" w:hAnsiTheme="minorEastAsia" w:eastAsiaTheme="minorEastAsia" w:cstheme="minorEastAsia"/>
          <w:b/>
          <w:bCs/>
          <w:color w:val="000000"/>
          <w:kern w:val="0"/>
          <w:sz w:val="70"/>
          <w:szCs w:val="70"/>
        </w:rPr>
        <w:t>名词解释</w:t>
      </w: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jc w:val="left"/>
        <w:rPr>
          <w:rFonts w:hint="eastAsia" w:asciiTheme="minorEastAsia" w:hAnsiTheme="minorEastAsia" w:eastAsiaTheme="minorEastAsia" w:cstheme="minorEastAsia"/>
          <w:color w:val="000000"/>
          <w:kern w:val="0"/>
          <w:sz w:val="32"/>
          <w:szCs w:val="32"/>
          <w:lang w:val="en-US" w:eastAsia="zh-CN" w:bidi="ar-SA"/>
        </w:rPr>
      </w:pPr>
    </w:p>
    <w:p>
      <w:pPr>
        <w:widowControl/>
        <w:ind w:firstLine="640" w:firstLineChars="200"/>
        <w:jc w:val="left"/>
        <w:rPr>
          <w:rFonts w:hint="eastAsia" w:asciiTheme="minorEastAsia" w:hAnsiTheme="minorEastAsia" w:eastAsiaTheme="minorEastAsia" w:cstheme="minorEastAsia"/>
          <w:color w:val="000000"/>
          <w:kern w:val="0"/>
          <w:sz w:val="32"/>
          <w:szCs w:val="32"/>
          <w:lang w:val="en-US" w:eastAsia="zh-CN" w:bidi="ar-SA"/>
        </w:rPr>
      </w:pPr>
      <w:r>
        <w:rPr>
          <w:rFonts w:hint="eastAsia" w:asciiTheme="minorEastAsia" w:hAnsiTheme="minorEastAsia" w:eastAsiaTheme="minorEastAsia" w:cstheme="minorEastAsia"/>
          <w:color w:val="000000"/>
          <w:kern w:val="0"/>
          <w:sz w:val="32"/>
          <w:szCs w:val="32"/>
          <w:lang w:val="en-US" w:eastAsia="zh-CN" w:bidi="ar-SA"/>
        </w:rPr>
        <w:t>一、“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pStyle w:val="15"/>
        <w:jc w:val="both"/>
        <w:rPr>
          <w:rFonts w:hint="eastAsia" w:asciiTheme="minorEastAsia" w:hAnsiTheme="minorEastAsia" w:eastAsiaTheme="minorEastAsia" w:cstheme="minorEastAsia"/>
          <w:color w:val="000000"/>
          <w:kern w:val="0"/>
          <w:sz w:val="32"/>
          <w:szCs w:val="32"/>
          <w:lang w:val="en-US" w:eastAsia="zh-CN" w:bidi="ar-SA"/>
        </w:rPr>
      </w:pPr>
      <w:r>
        <w:rPr>
          <w:rFonts w:hint="eastAsia" w:asciiTheme="minorEastAsia" w:hAnsiTheme="minorEastAsia" w:eastAsiaTheme="minorEastAsia" w:cstheme="minorEastAsia"/>
          <w:color w:val="000000"/>
          <w:kern w:val="0"/>
          <w:sz w:val="32"/>
          <w:szCs w:val="32"/>
          <w:lang w:val="en-US" w:eastAsia="zh-CN" w:bidi="ar-SA"/>
        </w:rPr>
        <w:t xml:space="preserve">    二、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color w:val="000000"/>
          <w:kern w:val="0"/>
          <w:sz w:val="32"/>
          <w:szCs w:val="32"/>
          <w:lang w:val="en-US" w:eastAsia="zh-CN" w:bidi="ar-SA"/>
        </w:rPr>
      </w:pPr>
      <w:r>
        <w:rPr>
          <w:rFonts w:hint="eastAsia" w:asciiTheme="minorEastAsia" w:hAnsiTheme="minorEastAsia" w:eastAsiaTheme="minorEastAsia" w:cstheme="minorEastAsia"/>
          <w:color w:val="000000"/>
          <w:kern w:val="0"/>
          <w:sz w:val="32"/>
          <w:szCs w:val="32"/>
          <w:lang w:val="en-US" w:eastAsia="zh-CN" w:bidi="ar-SA"/>
        </w:rPr>
        <w:t xml:space="preserve"> </w:t>
      </w:r>
    </w:p>
    <w:p>
      <w:pPr>
        <w:pStyle w:val="15"/>
        <w:jc w:val="center"/>
        <w:rPr>
          <w:rFonts w:hint="eastAsia" w:asciiTheme="minorEastAsia" w:hAnsiTheme="minorEastAsia" w:eastAsiaTheme="minorEastAsia" w:cstheme="minorEastAsia"/>
          <w:color w:val="000000"/>
          <w:kern w:val="0"/>
          <w:sz w:val="32"/>
          <w:szCs w:val="32"/>
          <w:lang w:val="en-US" w:eastAsia="zh-CN" w:bidi="ar-SA"/>
        </w:rPr>
      </w:pPr>
    </w:p>
    <w:p>
      <w:pPr>
        <w:pStyle w:val="15"/>
        <w:jc w:val="center"/>
        <w:rPr>
          <w:rFonts w:hint="eastAsia" w:asciiTheme="minorEastAsia" w:hAnsiTheme="minorEastAsia" w:eastAsiaTheme="minorEastAsia" w:cstheme="minorEastAsia"/>
          <w:color w:val="000000"/>
          <w:kern w:val="0"/>
          <w:sz w:val="32"/>
          <w:szCs w:val="32"/>
          <w:lang w:val="en-US" w:eastAsia="zh-CN" w:bidi="ar-SA"/>
        </w:rPr>
      </w:pPr>
    </w:p>
    <w:p>
      <w:pPr>
        <w:pStyle w:val="15"/>
        <w:jc w:val="center"/>
        <w:rPr>
          <w:rFonts w:hint="eastAsia" w:asciiTheme="minorEastAsia" w:hAnsiTheme="minorEastAsia" w:eastAsiaTheme="minorEastAsia" w:cstheme="minorEastAsia"/>
          <w:color w:val="000000"/>
          <w:kern w:val="0"/>
          <w:sz w:val="32"/>
          <w:szCs w:val="32"/>
          <w:lang w:val="en-US" w:eastAsia="zh-CN" w:bidi="ar-SA"/>
        </w:rPr>
      </w:pPr>
    </w:p>
    <w:p>
      <w:pPr>
        <w:pStyle w:val="15"/>
        <w:jc w:val="center"/>
        <w:rPr>
          <w:rFonts w:hint="eastAsia" w:asciiTheme="minorEastAsia" w:hAnsiTheme="minorEastAsia" w:eastAsiaTheme="minorEastAsia" w:cstheme="minorEastAsia"/>
          <w:color w:val="000000"/>
          <w:kern w:val="0"/>
          <w:sz w:val="32"/>
          <w:szCs w:val="32"/>
          <w:lang w:val="en-US" w:eastAsia="zh-CN" w:bidi="ar-SA"/>
        </w:rPr>
      </w:pPr>
    </w:p>
    <w:p>
      <w:pPr>
        <w:pStyle w:val="15"/>
        <w:jc w:val="center"/>
        <w:rPr>
          <w:rFonts w:hint="eastAsia" w:asciiTheme="minorEastAsia" w:hAnsiTheme="minorEastAsia" w:eastAsiaTheme="minorEastAsia" w:cstheme="minorEastAsia"/>
          <w:color w:val="000000"/>
          <w:kern w:val="0"/>
          <w:sz w:val="32"/>
          <w:szCs w:val="32"/>
          <w:lang w:val="en-US" w:eastAsia="zh-CN" w:bidi="ar-SA"/>
        </w:rPr>
      </w:pPr>
    </w:p>
    <w:p>
      <w:pPr>
        <w:pStyle w:val="15"/>
        <w:jc w:val="both"/>
        <w:rPr>
          <w:rFonts w:hint="eastAsia" w:asciiTheme="minorEastAsia" w:hAnsiTheme="minorEastAsia" w:eastAsiaTheme="minorEastAsia" w:cstheme="minorEastAsia"/>
          <w:sz w:val="72"/>
          <w:szCs w:val="72"/>
          <w:lang w:val="en-US" w:eastAsia="zh-CN"/>
        </w:rPr>
      </w:pPr>
    </w:p>
    <w:p>
      <w:pPr>
        <w:pStyle w:val="15"/>
        <w:jc w:val="both"/>
        <w:rPr>
          <w:rFonts w:hint="eastAsia" w:asciiTheme="minorEastAsia" w:hAnsiTheme="minorEastAsia" w:eastAsiaTheme="minorEastAsia" w:cstheme="minorEastAsia"/>
          <w:sz w:val="72"/>
          <w:szCs w:val="72"/>
          <w:lang w:val="en-US" w:eastAsia="zh-CN"/>
        </w:rPr>
      </w:pPr>
    </w:p>
    <w:p>
      <w:pPr>
        <w:pStyle w:val="15"/>
        <w:jc w:val="both"/>
        <w:rPr>
          <w:rFonts w:hint="eastAsia" w:asciiTheme="minorEastAsia" w:hAnsiTheme="minorEastAsia" w:eastAsiaTheme="minorEastAsia" w:cstheme="minorEastAsia"/>
          <w:sz w:val="72"/>
          <w:szCs w:val="72"/>
          <w:lang w:val="en-US" w:eastAsia="zh-CN"/>
        </w:rPr>
      </w:pPr>
    </w:p>
    <w:p>
      <w:pPr>
        <w:pStyle w:val="15"/>
        <w:jc w:val="both"/>
        <w:rPr>
          <w:rFonts w:hint="eastAsia" w:asciiTheme="minorEastAsia" w:hAnsiTheme="minorEastAsia" w:eastAsiaTheme="minorEastAsia" w:cstheme="minorEastAsia"/>
          <w:sz w:val="72"/>
          <w:szCs w:val="72"/>
          <w:lang w:val="en-US" w:eastAsia="zh-CN"/>
        </w:rPr>
      </w:pPr>
    </w:p>
    <w:p>
      <w:pPr>
        <w:pStyle w:val="15"/>
        <w:jc w:val="both"/>
        <w:rPr>
          <w:rFonts w:hint="eastAsia" w:asciiTheme="minorEastAsia" w:hAnsiTheme="minorEastAsia" w:eastAsiaTheme="minorEastAsia" w:cstheme="minorEastAsia"/>
          <w:sz w:val="72"/>
          <w:szCs w:val="72"/>
          <w:lang w:val="en-US" w:eastAsia="zh-CN"/>
        </w:rPr>
      </w:pPr>
    </w:p>
    <w:p>
      <w:pPr>
        <w:pStyle w:val="15"/>
        <w:jc w:val="both"/>
        <w:rPr>
          <w:rFonts w:hint="eastAsia" w:asciiTheme="minorEastAsia" w:hAnsiTheme="minorEastAsia" w:eastAsiaTheme="minorEastAsia" w:cstheme="minorEastAsia"/>
          <w:sz w:val="72"/>
          <w:szCs w:val="72"/>
          <w:lang w:val="en-US" w:eastAsia="zh-CN"/>
        </w:rPr>
      </w:pPr>
    </w:p>
    <w:p>
      <w:pPr>
        <w:pStyle w:val="15"/>
        <w:jc w:val="center"/>
        <w:rPr>
          <w:rFonts w:hint="eastAsia" w:asciiTheme="minorEastAsia" w:hAnsiTheme="minorEastAsia" w:eastAsiaTheme="minorEastAsia" w:cstheme="minorEastAsia"/>
          <w:b/>
          <w:bCs/>
          <w:sz w:val="72"/>
          <w:szCs w:val="72"/>
        </w:rPr>
      </w:pPr>
      <w:r>
        <w:rPr>
          <w:rFonts w:hint="eastAsia" w:asciiTheme="minorEastAsia" w:hAnsiTheme="minorEastAsia" w:eastAsiaTheme="minorEastAsia" w:cstheme="minorEastAsia"/>
          <w:b/>
          <w:bCs/>
          <w:sz w:val="72"/>
          <w:szCs w:val="72"/>
        </w:rPr>
        <w:t>第五部分</w:t>
      </w:r>
    </w:p>
    <w:p>
      <w:pPr>
        <w:jc w:val="center"/>
        <w:rPr>
          <w:rFonts w:hint="eastAsia" w:asciiTheme="minorEastAsia" w:hAnsiTheme="minorEastAsia" w:eastAsiaTheme="minorEastAsia" w:cstheme="minorEastAsia"/>
          <w:b/>
          <w:bCs/>
          <w:color w:val="000000"/>
          <w:kern w:val="0"/>
          <w:sz w:val="70"/>
          <w:szCs w:val="70"/>
        </w:rPr>
      </w:pPr>
    </w:p>
    <w:p>
      <w:pPr>
        <w:jc w:val="center"/>
        <w:rPr>
          <w:rFonts w:hint="eastAsia" w:asciiTheme="minorEastAsia" w:hAnsiTheme="minorEastAsia" w:eastAsiaTheme="minorEastAsia" w:cstheme="minorEastAsia"/>
          <w:b/>
          <w:bCs/>
          <w:color w:val="000000"/>
          <w:kern w:val="0"/>
          <w:sz w:val="70"/>
          <w:szCs w:val="70"/>
        </w:rPr>
      </w:pPr>
      <w:r>
        <w:rPr>
          <w:rFonts w:hint="eastAsia" w:asciiTheme="minorEastAsia" w:hAnsiTheme="minorEastAsia" w:eastAsiaTheme="minorEastAsia" w:cstheme="minorEastAsia"/>
          <w:b/>
          <w:bCs/>
          <w:color w:val="000000"/>
          <w:kern w:val="0"/>
          <w:sz w:val="70"/>
          <w:szCs w:val="70"/>
        </w:rPr>
        <w:t>附件</w:t>
      </w:r>
    </w:p>
    <w:p>
      <w:pPr>
        <w:widowControl/>
        <w:jc w:val="left"/>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color w:val="000000"/>
          <w:kern w:val="0"/>
          <w:sz w:val="70"/>
          <w:szCs w:val="70"/>
        </w:rP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湘乡市住房和城乡建设局2021年部门整体支出</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44"/>
          <w:szCs w:val="44"/>
          <w:lang w:val="en-US" w:eastAsia="zh-CN"/>
        </w:rPr>
        <w:t>绩效自评报告</w:t>
      </w:r>
    </w:p>
    <w:p>
      <w:pPr>
        <w:pStyle w:val="16"/>
        <w:keepNext w:val="0"/>
        <w:keepLines w:val="0"/>
        <w:pageBreakBefore w:val="0"/>
        <w:widowControl/>
        <w:kinsoku/>
        <w:wordWrap/>
        <w:overflowPunct/>
        <w:topLinePunct w:val="0"/>
        <w:autoSpaceDE/>
        <w:autoSpaceDN/>
        <w:bidi w:val="0"/>
        <w:snapToGrid/>
        <w:spacing w:line="640" w:lineRule="exact"/>
        <w:ind w:left="640" w:firstLine="0" w:firstLineChars="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一、单位基本情况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（一）机构设置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湘乡市住房和城乡建设局现设机构有办公室、法规股、审批服务股、住房保障股、城市排水管理股、建筑工程管理股、房产综合开发管理股、质量安全管理股、城市村镇建设管理股、城建档案馆、人防工程建设管理股、指挥通信股、物业管理股、建设工程招标投标管理股、科技设计管理股（造价管理站）、财务股、党建办公室、人事股；局下辖湘乡市建设工程质量安全监督站、湘乡市住房保障服务中心、湘乡市墙体材料改革办公室(湘乡市散装水泥管理办公室)三个独立核算二级机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（二）人员情况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至本年末，机关在职编制人数109人，实有人数109人，另退休人员100人，共计209人。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(三）职能职责</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 1.承担牵头推进新型城镇化战略工作。贯彻执行国家、省、湘潭、市关于推进新型城镇化、住房保障、城市建设（含城市雕塑）、村镇建设、工程建设、建筑业、勘察设计的方针政策和法律法规，研究制定实施办法、相关发展战略和相应监督管理办法，并组织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2.加快建立全市多主体供给、多渠道保障、租购并举的住房制度，拟订全市住房建设规划并指导实施，培育和完善房产市场。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拟订全市房产管理的具体实施办法并监督执行；贯彻执行国家、省有关房产管理工作的方针政策和法律法规，负责整顿、规范房产市场，查处全市房产违法违规行为，规范房产市场管理；承担全市房产信息管理工作；负责指导全市公有住房的管理工作；负责全市商品房预（销）售许可、预（销）售合同备案和预售资金的监管；负责房地产经纪、评估、咨询等中介机构管理和从业人员资格管理；指导、监督、规范全市房产行业协会工作；负责处理全市房屋落实政策遗留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拟订全市住房保障政策措施，编制全市城镇保障性住房的建设规划及相关的管理办法并监督实施；负责全市保障性安居工程整体规划，并组织、指导、监督实施；负责市城镇住房保障对象审核登记，实施公共住房租赁补贴。负责市城区保障性住房的建设、储备、分配、交易管理工作；负责全市旧城改造管理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5.负责全市物业管理活动的指导和监督管理；负责全市住宅物业单位前期物业管理活动中不采用招投标方式选聘物业管理企业许可；负责指导、监督全市物业管理招投标活动。负责全市住宅物业专项维修资金的归集管理和监督使用工作；承担全市城镇房屋安全鉴定管理工作；负责全市房产开发项目备案管理工作；负责全市城镇住宅室内装饰装修活动的管理工作；负责全市房屋白蚁防治管理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6.承担建立科学规范的工程建设标准体系的工作。组织实施工程建设实施阶段的国家标准、全国统一定额和行业标准定额；研究制定具体实施办法、管理规程和地方标准；组织制定和发布全市造价信息；监督指导各类工程建设计价规范的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7.指导和管理全市建筑活动，规范建筑市场。贯彻执行建设施工、监理和相关社会中介组织管理的法规和规章；研究拟订建筑业中长期发展规划及年度计划并组织实施；负责全市建筑市场管理、建筑业发展、建筑市场准入、建设工程招投标、建筑勘察设计、工程监理以及工程质量和安全、劳务培训基地建设、技能培训及劳务培训等工作；负责全市房地产开发企业、建筑施工企业等各类专业企业及从业人员的资质资格管理工作，指导监督住宅建设、城市综合开发；协调全市工程建设领域工程款及农民工工资清欠工作；协助搞好全市建设领域专项治理工作；指导、协调全市施工队伍开拓对外建筑市场，开发对外工程承包和劳务合作业务；负责施工企业劳动保障的统筹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8.承担全市建设工程勘察设计、建筑设计市场管理的工作。负责全市建设工程勘察、设计及建筑装饰设计等行业资质管理工作；负责各类建设项目初步设计审批；指导、检查全市勘察设计行业的工作。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9.承担村镇建设的指导和管理工作。指导全市各乡镇的建设；拟订小城镇建设的政策建议并组织实施；指导农村住房建设及农村危房改造；指导小城镇和农村人居生态环境的改善工作；组织特色景观旅游名镇（村）的申报和管理工作；负责小城镇建设统计工作；负责城市建设项目管理；制定村镇建设年度计划，对各镇基础设施建设进行监督管理；负责村镇建设适用技术的推广应用及组织村镇管理人员的技术培训工作；组织指导各乡镇农村垃圾治理、黑臭水体治理、污水处理、厕所革命等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10.承担全市房屋建筑、市政工程、人防及装饰装修质量安全监督的工作。负责依法对全市受监工程的质量和施工安全进行监督管理；制定工程质量、安全生产和竣工验收备案的制度并监督执行；组织或参与工程重大质量、安全事故的调查处理；负责建设工程抗震设防管理；指导城市地下空间勘察设计、工程质量安全及其开发利用；负责全市房屋建筑工程和市政基础设施及人防工程的竣工验收备案；负责预制构件和商品砼监督管理工作；负责全市建筑企业安全生产许可证的预审及申报工作。根据国家批准的防护类别、防护标准，会同有关部门编制全市人民防空建设和城市地下空间开发利用规划。负责城市地下空间开发利用兼顾人民防空要求的管理和监督检查，依法对城市和重要经济目标的人民防空建设进行监督检查。组织管理人民防空工程建设。根据国家制定的防护标准和质量标准，对人民防空工程（含结合民用建筑修建的防空地下室）建设实施计划、技术和质量管理；组织指导和监督检查人民防空工程维护管理及平时开发利用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11.承担推进全市建筑节能与建设科技进步的工作。拟订全市建筑节能政策建议及组织实施；制定建设行业科技发展规划；组织重大科技项目攻关和新技术开发利用；管理行业科技成果。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12.负责指导全市城建档案的管理指导监督、管理全市建设工程竣工档案工作；审查、认证、验收工程竣工档案，负责城市建设档案的收集、整理及城建档案信息的开发、利用。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13.会同有关部门编制和执行城乡社区事务建设维护专项支出预算、村镇基础设施建设资金补助的分配方案；负责小城镇建设资金的预决算使用计划安排；负责项目资本金的收取和管理；负责物业保修金收取、使用和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14.负责城市排水管理工作。负责城市排水及其附属设施的规划建设工作；负责城市排水设施建设审批验收、排水管网日常维护管理、排水许可证核发、污水处理厂运营行政管理及资产设施监管、污水处理费征收监管和协调拨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15.负责全市墙体材料、散装水泥的推广应用工作，编制我市推广应用新墙材、散装水泥的中长期规划和年度计划并监督实施；负责墙体改革和散装水泥推广应用方面的信息交流、职工培训、宣传教育和统计工作。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16.贯彻执行国家、省、湘潭市关于人民防空工作的方针政策和法律法规，组织拟订全市人民防空工作的基本战备方案，组织编制全市人民防空建设中长期发展规划和年度工作计划，经批准后组织实施。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17.制定和组织实施城市防空袭方案和各项保障方案、群众防空组织（人民防空专业队）建设和训练、防空防灾演习演练、疏散体系建设，协助军事部门组织指导城市防卫建设。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18.战时组织开展城市人民防空袭斗争，组织指挥人民防空疏散和隐蔽，依法组织实施灯火管制和发放防空袭警报，配合要地防空和城市防卫作战，组织有关部门恢复生产和生活秩序，消除空袭后果。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19.组织管理人民防空通信警报和信息化建设。对人民防空通信警报网和信息化建设实施计划、技术和质量管理，负责保障全市人民防空通信警报畅通。负责对全市人民防空无线电进行管理。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20.会同有关部门组织开展人民防空宣传教育工作，普及人民防空知识和技能。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21.管理人民防空经费和资产，负责编制市本级人民防空经费预决算，并对使用情况实施监督检查。</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22.承担市人民政府赋予的应急救援任务，利用人防设施和人民防空专业队伍为应急救援服务。</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23.指导相关行业协会的工作。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24.负责国有土地上房屋征收管理行政职能。</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25.负责全市建设工程消防设计审查验收工作。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26.负责全市在建工程项目起重机械设备监管工作。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27.承办上级交办的其他事项。</w:t>
      </w:r>
    </w:p>
    <w:p>
      <w:pPr>
        <w:pStyle w:val="16"/>
        <w:keepNext w:val="0"/>
        <w:keepLines w:val="0"/>
        <w:pageBreakBefore w:val="0"/>
        <w:widowControl/>
        <w:kinsoku/>
        <w:wordWrap/>
        <w:overflowPunct/>
        <w:topLinePunct w:val="0"/>
        <w:autoSpaceDE/>
        <w:autoSpaceDN/>
        <w:bidi w:val="0"/>
        <w:snapToGrid/>
        <w:spacing w:line="640" w:lineRule="exact"/>
        <w:ind w:left="640" w:firstLine="0" w:firstLineChars="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二、一般公共预算支出情况</w:t>
      </w:r>
    </w:p>
    <w:p>
      <w:pPr>
        <w:pStyle w:val="16"/>
        <w:keepNext w:val="0"/>
        <w:keepLines w:val="0"/>
        <w:pageBreakBefore w:val="0"/>
        <w:widowControl/>
        <w:kinsoku/>
        <w:wordWrap/>
        <w:overflowPunct/>
        <w:topLinePunct w:val="0"/>
        <w:autoSpaceDE/>
        <w:autoSpaceDN/>
        <w:bidi w:val="0"/>
        <w:snapToGrid/>
        <w:spacing w:line="640" w:lineRule="exact"/>
        <w:ind w:left="640" w:firstLine="0" w:firstLineChars="0"/>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rPr>
        <w:t>（一）基本支出情况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1、年初预算情况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2021年，我局机关财政部门预算收入为1639.87万元，其中经费拨款收入1610.07万元，纳入公共财政预算管理的非税收入29.8万元。2021年我局机关财政部门预算支出1639.87为万元。其中：基本支出预算1379.87万元；项目支出预算260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2、年中追加和调减预算情况。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2021年追加预算1310.82万元，具体为：（1）增加城乡社区事务建设维护专项支出预算1127.96万元：施工图审服务费114.09万元、全市农村房屋安全隐患排查费用20万元、福盈庭项目公用配套设施建设7.75万元、欧家港渠道底泥整治项目200万元、住宅物业管理23.37万元、中央隔离带设施建设2.45万元、污水处理厂建设610.3万元、洙津渡水源地保护建设150万元；（2）增加基本支出182.86万元：信访事务费用30.43万元、死亡抚恤费用44.79万元、其他城市生活救助费用4万元、因人员工资调整及各类奖金发放追加103.64万元。</w:t>
      </w:r>
    </w:p>
    <w:p>
      <w:pPr>
        <w:keepNext w:val="0"/>
        <w:keepLines w:val="0"/>
        <w:pageBreakBefore w:val="0"/>
        <w:widowControl w:val="0"/>
        <w:numPr>
          <w:ilvl w:val="0"/>
          <w:numId w:val="1"/>
        </w:numPr>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全年总预算情况。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全年总预算2950.69万元。其中：2021年财政部门预算1639.87万元，年中增加城乡社区专项预算支出1127.96万元，增加基本支出182.86万元。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4、2021年年初结转结余为770.21万元，年末结余结转按上级要求已全部清理完毕。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5、预算执行情况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2021年我局机关实际总支出为3073.21万元（财政拨款支出2950.69万元）。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（1）基本支出执行情况。基本支出1561.47万元，其中人员经费支出1174.81万元，日常公用经费支出386.66万元。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业务性专项执行情况。业务性专项支出167.31万元，主要为：农村危房改造工作经费31.62万元，人防开支53.68万元，住建项目前期工作经费71.72万元（含小城镇建设、新农村建设、新型城镇化建设等）、党建工作经费5.28万元、疫情防控支出5.01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3）项目性专项执行情况。项目性专项支出1221.91万元，主要为：施工图审费114.09万元、洙津渡饮用水源地保护建设150万元、乡镇污水处理厂建设647.42万元、黑臭水整治18.38万元、污水主干管清淤及日常维护22.02万元、城市精细化管理道路中央隔离设施建设2.45万元、物业管理经费28.28万元、欧家港渠底泥综合整治项目200万元、解决房屋落实政策历史遗留问题经费34.23万元、工程制度审批改革5.04万元。</w:t>
      </w:r>
    </w:p>
    <w:p>
      <w:pPr>
        <w:pStyle w:val="16"/>
        <w:keepNext w:val="0"/>
        <w:keepLines w:val="0"/>
        <w:pageBreakBefore w:val="0"/>
        <w:widowControl/>
        <w:kinsoku/>
        <w:wordWrap/>
        <w:overflowPunct/>
        <w:topLinePunct w:val="0"/>
        <w:autoSpaceDE/>
        <w:autoSpaceDN/>
        <w:bidi w:val="0"/>
        <w:snapToGrid/>
        <w:spacing w:line="640" w:lineRule="exact"/>
        <w:ind w:left="0" w:leftChars="0" w:firstLine="640" w:firstLineChars="20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（二）项目支出情况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kern w:val="2"/>
          <w:sz w:val="32"/>
          <w:szCs w:val="32"/>
          <w:lang w:val="en-US" w:eastAsia="zh-CN" w:bidi="ar-SA"/>
        </w:rPr>
        <w:t>1、农村危房改造考核、督查、迎检、农村住房排查等支出</w:t>
      </w:r>
      <w:r>
        <w:rPr>
          <w:rFonts w:hint="eastAsia" w:asciiTheme="minorEastAsia" w:hAnsiTheme="minorEastAsia" w:eastAsiaTheme="minorEastAsia" w:cstheme="minorEastAsia"/>
          <w:sz w:val="32"/>
          <w:szCs w:val="32"/>
          <w:lang w:val="en-US" w:eastAsia="zh-CN"/>
        </w:rPr>
        <w:t>项目年初预算40万元，至2021年底实际使用经费为31.62万元，2022年还有打字复印费4.45万元，共36.07万元。主要为支付22个乡镇办事处工作经费、农村住房危险性鉴定费用、以及危房改造迎检核查等费用支出。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2、物业管理工作经费30万元，资金已按项目需要全部支出，截止2021年12月底实际使用资金28.28万元，项目资金使用率94.43%。</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 xml:space="preserve">3、项目前期经费预算40万元，至2021年底实际使用经费为19.45万元，还有项目包装费20.04万元未付，实际使用39.49万元，项目资金的预决算均已在我局门户网站进行公示。为保证资金发挥应有效益，我局按工作进度严格进行计划申请、划拨、使用，无截留、挪用等违纪现象，资金已按项目需要支出。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三、</w:t>
      </w:r>
      <w:r>
        <w:rPr>
          <w:rFonts w:hint="eastAsia" w:asciiTheme="minorEastAsia" w:hAnsiTheme="minorEastAsia" w:eastAsiaTheme="minorEastAsia" w:cstheme="minorEastAsia"/>
          <w:b/>
          <w:bCs/>
          <w:sz w:val="32"/>
          <w:szCs w:val="32"/>
        </w:rPr>
        <w:t>单位整体支出绩效情况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sz w:val="32"/>
          <w:szCs w:val="32"/>
          <w:lang w:val="en-US" w:eastAsia="zh-CN"/>
        </w:rPr>
        <w:t>2021年我市住房和城乡建设工作坚持以习近平新时代中国特色社会主义思想为指引，坚决落实市委、市政府决策部署，科学应对各种风险挑战，围绕行业发展、民生保障、社会治理、生态改善持续发力，在湘潭市2021年度住建领域单项工作评比中，我市多项工作名列榜首。</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（一）建筑行业综合实力有新提升。</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t>一是规模总量持续攀升。全年完成建筑业总产值137.16亿元，同比增长15.8%。建筑业完成税收5.224亿元，建安房地产税收达3.319亿元，对全市财税收入贡献率达39.2%，建筑业经济保持支柱产业地位。10万“建筑湘军”遍布全国各地并走出国门，建筑劳务收入成为农民增收的主要渠道。</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t>二是综合实力不断提高。全市建筑业企业总量达199家，施工总承包和专业承包企业144家，总承包和专业承包企业中一级企业10家（其中建筑5家，电力1家，消防1家，装修2家，地基基础1家），二级企业49家（其中建筑11家、电力18家、其它20家）。形成了以建筑工程总承包和输变电专业承包为主，涉及30多个类别的资质结构体系。建筑业企业中产值过亿的有35家，产值过5亿元的有9家，（分别是湖南湘军建筑工程有限公司9.79亿元、湖南省湘棋送变电建设有限公司8.89亿元、湖南湘盎裕源建设有限公司8.9亿元、湖南正志建筑工程有限公司7.45亿元、湘乡市建设工程有限责任公司7.1亿元、湖南省湘乡市电力建设有限公司5.81亿元、湖南省湘福建筑工程有限公司5.51亿元、湖南腾达电力建设有限公司5.43亿元、湖南鸿安电力建设有限公司5.16亿元）。缴纳本地税收3000万元以上的企业1家，2000万元-3000万元的企业4家，1000万元-2000万元的企业8家。大力弘扬工匠精神，全年成功获评省优质工程3项，湘莲奖5项，湘潭市优质工程10项。</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（二）住房保障住有所居有新成效。</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t>房地产业保持健康平稳发展。全年完成房地产开发投资27.07亿元，销售商品房63.32万㎡，房地产实际税收3.32亿元，全市税收占比15.32%。1月12日至2月12日举办第五届房博会，销售各类商品房1656套，总面积18.56万㎡，成交金额9.47亿元。</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Theme="minorEastAsia" w:hAnsiTheme="minorEastAsia" w:eastAsiaTheme="minorEastAsia" w:cstheme="minorEastAsia"/>
          <w:kern w:val="0"/>
          <w:sz w:val="32"/>
          <w:szCs w:val="32"/>
          <w:lang w:val="en-US" w:eastAsia="zh-CN" w:bidi="ar"/>
        </w:rPr>
      </w:pPr>
      <w:r>
        <w:rPr>
          <w:rFonts w:hint="eastAsia" w:asciiTheme="minorEastAsia" w:hAnsiTheme="minorEastAsia" w:eastAsiaTheme="minorEastAsia" w:cstheme="minorEastAsia"/>
          <w:kern w:val="0"/>
          <w:sz w:val="32"/>
          <w:szCs w:val="32"/>
          <w:lang w:val="en-US" w:eastAsia="zh-CN" w:bidi="ar"/>
        </w:rPr>
        <w:t>以办好民生实事为重要抓手，完成湘碱社区、惜池片区、司弄子片区等17个小区的老旧小区改造，惠及1644户小区居民，其中省重点民生实事893户，得到群众一致好评。</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（三）推进新型城镇建设有新进展。</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预计新增城镇人口21392人，预计2021年城镇化率达到51.57%，提高2个百分点。</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今年省厅下达我市农村危房改造任务309户已全部竣工，危改资金在10月底已通过财政“一卡通”系统全部拨付到位。率先完成全国农村危房改造信息管理系统信息录入，多次受到省厅表扬。做好防返贫致贫集中排查工作，根据最新防返贫监测对象名单（共1554户，3321人），逐户对监测对象住房保障情况进行核查，做到发现一户、整改一户、销号一户，确保“人不住危房，危房不住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全面开展农村房屋安全隐患排查，共计完成房屋排查户数为181656户，其中农村用作经营自建房排查5721 户，未用作经营的自建房为175444。省住建厅已组织第三方机构对我市农村房屋安全隐患排查工作进行验收，抽查验收情况较好，受到省验收组的一致认可。</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开展全市城镇和农村房屋建筑普查。现已经完成全部普查任务，进入质检核查阶段，共计普查房屋409788处，系统质检房屋409620处，质检合格率为99.81%，居全省前列。</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目前我市已建成7个乡镇污水处理厂并投入运行。今年新开工了山枣镇、栗山镇等10处乡镇污水处理厂，目前栗山镇、龙洞镇、潭市镇、中沙镇、虞唐镇已全部完工，进行通水试运行，其余5处已完成总进度80%。目前已有13个乡镇下发乡镇污水处理收费文件，棋梓镇已正式开展收费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农村生活垃圾治理形成常态化。建成乡镇垃圾压缩中转站17座，新增垃圾收运点1700余处。全市所有行政村实施了农村生活垃圾处理付费服务机制，覆盖率达到100%。巩固12处非正规垃圾堆放点整治效果。</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jc w:val="left"/>
        <w:textAlignment w:val="auto"/>
        <w:outlineLvl w:val="1"/>
        <w:rPr>
          <w:rFonts w:hint="eastAsia" w:asciiTheme="minorEastAsia" w:hAnsiTheme="minorEastAsia" w:eastAsiaTheme="minorEastAsia" w:cstheme="minorEastAsia"/>
          <w:color w:val="auto"/>
          <w:kern w:val="2"/>
          <w:sz w:val="32"/>
          <w:szCs w:val="32"/>
          <w:lang w:val="en-US" w:eastAsia="zh-CN" w:bidi="ar-SA"/>
        </w:rPr>
      </w:pPr>
      <w:r>
        <w:rPr>
          <w:rFonts w:hint="eastAsia" w:asciiTheme="minorEastAsia" w:hAnsiTheme="minorEastAsia" w:eastAsiaTheme="minorEastAsia" w:cstheme="minorEastAsia"/>
          <w:kern w:val="0"/>
          <w:sz w:val="32"/>
          <w:szCs w:val="32"/>
          <w:lang w:val="en-US" w:eastAsia="zh-CN" w:bidi="ar"/>
        </w:rPr>
        <w:t>推进</w:t>
      </w:r>
      <w:r>
        <w:rPr>
          <w:rFonts w:hint="eastAsia" w:asciiTheme="minorEastAsia" w:hAnsiTheme="minorEastAsia" w:eastAsiaTheme="minorEastAsia" w:cstheme="minorEastAsia"/>
          <w:b w:val="0"/>
          <w:bCs w:val="0"/>
          <w:kern w:val="0"/>
          <w:sz w:val="32"/>
          <w:szCs w:val="32"/>
          <w:lang w:val="en-US" w:eastAsia="zh-CN" w:bidi="ar"/>
        </w:rPr>
        <w:t>欧家港河道治理</w:t>
      </w:r>
      <w:r>
        <w:rPr>
          <w:rFonts w:hint="eastAsia" w:asciiTheme="minorEastAsia" w:hAnsiTheme="minorEastAsia" w:eastAsiaTheme="minorEastAsia" w:cstheme="minorEastAsia"/>
          <w:kern w:val="0"/>
          <w:sz w:val="32"/>
          <w:szCs w:val="32"/>
          <w:lang w:val="en-US" w:eastAsia="zh-CN" w:bidi="ar"/>
        </w:rPr>
        <w:t>，市政府多次召开专题会议，研究欧家港河道治理工作，</w:t>
      </w:r>
      <w:r>
        <w:rPr>
          <w:rFonts w:hint="eastAsia" w:asciiTheme="minorEastAsia" w:hAnsiTheme="minorEastAsia" w:eastAsiaTheme="minorEastAsia" w:cstheme="minorEastAsia"/>
          <w:sz w:val="32"/>
          <w:szCs w:val="32"/>
          <w:lang w:val="en-US" w:eastAsia="zh-CN"/>
        </w:rPr>
        <w:t>多次组织市设计院、城管、街道等部门在欧家港现场查看分析，对违章建筑、排污情况、暗渠改明渠的实施、淤泥的现状、环境卫生等情况进行摸查；邀请甲级设计单位对欧家港两次初勘，收集所需相关资料；相关设计单位和检测单位分别现场勘踏污染点、水质底泥采样分析。通过实施主管网截污、底泥清理、零星排口截污、上游源头治理、支线截污干管建设、岸线整治等基础治理工程，彻底消除欧家港渠道的内源污染，工程实施完成后，参照《城市黑臭水体整治工作指南》评价标准要求，欧家港渠道水体预计达到消除轻度黑臭的治理目标。截止至目前，已建成占地面积约2000平方米的脱水干化场、完成克拉小镇至幸福桥的人工清淤工作。2021年9月，已启动欧家港河道源头治理建设，采取控源截污的方式对梅坪社区、槽门屋场片区住户厕所进行改造，11月，欧家港河道底板清淤及硬化恢复施工，目前正全力推进，预计农历年前完工。</w:t>
      </w:r>
    </w:p>
    <w:p>
      <w:pPr>
        <w:pStyle w:val="5"/>
        <w:keepNext w:val="0"/>
        <w:keepLines w:val="0"/>
        <w:pageBreakBefore w:val="0"/>
        <w:kinsoku/>
        <w:wordWrap/>
        <w:overflowPunct/>
        <w:topLinePunct w:val="0"/>
        <w:autoSpaceDE/>
        <w:autoSpaceDN/>
        <w:bidi w:val="0"/>
        <w:adjustRightInd/>
        <w:snapToGrid/>
        <w:spacing w:line="640" w:lineRule="exact"/>
        <w:ind w:left="0" w:leftChars="0" w:firstLine="640" w:firstLineChars="200"/>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（四）促进优质安全发展有新亮点。</w:t>
      </w:r>
    </w:p>
    <w:p>
      <w:pPr>
        <w:keepNext w:val="0"/>
        <w:keepLines w:val="0"/>
        <w:pageBreakBefore w:val="0"/>
        <w:widowControl w:val="0"/>
        <w:kinsoku/>
        <w:wordWrap/>
        <w:overflowPunct/>
        <w:topLinePunct w:val="0"/>
        <w:autoSpaceDE/>
        <w:autoSpaceDN/>
        <w:bidi w:val="0"/>
        <w:adjustRightInd/>
        <w:snapToGrid/>
        <w:spacing w:line="640" w:lineRule="exact"/>
        <w:ind w:firstLine="720" w:firstLineChars="225"/>
        <w:textAlignment w:val="auto"/>
        <w:rPr>
          <w:rFonts w:hint="eastAsia" w:asciiTheme="minorEastAsia" w:hAnsiTheme="minorEastAsia" w:eastAsiaTheme="minorEastAsia" w:cstheme="minorEastAsia"/>
          <w:color w:val="auto"/>
          <w:kern w:val="0"/>
          <w:sz w:val="32"/>
          <w:szCs w:val="32"/>
          <w:lang w:val="en-US" w:eastAsia="zh-CN" w:bidi="ar"/>
        </w:rPr>
      </w:pPr>
      <w:r>
        <w:rPr>
          <w:rFonts w:hint="eastAsia" w:asciiTheme="minorEastAsia" w:hAnsiTheme="minorEastAsia" w:eastAsiaTheme="minorEastAsia" w:cstheme="minorEastAsia"/>
          <w:sz w:val="32"/>
          <w:szCs w:val="32"/>
        </w:rPr>
        <w:t>我市建筑施工质量安全生产工作紧紧围绕以“全面落实企业安全生产主体责任”为宗旨，以</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住建系统</w:t>
      </w:r>
      <w:r>
        <w:rPr>
          <w:rFonts w:hint="eastAsia" w:asciiTheme="minorEastAsia" w:hAnsiTheme="minorEastAsia" w:eastAsiaTheme="minorEastAsia" w:cstheme="minorEastAsia"/>
          <w:sz w:val="32"/>
          <w:szCs w:val="32"/>
        </w:rPr>
        <w:t>安全生产专项整治三年行动实施方案</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rPr>
        <w:t>“质量提升年”“安全生产提升年”活动为主线，以“消除事故隐患，筑牢安全防线”为主题，巩固完善建筑施工管理机制，推广实施建筑施工质量安全管理新举措</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今年共有受监建筑工地38个，总建筑面积156.78万m</w:t>
      </w:r>
      <w:r>
        <w:rPr>
          <w:rFonts w:hint="eastAsia" w:asciiTheme="minorEastAsia" w:hAnsiTheme="minorEastAsia" w:eastAsiaTheme="minorEastAsia" w:cstheme="minorEastAsia"/>
          <w:sz w:val="32"/>
          <w:szCs w:val="32"/>
          <w:vertAlign w:val="superscript"/>
          <w:lang w:val="en-US" w:eastAsia="zh-CN"/>
        </w:rPr>
        <w:t>2</w:t>
      </w:r>
      <w:r>
        <w:rPr>
          <w:rFonts w:hint="eastAsia" w:asciiTheme="minorEastAsia" w:hAnsiTheme="minorEastAsia" w:eastAsiaTheme="minorEastAsia" w:cstheme="minorEastAsia"/>
          <w:sz w:val="32"/>
          <w:szCs w:val="32"/>
          <w:lang w:val="en-US" w:eastAsia="zh-CN"/>
        </w:rPr>
        <w:t>。新增受监项目26个，总建筑面积 64.1万m</w:t>
      </w:r>
      <w:r>
        <w:rPr>
          <w:rFonts w:hint="eastAsia" w:asciiTheme="minorEastAsia" w:hAnsiTheme="minorEastAsia" w:eastAsiaTheme="minorEastAsia" w:cstheme="minorEastAsia"/>
          <w:sz w:val="32"/>
          <w:szCs w:val="32"/>
          <w:vertAlign w:val="superscript"/>
          <w:lang w:val="en-US" w:eastAsia="zh-CN"/>
        </w:rPr>
        <w:t>2</w:t>
      </w:r>
      <w:r>
        <w:rPr>
          <w:rFonts w:hint="eastAsia" w:asciiTheme="minorEastAsia" w:hAnsiTheme="minorEastAsia" w:eastAsiaTheme="minorEastAsia" w:cstheme="minorEastAsia"/>
          <w:sz w:val="32"/>
          <w:szCs w:val="32"/>
          <w:lang w:val="en-US" w:eastAsia="zh-CN"/>
        </w:rPr>
        <w:t>。全年竣工项目6个，全部通过竣工验收；竣工验收备案项目35个；消防验收及备案申报项目64个，通过62个。共下工地监督检查1235次，发现并处理一般质量安全问题2682起，全年未发生一起一般以上安全责任事故，持续保持受监工地连续90个月零死亡记录。培训农村建筑工匠700名，进一步提升了农村建筑工匠施工技术水平。积极开展人防宣传教育，强化人防实战演练，提高人防通信指挥能力。定期组织人防工程安全巡查。</w:t>
      </w:r>
    </w:p>
    <w:p>
      <w:pPr>
        <w:pStyle w:val="5"/>
        <w:keepNext w:val="0"/>
        <w:keepLines w:val="0"/>
        <w:pageBreakBefore w:val="0"/>
        <w:kinsoku/>
        <w:wordWrap/>
        <w:overflowPunct/>
        <w:topLinePunct w:val="0"/>
        <w:autoSpaceDE/>
        <w:autoSpaceDN/>
        <w:bidi w:val="0"/>
        <w:adjustRightInd/>
        <w:snapToGrid/>
        <w:spacing w:line="640" w:lineRule="exact"/>
        <w:jc w:val="both"/>
        <w:textAlignment w:val="auto"/>
        <w:rPr>
          <w:rFonts w:hint="eastAsia" w:asciiTheme="minorEastAsia" w:hAnsiTheme="minorEastAsia" w:eastAsiaTheme="minorEastAsia" w:cstheme="minorEastAsia"/>
          <w:b/>
          <w:bCs/>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（五）行业管理工作作风有新转变。</w:t>
      </w:r>
    </w:p>
    <w:p>
      <w:pPr>
        <w:keepNext w:val="0"/>
        <w:keepLines w:val="0"/>
        <w:pageBreakBefore w:val="0"/>
        <w:numPr>
          <w:ilvl w:val="0"/>
          <w:numId w:val="0"/>
        </w:numPr>
        <w:kinsoku/>
        <w:wordWrap/>
        <w:overflowPunct/>
        <w:topLinePunct w:val="0"/>
        <w:autoSpaceDE/>
        <w:autoSpaceDN/>
        <w:bidi w:val="0"/>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color w:val="auto"/>
          <w:kern w:val="0"/>
          <w:sz w:val="32"/>
          <w:szCs w:val="32"/>
          <w:lang w:val="en-US" w:eastAsia="zh-CN" w:bidi="ar"/>
        </w:rPr>
        <w:t>进一步</w:t>
      </w:r>
      <w:r>
        <w:rPr>
          <w:rFonts w:hint="eastAsia" w:asciiTheme="minorEastAsia" w:hAnsiTheme="minorEastAsia" w:eastAsiaTheme="minorEastAsia" w:cstheme="minorEastAsia"/>
          <w:sz w:val="32"/>
          <w:szCs w:val="32"/>
          <w:lang w:val="en-US" w:eastAsia="zh-CN"/>
        </w:rPr>
        <w:t>优化营商环境，积极实现审批服务事项“三集中、三到位”，</w:t>
      </w:r>
      <w:r>
        <w:rPr>
          <w:rFonts w:hint="eastAsia" w:asciiTheme="minorEastAsia" w:hAnsiTheme="minorEastAsia" w:eastAsiaTheme="minorEastAsia" w:cstheme="minorEastAsia"/>
          <w:color w:val="auto"/>
          <w:kern w:val="0"/>
          <w:sz w:val="32"/>
          <w:szCs w:val="32"/>
          <w:lang w:val="en-US" w:eastAsia="zh-CN" w:bidi="ar"/>
        </w:rPr>
        <w:t>加速推进工程建设项目审批制度改革。</w:t>
      </w:r>
      <w:r>
        <w:rPr>
          <w:rFonts w:hint="eastAsia" w:asciiTheme="minorEastAsia" w:hAnsiTheme="minorEastAsia" w:eastAsiaTheme="minorEastAsia" w:cstheme="minorEastAsia"/>
          <w:sz w:val="32"/>
          <w:szCs w:val="32"/>
          <w:lang w:val="en-US" w:eastAsia="zh-CN"/>
        </w:rPr>
        <w:t>全年共办理审批服务事项7424件。</w:t>
      </w:r>
    </w:p>
    <w:p>
      <w:pPr>
        <w:keepNext w:val="0"/>
        <w:keepLines w:val="0"/>
        <w:pageBreakBefore w:val="0"/>
        <w:numPr>
          <w:ilvl w:val="0"/>
          <w:numId w:val="0"/>
        </w:numPr>
        <w:kinsoku/>
        <w:wordWrap/>
        <w:overflowPunct/>
        <w:topLinePunct w:val="0"/>
        <w:autoSpaceDE/>
        <w:autoSpaceDN/>
        <w:bidi w:val="0"/>
        <w:snapToGrid/>
        <w:spacing w:line="640" w:lineRule="exact"/>
        <w:ind w:firstLine="640" w:firstLineChars="200"/>
        <w:jc w:val="both"/>
        <w:textAlignment w:val="auto"/>
        <w:rPr>
          <w:rFonts w:hint="eastAsia" w:asciiTheme="minorEastAsia" w:hAnsiTheme="minorEastAsia" w:eastAsiaTheme="minorEastAsia" w:cstheme="minorEastAsia"/>
          <w:color w:val="auto"/>
          <w:kern w:val="0"/>
          <w:sz w:val="32"/>
          <w:szCs w:val="32"/>
          <w:lang w:val="en-US" w:eastAsia="zh-CN" w:bidi="ar"/>
        </w:rPr>
      </w:pPr>
      <w:r>
        <w:rPr>
          <w:rFonts w:hint="eastAsia" w:asciiTheme="minorEastAsia" w:hAnsiTheme="minorEastAsia" w:eastAsiaTheme="minorEastAsia" w:cstheme="minorEastAsia"/>
          <w:color w:val="auto"/>
          <w:kern w:val="0"/>
          <w:sz w:val="32"/>
          <w:szCs w:val="32"/>
          <w:lang w:val="en-US" w:eastAsia="zh-CN" w:bidi="ar"/>
        </w:rPr>
        <w:t>全面加强绿色建筑实施。今年我市新建建筑总建筑面积62.75万</w:t>
      </w:r>
      <w:r>
        <w:rPr>
          <w:rFonts w:hint="eastAsia" w:asciiTheme="minorEastAsia" w:hAnsiTheme="minorEastAsia" w:eastAsiaTheme="minorEastAsia" w:cstheme="minorEastAsia"/>
          <w:sz w:val="32"/>
          <w:szCs w:val="32"/>
          <w:lang w:val="en-US" w:eastAsia="zh-CN"/>
        </w:rPr>
        <w:t>m</w:t>
      </w:r>
      <w:r>
        <w:rPr>
          <w:rFonts w:hint="eastAsia" w:asciiTheme="minorEastAsia" w:hAnsiTheme="minorEastAsia" w:eastAsiaTheme="minorEastAsia" w:cstheme="minorEastAsia"/>
          <w:sz w:val="32"/>
          <w:szCs w:val="32"/>
          <w:vertAlign w:val="superscript"/>
          <w:lang w:val="en-US" w:eastAsia="zh-CN"/>
        </w:rPr>
        <w:t>2</w:t>
      </w:r>
      <w:r>
        <w:rPr>
          <w:rFonts w:hint="eastAsia" w:asciiTheme="minorEastAsia" w:hAnsiTheme="minorEastAsia" w:eastAsiaTheme="minorEastAsia" w:cstheme="minorEastAsia"/>
          <w:color w:val="auto"/>
          <w:kern w:val="0"/>
          <w:sz w:val="32"/>
          <w:szCs w:val="32"/>
          <w:lang w:val="en-US" w:eastAsia="zh-CN" w:bidi="ar"/>
        </w:rPr>
        <w:t>；盛悦天骄、霞光华府、湘乡市东风农贸市场提质改造等项目严格按绿色建筑一星级要求建设，全市新建绿色建筑面积47.59万</w:t>
      </w:r>
      <w:r>
        <w:rPr>
          <w:rFonts w:hint="eastAsia" w:asciiTheme="minorEastAsia" w:hAnsiTheme="minorEastAsia" w:eastAsiaTheme="minorEastAsia" w:cstheme="minorEastAsia"/>
          <w:sz w:val="32"/>
          <w:szCs w:val="32"/>
          <w:lang w:val="en-US" w:eastAsia="zh-CN"/>
        </w:rPr>
        <w:t>m</w:t>
      </w:r>
      <w:r>
        <w:rPr>
          <w:rFonts w:hint="eastAsia" w:asciiTheme="minorEastAsia" w:hAnsiTheme="minorEastAsia" w:eastAsiaTheme="minorEastAsia" w:cstheme="minorEastAsia"/>
          <w:sz w:val="32"/>
          <w:szCs w:val="32"/>
          <w:vertAlign w:val="superscript"/>
          <w:lang w:val="en-US" w:eastAsia="zh-CN"/>
        </w:rPr>
        <w:t>2</w:t>
      </w:r>
      <w:r>
        <w:rPr>
          <w:rFonts w:hint="eastAsia" w:asciiTheme="minorEastAsia" w:hAnsiTheme="minorEastAsia" w:eastAsiaTheme="minorEastAsia" w:cstheme="minorEastAsia"/>
          <w:color w:val="auto"/>
          <w:kern w:val="0"/>
          <w:sz w:val="32"/>
          <w:szCs w:val="32"/>
          <w:lang w:val="en-US" w:eastAsia="zh-CN" w:bidi="ar"/>
        </w:rPr>
        <w:t xml:space="preserve">，新建绿色建筑执行绿色建筑标准的达到100%。 </w:t>
      </w:r>
    </w:p>
    <w:p>
      <w:pPr>
        <w:pStyle w:val="10"/>
        <w:keepNext w:val="0"/>
        <w:keepLines w:val="0"/>
        <w:pageBreakBefore w:val="0"/>
        <w:kinsoku/>
        <w:wordWrap/>
        <w:overflowPunct/>
        <w:topLinePunct w:val="0"/>
        <w:autoSpaceDE/>
        <w:autoSpaceDN/>
        <w:bidi w:val="0"/>
        <w:adjustRightInd w:val="0"/>
        <w:snapToGrid/>
        <w:spacing w:before="0" w:beforeAutospacing="0" w:after="0" w:afterAutospacing="0" w:line="640" w:lineRule="exact"/>
        <w:ind w:left="0" w:leftChars="0" w:right="0" w:rightChars="0" w:firstLine="640" w:firstLineChars="200"/>
        <w:jc w:val="both"/>
        <w:textAlignment w:val="auto"/>
        <w:outlineLvl w:val="9"/>
        <w:rPr>
          <w:rFonts w:hint="eastAsia" w:asciiTheme="minorEastAsia" w:hAnsiTheme="minorEastAsia" w:eastAsiaTheme="minorEastAsia" w:cstheme="minorEastAsia"/>
          <w:color w:val="auto"/>
          <w:kern w:val="0"/>
          <w:sz w:val="32"/>
          <w:szCs w:val="32"/>
          <w:lang w:val="en-US" w:eastAsia="zh-CN" w:bidi="ar"/>
        </w:rPr>
      </w:pPr>
      <w:r>
        <w:rPr>
          <w:rFonts w:hint="eastAsia" w:asciiTheme="minorEastAsia" w:hAnsiTheme="minorEastAsia" w:eastAsiaTheme="minorEastAsia" w:cstheme="minorEastAsia"/>
          <w:color w:val="auto"/>
          <w:kern w:val="0"/>
          <w:sz w:val="32"/>
          <w:szCs w:val="32"/>
          <w:lang w:val="en-US" w:eastAsia="zh-CN" w:bidi="ar"/>
        </w:rPr>
        <w:t>积极推进装配式建筑发展。聚永科技办公及厂房、绿营环保厂房二期、巨强二期厂房等项目均采用轻钢结构，装配式总建筑面积9100平方米。湘乡市装配式建筑产业基地选址湘乡经济开发区，园区已入驻湖南中新房住宅科技有限公司，打造集技术研发、试验、生产、销售于一体的装配式建筑产业基地。目前项目处于桩基建设阶段。</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物业服务行业管理水平进一步提升。管理71个物业小区，服务住宅小区71个，培训小区业主委员会、物业从业人员1500余人次，发放宣传资料5000余册。制定物业管理联席会议制度，畅通住宅小区矛盾纠纷排解渠道。缇香尊邸、裕源懿府等项目获湖南省五星级物业服务项目称号，湘房三期、尊城水岸获省三星级物业服务项目称号。疫情防控期间，全市43家物业企业2000余名从业人员与所在社区工作者日夜坚守岗位，筑牢小区“防护墙”。湘乡住建获湘潭市抗击新冠肺炎疫情先进单位。</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四、存在的主要问题</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val="en-US" w:eastAsia="zh-CN"/>
        </w:rPr>
        <w:t>（一）</w:t>
      </w:r>
      <w:r>
        <w:rPr>
          <w:rFonts w:hint="eastAsia" w:asciiTheme="minorEastAsia" w:hAnsiTheme="minorEastAsia" w:eastAsiaTheme="minorEastAsia" w:cstheme="minorEastAsia"/>
          <w:sz w:val="32"/>
          <w:szCs w:val="32"/>
          <w:lang w:val="en-US" w:eastAsia="zh-CN"/>
        </w:rPr>
        <w:t>部门预算年初考虑欠缺全面性，致使年中增加预算。同时，中心工作并未在年初时一并考虑，故年中收支预算增加。</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b/>
          <w:bCs/>
          <w:sz w:val="32"/>
          <w:szCs w:val="32"/>
          <w:lang w:val="en-US" w:eastAsia="zh-CN"/>
        </w:rPr>
        <w:t>（二）</w:t>
      </w:r>
      <w:r>
        <w:rPr>
          <w:rFonts w:hint="eastAsia" w:asciiTheme="minorEastAsia" w:hAnsiTheme="minorEastAsia" w:eastAsiaTheme="minorEastAsia" w:cstheme="minorEastAsia"/>
          <w:sz w:val="32"/>
          <w:szCs w:val="32"/>
          <w:lang w:val="en-US" w:eastAsia="zh-CN"/>
        </w:rPr>
        <w:t>财政拨款不能及时到位，造成年终账面结余资金虚高。因政府财力紧张，拨款不能及时到位，单位各项资金不能及时支付，到年底时结存指标较多，但实际却应付未付，造成结余数与实际数相差较大。</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五、改进措施和有关建议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color w:val="auto"/>
          <w:sz w:val="32"/>
          <w:szCs w:val="32"/>
          <w:lang w:val="en-US" w:eastAsia="zh-CN"/>
        </w:rPr>
        <w:t>（一）</w:t>
      </w:r>
      <w:r>
        <w:rPr>
          <w:rFonts w:hint="eastAsia" w:asciiTheme="minorEastAsia" w:hAnsiTheme="minorEastAsia" w:eastAsiaTheme="minorEastAsia" w:cstheme="minorEastAsia"/>
          <w:color w:val="auto"/>
          <w:sz w:val="32"/>
          <w:szCs w:val="32"/>
          <w:lang w:val="en-US" w:eastAsia="zh-CN"/>
        </w:rPr>
        <w:t>及时拨付相关费用，减少年终结余结转资金量，保障各项工作顺利进行。</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color w:val="auto"/>
          <w:sz w:val="32"/>
          <w:szCs w:val="32"/>
          <w:lang w:val="en-US" w:eastAsia="zh-CN"/>
        </w:rPr>
      </w:pPr>
      <w:r>
        <w:rPr>
          <w:rFonts w:hint="eastAsia" w:asciiTheme="minorEastAsia" w:hAnsiTheme="minorEastAsia" w:eastAsiaTheme="minorEastAsia" w:cstheme="minorEastAsia"/>
          <w:b/>
          <w:bCs/>
          <w:sz w:val="32"/>
          <w:szCs w:val="32"/>
          <w:lang w:val="en-US" w:eastAsia="zh-CN"/>
        </w:rPr>
        <w:t>（二）</w:t>
      </w:r>
      <w:r>
        <w:rPr>
          <w:rFonts w:hint="eastAsia" w:asciiTheme="minorEastAsia" w:hAnsiTheme="minorEastAsia" w:eastAsiaTheme="minorEastAsia" w:cstheme="minorEastAsia"/>
          <w:sz w:val="32"/>
          <w:szCs w:val="32"/>
          <w:lang w:val="en-US" w:eastAsia="zh-CN"/>
        </w:rPr>
        <w:t>建议进一步增加公用经费标准。主要是</w:t>
      </w:r>
      <w:r>
        <w:rPr>
          <w:rFonts w:hint="eastAsia" w:asciiTheme="minorEastAsia" w:hAnsiTheme="minorEastAsia" w:eastAsiaTheme="minorEastAsia" w:cstheme="minorEastAsia"/>
          <w:color w:val="auto"/>
          <w:sz w:val="32"/>
          <w:szCs w:val="32"/>
          <w:lang w:val="en-US" w:eastAsia="zh-CN"/>
        </w:rPr>
        <w:t>政策文件依据必须支出，但预算并未安排，如残疾人就业基金、大防控经费、伙食费、党建经费、退休人员慰问等等。</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lang w:val="en-US" w:eastAsia="zh-CN"/>
        </w:rPr>
        <w:t>六、绩效目标自评结论及报告附表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2021年住建局的各项工作按期优质完成，取得了较好的经济及社会效益，各界反响良好，对湘乡经济社会发展作出了较大贡献。各项年初绩效目标全部实现，其中绝大部份指标超额完成，自评计分</w:t>
      </w:r>
      <w:r>
        <w:rPr>
          <w:rFonts w:hint="eastAsia" w:asciiTheme="minorEastAsia" w:hAnsiTheme="minorEastAsia" w:eastAsiaTheme="minorEastAsia" w:cstheme="minorEastAsia"/>
          <w:color w:val="auto"/>
          <w:sz w:val="32"/>
          <w:szCs w:val="32"/>
          <w:lang w:val="en-US" w:eastAsia="zh-CN"/>
        </w:rPr>
        <w:t>96</w:t>
      </w:r>
      <w:r>
        <w:rPr>
          <w:rFonts w:hint="eastAsia" w:asciiTheme="minorEastAsia" w:hAnsiTheme="minorEastAsia" w:eastAsiaTheme="minorEastAsia" w:cstheme="minorEastAsia"/>
          <w:sz w:val="32"/>
          <w:szCs w:val="32"/>
          <w:lang w:val="en-US" w:eastAsia="zh-CN"/>
        </w:rPr>
        <w:t>分，评定等级为优秀。</w:t>
      </w:r>
    </w:p>
    <w:p>
      <w:pPr>
        <w:pStyle w:val="2"/>
        <w:rPr>
          <w:rFonts w:hint="eastAsia" w:asciiTheme="minorEastAsia" w:hAnsiTheme="minorEastAsia" w:eastAsiaTheme="minorEastAsia" w:cstheme="minorEastAsia"/>
          <w:sz w:val="32"/>
          <w:szCs w:val="32"/>
          <w:lang w:val="en-US" w:eastAsia="zh-CN"/>
        </w:rPr>
      </w:pPr>
    </w:p>
    <w:p>
      <w:pPr>
        <w:pStyle w:val="2"/>
        <w:rPr>
          <w:rFonts w:hint="eastAsia" w:asciiTheme="minorEastAsia" w:hAnsiTheme="minorEastAsia" w:eastAsiaTheme="minorEastAsia" w:cstheme="minorEastAsia"/>
          <w:sz w:val="32"/>
          <w:szCs w:val="32"/>
          <w:lang w:val="en-US" w:eastAsia="zh-CN"/>
        </w:rPr>
      </w:pPr>
    </w:p>
    <w:p>
      <w:pPr>
        <w:pStyle w:val="2"/>
        <w:rPr>
          <w:rFonts w:hint="eastAsia" w:asciiTheme="minorEastAsia" w:hAnsiTheme="minorEastAsia" w:eastAsiaTheme="minorEastAsia" w:cstheme="minorEastAsia"/>
          <w:sz w:val="32"/>
          <w:szCs w:val="32"/>
          <w:lang w:val="en-US" w:eastAsia="zh-CN"/>
        </w:rPr>
      </w:pPr>
    </w:p>
    <w:p>
      <w:pPr>
        <w:spacing w:line="640" w:lineRule="exact"/>
        <w:jc w:val="center"/>
        <w:rPr>
          <w:rFonts w:hint="eastAsia" w:asciiTheme="minorEastAsia" w:hAnsiTheme="minorEastAsia" w:eastAsiaTheme="minorEastAsia" w:cstheme="minorEastAsia"/>
          <w:b/>
          <w:bCs/>
          <w:sz w:val="44"/>
          <w:szCs w:val="44"/>
          <w:u w:val="none"/>
        </w:rPr>
      </w:pPr>
      <w:r>
        <w:rPr>
          <w:rFonts w:hint="eastAsia" w:asciiTheme="minorEastAsia" w:hAnsiTheme="minorEastAsia" w:eastAsiaTheme="minorEastAsia" w:cstheme="minorEastAsia"/>
          <w:b/>
          <w:bCs/>
          <w:sz w:val="44"/>
          <w:szCs w:val="44"/>
          <w:u w:val="none"/>
          <w:lang w:val="en-US" w:eastAsia="zh-CN"/>
        </w:rPr>
        <w:t>农村危房改造考核、督查、迎检、农村住房排查等支出</w:t>
      </w:r>
      <w:r>
        <w:rPr>
          <w:rFonts w:hint="eastAsia" w:asciiTheme="minorEastAsia" w:hAnsiTheme="minorEastAsia" w:eastAsiaTheme="minorEastAsia" w:cstheme="minorEastAsia"/>
          <w:b/>
          <w:bCs/>
          <w:sz w:val="44"/>
          <w:szCs w:val="44"/>
          <w:u w:val="none"/>
          <w:lang w:eastAsia="zh-CN"/>
        </w:rPr>
        <w:t>绩效自评</w:t>
      </w:r>
      <w:r>
        <w:rPr>
          <w:rFonts w:hint="eastAsia" w:asciiTheme="minorEastAsia" w:hAnsiTheme="minorEastAsia" w:eastAsiaTheme="minorEastAsia" w:cstheme="minorEastAsia"/>
          <w:b/>
          <w:bCs/>
          <w:sz w:val="44"/>
          <w:szCs w:val="44"/>
          <w:u w:val="none"/>
        </w:rPr>
        <w:t>报告</w:t>
      </w:r>
    </w:p>
    <w:p>
      <w:pPr>
        <w:pStyle w:val="8"/>
        <w:rPr>
          <w:rFonts w:hint="eastAsia" w:asciiTheme="minorEastAsia" w:hAnsiTheme="minorEastAsia" w:eastAsiaTheme="minorEastAsia" w:cstheme="minorEastAsia"/>
        </w:rPr>
      </w:pPr>
    </w:p>
    <w:p>
      <w:pPr>
        <w:adjustRightInd w:val="0"/>
        <w:snapToGrid w:val="0"/>
        <w:spacing w:line="520" w:lineRule="exact"/>
        <w:ind w:firstLine="640" w:firstLineChars="20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一、预算支出概况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（一）项目实施单位基本情况。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农村危房改造工作，是党和政府一项重要的惠农政策，是一项惠及千家万户的重大民生工作、实事工程。为了确保</w:t>
      </w:r>
      <w:r>
        <w:rPr>
          <w:rFonts w:hint="eastAsia" w:asciiTheme="minorEastAsia" w:hAnsiTheme="minorEastAsia" w:eastAsiaTheme="minorEastAsia" w:cstheme="minorEastAsia"/>
          <w:color w:val="000000"/>
          <w:sz w:val="32"/>
          <w:szCs w:val="32"/>
          <w:lang w:val="en-US" w:eastAsia="zh-CN"/>
        </w:rPr>
        <w:t>2021</w:t>
      </w:r>
      <w:r>
        <w:rPr>
          <w:rFonts w:hint="eastAsia" w:asciiTheme="minorEastAsia" w:hAnsiTheme="minorEastAsia" w:eastAsiaTheme="minorEastAsia" w:cstheme="minorEastAsia"/>
          <w:sz w:val="32"/>
          <w:szCs w:val="32"/>
        </w:rPr>
        <w:t>年农村危房改造工作做好做实，为进一步管理和使用好财政资金，提高专项资金使用效益和项目管理水平，进一步提高农村危房改造的质量和水平，大力改善</w:t>
      </w:r>
      <w:r>
        <w:rPr>
          <w:rFonts w:hint="eastAsia" w:asciiTheme="minorEastAsia" w:hAnsiTheme="minorEastAsia" w:eastAsiaTheme="minorEastAsia" w:cstheme="minorEastAsia"/>
          <w:sz w:val="32"/>
          <w:szCs w:val="32"/>
          <w:lang w:val="en-US" w:eastAsia="zh-CN"/>
        </w:rPr>
        <w:t>农村低收入群体等重点对象</w:t>
      </w:r>
      <w:r>
        <w:rPr>
          <w:rFonts w:hint="eastAsia" w:asciiTheme="minorEastAsia" w:hAnsiTheme="minorEastAsia" w:eastAsiaTheme="minorEastAsia" w:cstheme="minorEastAsia"/>
          <w:sz w:val="32"/>
          <w:szCs w:val="32"/>
        </w:rPr>
        <w:t>基本居住条件，</w:t>
      </w:r>
      <w:r>
        <w:rPr>
          <w:rFonts w:hint="eastAsia" w:asciiTheme="minorEastAsia" w:hAnsiTheme="minorEastAsia" w:eastAsiaTheme="minorEastAsia" w:cstheme="minorEastAsia"/>
          <w:sz w:val="32"/>
          <w:szCs w:val="32"/>
          <w:lang w:val="en-US" w:eastAsia="zh-CN"/>
        </w:rPr>
        <w:t>我局</w:t>
      </w:r>
      <w:r>
        <w:rPr>
          <w:rFonts w:hint="eastAsia" w:asciiTheme="minorEastAsia" w:hAnsiTheme="minorEastAsia" w:eastAsiaTheme="minorEastAsia" w:cstheme="minorEastAsia"/>
          <w:sz w:val="32"/>
          <w:szCs w:val="32"/>
        </w:rPr>
        <w:t>精心组织、统筹推进、务求实效，确保惠农政策落到实处，切实解决</w:t>
      </w:r>
      <w:r>
        <w:rPr>
          <w:rFonts w:hint="eastAsia" w:asciiTheme="minorEastAsia" w:hAnsiTheme="minorEastAsia" w:eastAsiaTheme="minorEastAsia" w:cstheme="minorEastAsia"/>
          <w:sz w:val="32"/>
          <w:szCs w:val="32"/>
          <w:lang w:val="en-US" w:eastAsia="zh-CN"/>
        </w:rPr>
        <w:t>农村低收入群体等重点对象</w:t>
      </w:r>
      <w:r>
        <w:rPr>
          <w:rFonts w:hint="eastAsia" w:asciiTheme="minorEastAsia" w:hAnsiTheme="minorEastAsia" w:eastAsiaTheme="minorEastAsia" w:cstheme="minorEastAsia"/>
          <w:sz w:val="32"/>
          <w:szCs w:val="32"/>
        </w:rPr>
        <w:t>住房安全保障</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预算资金基本情况</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val="0"/>
          <w:bCs w:val="0"/>
          <w:sz w:val="32"/>
          <w:szCs w:val="32"/>
        </w:rPr>
        <w:t>项目年初预算</w:t>
      </w:r>
      <w:r>
        <w:rPr>
          <w:rFonts w:hint="eastAsia" w:asciiTheme="minorEastAsia" w:hAnsiTheme="minorEastAsia" w:eastAsiaTheme="minorEastAsia" w:cstheme="minorEastAsia"/>
          <w:b w:val="0"/>
          <w:bCs w:val="0"/>
          <w:sz w:val="32"/>
          <w:szCs w:val="32"/>
          <w:lang w:val="en-US" w:eastAsia="zh-CN"/>
        </w:rPr>
        <w:t>40</w:t>
      </w:r>
      <w:r>
        <w:rPr>
          <w:rFonts w:hint="eastAsia" w:asciiTheme="minorEastAsia" w:hAnsiTheme="minorEastAsia" w:eastAsiaTheme="minorEastAsia" w:cstheme="minorEastAsia"/>
          <w:b w:val="0"/>
          <w:bCs w:val="0"/>
          <w:sz w:val="32"/>
          <w:szCs w:val="32"/>
        </w:rPr>
        <w:t>万元，</w:t>
      </w:r>
      <w:r>
        <w:rPr>
          <w:rFonts w:hint="eastAsia" w:asciiTheme="minorEastAsia" w:hAnsiTheme="minorEastAsia" w:eastAsiaTheme="minorEastAsia" w:cstheme="minorEastAsia"/>
          <w:b w:val="0"/>
          <w:bCs w:val="0"/>
          <w:sz w:val="32"/>
          <w:szCs w:val="32"/>
          <w:lang w:val="en-US" w:eastAsia="zh-CN"/>
        </w:rPr>
        <w:t>至2021年底</w:t>
      </w:r>
      <w:r>
        <w:rPr>
          <w:rFonts w:hint="eastAsia" w:asciiTheme="minorEastAsia" w:hAnsiTheme="minorEastAsia" w:eastAsiaTheme="minorEastAsia" w:cstheme="minorEastAsia"/>
          <w:b w:val="0"/>
          <w:bCs w:val="0"/>
          <w:sz w:val="32"/>
          <w:szCs w:val="32"/>
        </w:rPr>
        <w:t>实际使用经费为</w:t>
      </w:r>
      <w:r>
        <w:rPr>
          <w:rFonts w:hint="eastAsia" w:asciiTheme="minorEastAsia" w:hAnsiTheme="minorEastAsia" w:eastAsiaTheme="minorEastAsia" w:cstheme="minorEastAsia"/>
          <w:b w:val="0"/>
          <w:bCs w:val="0"/>
          <w:sz w:val="32"/>
          <w:szCs w:val="32"/>
          <w:lang w:val="en-US" w:eastAsia="zh-CN"/>
        </w:rPr>
        <w:t>31.62</w:t>
      </w:r>
      <w:r>
        <w:rPr>
          <w:rFonts w:hint="eastAsia" w:asciiTheme="minorEastAsia" w:hAnsiTheme="minorEastAsia" w:eastAsiaTheme="minorEastAsia" w:cstheme="minorEastAsia"/>
          <w:b w:val="0"/>
          <w:bCs w:val="0"/>
          <w:sz w:val="32"/>
          <w:szCs w:val="32"/>
        </w:rPr>
        <w:t>万元</w:t>
      </w: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b w:val="0"/>
          <w:bCs w:val="0"/>
          <w:sz w:val="32"/>
          <w:szCs w:val="32"/>
          <w:lang w:val="en-US" w:eastAsia="zh-CN"/>
        </w:rPr>
        <w:t>2022年还有打字复印费4.45万元，共36.07万元</w:t>
      </w:r>
      <w:r>
        <w:rPr>
          <w:rFonts w:hint="eastAsia" w:asciiTheme="minorEastAsia" w:hAnsiTheme="minorEastAsia" w:eastAsiaTheme="minorEastAsia" w:cstheme="minorEastAsia"/>
          <w:b w:val="0"/>
          <w:bCs w:val="0"/>
          <w:sz w:val="32"/>
          <w:szCs w:val="32"/>
          <w:lang w:eastAsia="zh-CN"/>
        </w:rPr>
        <w:t>。主要为支付</w:t>
      </w:r>
      <w:r>
        <w:rPr>
          <w:rFonts w:hint="eastAsia" w:asciiTheme="minorEastAsia" w:hAnsiTheme="minorEastAsia" w:eastAsiaTheme="minorEastAsia" w:cstheme="minorEastAsia"/>
          <w:b w:val="0"/>
          <w:bCs w:val="0"/>
          <w:sz w:val="32"/>
          <w:szCs w:val="32"/>
          <w:lang w:val="en-US" w:eastAsia="zh-CN"/>
        </w:rPr>
        <w:t>22个乡镇办事处工作经费、农村住房危险性鉴定费用、以及危房改造迎检核查等费用支出。</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预算资金绩效目标</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2021</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市委、市政府将农村危房改造作为办实事、惠民生的重要工作来统筹安排，</w:t>
      </w:r>
      <w:r>
        <w:rPr>
          <w:rFonts w:hint="eastAsia" w:asciiTheme="minorEastAsia" w:hAnsiTheme="minorEastAsia" w:eastAsiaTheme="minorEastAsia" w:cstheme="minorEastAsia"/>
          <w:sz w:val="32"/>
          <w:szCs w:val="32"/>
          <w:lang w:eastAsia="zh-CN"/>
        </w:rPr>
        <w:t>多次召开市长办公会、政府常务会和市委常委会专题研究，调度资金。明确</w:t>
      </w:r>
      <w:r>
        <w:rPr>
          <w:rFonts w:hint="eastAsia" w:asciiTheme="minorEastAsia" w:hAnsiTheme="minorEastAsia" w:eastAsiaTheme="minorEastAsia" w:cstheme="minorEastAsia"/>
          <w:sz w:val="32"/>
          <w:szCs w:val="32"/>
          <w:lang w:val="en-US" w:eastAsia="zh-CN"/>
        </w:rPr>
        <w:t>我局</w:t>
      </w:r>
      <w:r>
        <w:rPr>
          <w:rFonts w:hint="eastAsia" w:asciiTheme="minorEastAsia" w:hAnsiTheme="minorEastAsia" w:eastAsiaTheme="minorEastAsia" w:cstheme="minorEastAsia"/>
          <w:sz w:val="32"/>
          <w:szCs w:val="32"/>
          <w:lang w:eastAsia="zh-CN"/>
        </w:rPr>
        <w:t>为牵头单位，市财政整合资金全力保障，乡镇街道全力配合。对上级要求的</w:t>
      </w:r>
      <w:r>
        <w:rPr>
          <w:rFonts w:hint="eastAsia" w:asciiTheme="minorEastAsia" w:hAnsiTheme="minorEastAsia" w:eastAsiaTheme="minorEastAsia" w:cstheme="minorEastAsia"/>
          <w:sz w:val="32"/>
          <w:szCs w:val="32"/>
          <w:lang w:val="en-US" w:eastAsia="zh-CN"/>
        </w:rPr>
        <w:t>“六类”农村低收入群体等重点对象</w:t>
      </w:r>
      <w:r>
        <w:rPr>
          <w:rFonts w:hint="eastAsia" w:asciiTheme="minorEastAsia" w:hAnsiTheme="minorEastAsia" w:eastAsiaTheme="minorEastAsia" w:cstheme="minorEastAsia"/>
          <w:sz w:val="32"/>
          <w:szCs w:val="32"/>
          <w:lang w:eastAsia="zh-CN"/>
        </w:rPr>
        <w:t>危房改造，在中央及省补资金</w:t>
      </w:r>
      <w:r>
        <w:rPr>
          <w:rFonts w:hint="eastAsia" w:asciiTheme="minorEastAsia" w:hAnsiTheme="minorEastAsia" w:eastAsiaTheme="minorEastAsia" w:cstheme="minorEastAsia"/>
          <w:sz w:val="32"/>
          <w:szCs w:val="32"/>
          <w:lang w:val="en-US" w:eastAsia="zh-CN"/>
        </w:rPr>
        <w:t>的基础上，市财政增加配套资金</w:t>
      </w:r>
      <w:r>
        <w:rPr>
          <w:rFonts w:hint="eastAsia" w:asciiTheme="minorEastAsia" w:hAnsiTheme="minorEastAsia" w:eastAsiaTheme="minorEastAsia" w:cstheme="minorEastAsia"/>
          <w:sz w:val="32"/>
          <w:szCs w:val="32"/>
          <w:lang w:eastAsia="zh-CN"/>
        </w:rPr>
        <w:t>，户均补助资金达到</w:t>
      </w:r>
      <w:r>
        <w:rPr>
          <w:rFonts w:hint="eastAsia" w:asciiTheme="minorEastAsia" w:hAnsiTheme="minorEastAsia" w:eastAsiaTheme="minorEastAsia" w:cstheme="minorEastAsia"/>
          <w:sz w:val="32"/>
          <w:szCs w:val="32"/>
          <w:lang w:val="en-US" w:eastAsia="zh-CN"/>
        </w:rPr>
        <w:t>3万元</w:t>
      </w:r>
      <w:r>
        <w:rPr>
          <w:rFonts w:hint="eastAsia" w:asciiTheme="minorEastAsia" w:hAnsiTheme="minorEastAsia" w:eastAsiaTheme="minorEastAsia" w:cstheme="minorEastAsia"/>
          <w:sz w:val="32"/>
          <w:szCs w:val="32"/>
          <w:lang w:eastAsia="zh-CN"/>
        </w:rPr>
        <w:t>。市</w:t>
      </w:r>
      <w:r>
        <w:rPr>
          <w:rFonts w:hint="eastAsia" w:asciiTheme="minorEastAsia" w:hAnsiTheme="minorEastAsia" w:eastAsiaTheme="minorEastAsia" w:cstheme="minorEastAsia"/>
          <w:sz w:val="32"/>
          <w:szCs w:val="32"/>
          <w:lang w:val="en-US" w:eastAsia="zh-CN"/>
        </w:rPr>
        <w:t>乡村振兴局</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住建局</w:t>
      </w:r>
      <w:r>
        <w:rPr>
          <w:rFonts w:hint="eastAsia" w:asciiTheme="minorEastAsia" w:hAnsiTheme="minorEastAsia" w:eastAsiaTheme="minorEastAsia" w:cstheme="minorEastAsia"/>
          <w:sz w:val="32"/>
          <w:szCs w:val="32"/>
          <w:lang w:eastAsia="zh-CN"/>
        </w:rPr>
        <w:t>加强协调配合，全面部署，强力推进，</w:t>
      </w:r>
      <w:r>
        <w:rPr>
          <w:rFonts w:hint="eastAsia" w:asciiTheme="minorEastAsia" w:hAnsiTheme="minorEastAsia" w:eastAsiaTheme="minorEastAsia" w:cstheme="minorEastAsia"/>
          <w:sz w:val="32"/>
          <w:szCs w:val="32"/>
          <w:lang w:val="en-US" w:eastAsia="zh-CN"/>
        </w:rPr>
        <w:t>全年完成</w:t>
      </w:r>
      <w:r>
        <w:rPr>
          <w:rFonts w:hint="eastAsia" w:asciiTheme="minorEastAsia" w:hAnsiTheme="minorEastAsia" w:eastAsiaTheme="minorEastAsia" w:cstheme="minorEastAsia"/>
          <w:sz w:val="32"/>
          <w:szCs w:val="32"/>
        </w:rPr>
        <w:t>农村</w:t>
      </w:r>
      <w:r>
        <w:rPr>
          <w:rFonts w:hint="eastAsia" w:asciiTheme="minorEastAsia" w:hAnsiTheme="minorEastAsia" w:eastAsiaTheme="minorEastAsia" w:cstheme="minorEastAsia"/>
          <w:sz w:val="32"/>
          <w:szCs w:val="32"/>
          <w:lang w:val="en-US" w:eastAsia="zh-CN"/>
        </w:rPr>
        <w:t>危改</w:t>
      </w:r>
      <w:r>
        <w:rPr>
          <w:rFonts w:hint="eastAsia" w:asciiTheme="minorEastAsia" w:hAnsiTheme="minorEastAsia" w:eastAsiaTheme="minorEastAsia" w:cstheme="minorEastAsia"/>
          <w:sz w:val="32"/>
          <w:szCs w:val="32"/>
        </w:rPr>
        <w:t>共计</w:t>
      </w:r>
      <w:r>
        <w:rPr>
          <w:rFonts w:hint="eastAsia" w:asciiTheme="minorEastAsia" w:hAnsiTheme="minorEastAsia" w:eastAsiaTheme="minorEastAsia" w:cstheme="minorEastAsia"/>
          <w:sz w:val="32"/>
          <w:szCs w:val="32"/>
          <w:lang w:val="en-US" w:eastAsia="zh-CN"/>
        </w:rPr>
        <w:t>309户。</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二、预算资金使用及管理情况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rPr>
        <w:t>（一）预算资金及自筹资金的安排落实、总投入等情况。</w:t>
      </w:r>
      <w:r>
        <w:rPr>
          <w:rFonts w:hint="eastAsia" w:asciiTheme="minorEastAsia" w:hAnsiTheme="minorEastAsia" w:eastAsiaTheme="minorEastAsia" w:cstheme="minorEastAsia"/>
          <w:sz w:val="32"/>
          <w:szCs w:val="32"/>
        </w:rPr>
        <w:br w:type="textWrapping"/>
      </w:r>
      <w:r>
        <w:rPr>
          <w:rFonts w:hint="eastAsia" w:asciiTheme="minorEastAsia" w:hAnsiTheme="minorEastAsia" w:eastAsiaTheme="minorEastAsia" w:cstheme="minorEastAsia"/>
          <w:sz w:val="32"/>
          <w:szCs w:val="32"/>
          <w:lang w:val="en-US" w:eastAsia="zh-CN"/>
        </w:rPr>
        <w:t xml:space="preserve">    年初计划全市危改任务216户，2021年实际完成309户，总计拨付各项危改补助资金837.5万元。</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（二）预算资金实际使用情况。</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2021</w:t>
      </w:r>
      <w:r>
        <w:rPr>
          <w:rFonts w:hint="eastAsia" w:asciiTheme="minorEastAsia" w:hAnsiTheme="minorEastAsia" w:eastAsiaTheme="minorEastAsia" w:cstheme="minorEastAsia"/>
          <w:sz w:val="32"/>
          <w:szCs w:val="32"/>
        </w:rPr>
        <w:t>年</w:t>
      </w:r>
      <w:r>
        <w:rPr>
          <w:rFonts w:hint="eastAsia" w:asciiTheme="minorEastAsia" w:hAnsiTheme="minorEastAsia" w:eastAsiaTheme="minorEastAsia" w:cstheme="minorEastAsia"/>
          <w:sz w:val="32"/>
          <w:szCs w:val="32"/>
          <w:lang w:val="en-US" w:eastAsia="zh-CN"/>
        </w:rPr>
        <w:t>市</w:t>
      </w:r>
      <w:r>
        <w:rPr>
          <w:rFonts w:hint="eastAsia" w:asciiTheme="minorEastAsia" w:hAnsiTheme="minorEastAsia" w:eastAsiaTheme="minorEastAsia" w:cstheme="minorEastAsia"/>
          <w:sz w:val="32"/>
          <w:szCs w:val="32"/>
        </w:rPr>
        <w:t>财政将该项目中央补助</w:t>
      </w:r>
      <w:r>
        <w:rPr>
          <w:rFonts w:hint="eastAsia" w:asciiTheme="minorEastAsia" w:hAnsiTheme="minorEastAsia" w:eastAsiaTheme="minorEastAsia" w:cstheme="minorEastAsia"/>
          <w:sz w:val="32"/>
          <w:szCs w:val="32"/>
          <w:lang w:val="en-US" w:eastAsia="zh-CN"/>
        </w:rPr>
        <w:t>546</w:t>
      </w:r>
      <w:r>
        <w:rPr>
          <w:rFonts w:hint="eastAsia" w:asciiTheme="minorEastAsia" w:hAnsiTheme="minorEastAsia" w:eastAsiaTheme="minorEastAsia" w:cstheme="minorEastAsia"/>
          <w:sz w:val="32"/>
          <w:szCs w:val="32"/>
        </w:rPr>
        <w:t>万元、（详细见</w:t>
      </w:r>
      <w:r>
        <w:rPr>
          <w:rFonts w:hint="eastAsia" w:asciiTheme="minorEastAsia" w:hAnsiTheme="minorEastAsia" w:eastAsiaTheme="minorEastAsia" w:cstheme="minorEastAsia"/>
          <w:sz w:val="32"/>
          <w:szCs w:val="32"/>
          <w:lang w:val="en-US" w:eastAsia="zh-CN"/>
        </w:rPr>
        <w:t>湘财预【2021】69号文件</w:t>
      </w:r>
      <w:r>
        <w:rPr>
          <w:rFonts w:hint="eastAsia" w:asciiTheme="minorEastAsia" w:hAnsiTheme="minorEastAsia" w:eastAsiaTheme="minorEastAsia" w:cstheme="minorEastAsia"/>
          <w:sz w:val="32"/>
          <w:szCs w:val="32"/>
        </w:rPr>
        <w:t>：</w:t>
      </w:r>
      <w:r>
        <w:rPr>
          <w:rFonts w:hint="eastAsia" w:asciiTheme="minorEastAsia" w:hAnsiTheme="minorEastAsia" w:eastAsiaTheme="minorEastAsia" w:cstheme="minorEastAsia"/>
          <w:sz w:val="32"/>
          <w:szCs w:val="32"/>
          <w:lang w:val="en-US" w:eastAsia="zh-CN"/>
        </w:rPr>
        <w:t>湖南省2021</w:t>
      </w:r>
      <w:r>
        <w:rPr>
          <w:rFonts w:hint="eastAsia" w:asciiTheme="minorEastAsia" w:hAnsiTheme="minorEastAsia" w:eastAsiaTheme="minorEastAsia" w:cstheme="minorEastAsia"/>
          <w:sz w:val="32"/>
          <w:szCs w:val="32"/>
        </w:rPr>
        <w:t>年农村危房改造资金</w:t>
      </w:r>
      <w:r>
        <w:rPr>
          <w:rFonts w:hint="eastAsia" w:asciiTheme="minorEastAsia" w:hAnsiTheme="minorEastAsia" w:eastAsiaTheme="minorEastAsia" w:cstheme="minorEastAsia"/>
          <w:sz w:val="32"/>
          <w:szCs w:val="32"/>
          <w:lang w:val="en-US" w:eastAsia="zh-CN"/>
        </w:rPr>
        <w:t>安排</w:t>
      </w:r>
      <w:r>
        <w:rPr>
          <w:rFonts w:hint="eastAsia" w:asciiTheme="minorEastAsia" w:hAnsiTheme="minorEastAsia" w:eastAsiaTheme="minorEastAsia" w:cstheme="minorEastAsia"/>
          <w:sz w:val="32"/>
          <w:szCs w:val="32"/>
        </w:rPr>
        <w:t>表）下拨至本单位</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sz w:val="32"/>
          <w:szCs w:val="32"/>
          <w:lang w:val="en-US" w:eastAsia="zh-CN"/>
        </w:rPr>
        <w:t>市级配套资金为291.5万元，通过“一卡通”拔付危房改造309户补助资金共计837.5万元，危改资金全部按时拨付到位。</w:t>
      </w:r>
    </w:p>
    <w:p>
      <w:pPr>
        <w:adjustRightInd w:val="0"/>
        <w:snapToGrid w:val="0"/>
        <w:spacing w:line="52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（三）预算资金管理情况分析，主要包括管理制度、办法的制订及执行情况。</w:t>
      </w:r>
    </w:p>
    <w:p>
      <w:pPr>
        <w:pStyle w:val="8"/>
        <w:keepNext w:val="0"/>
        <w:keepLines w:val="0"/>
        <w:pageBreakBefore w:val="0"/>
        <w:widowControl w:val="0"/>
        <w:numPr>
          <w:ilvl w:val="0"/>
          <w:numId w:val="0"/>
        </w:numPr>
        <w:kinsoku/>
        <w:wordWrap/>
        <w:overflowPunct/>
        <w:topLinePunct w:val="0"/>
        <w:autoSpaceDE/>
        <w:autoSpaceDN/>
        <w:bidi w:val="0"/>
        <w:adjustRightInd/>
        <w:snapToGrid w:val="0"/>
        <w:spacing w:line="600" w:lineRule="exact"/>
        <w:ind w:firstLine="640" w:firstLineChars="200"/>
        <w:textAlignment w:val="auto"/>
        <w:rPr>
          <w:rFonts w:hint="eastAsia" w:asciiTheme="minorEastAsia" w:hAnsiTheme="minorEastAsia" w:eastAsiaTheme="minorEastAsia" w:cstheme="minorEastAsia"/>
          <w:kern w:val="2"/>
          <w:sz w:val="32"/>
          <w:szCs w:val="32"/>
          <w:lang w:val="en-US" w:eastAsia="zh-CN"/>
        </w:rPr>
      </w:pPr>
      <w:r>
        <w:rPr>
          <w:rFonts w:hint="eastAsia" w:asciiTheme="minorEastAsia" w:hAnsiTheme="minorEastAsia" w:eastAsiaTheme="minorEastAsia" w:cstheme="minorEastAsia"/>
          <w:b w:val="0"/>
          <w:bCs w:val="0"/>
          <w:sz w:val="32"/>
          <w:szCs w:val="32"/>
          <w:lang w:val="en-US" w:eastAsia="zh-CN"/>
        </w:rPr>
        <w:t>全</w:t>
      </w:r>
      <w:r>
        <w:rPr>
          <w:rFonts w:hint="eastAsia" w:asciiTheme="minorEastAsia" w:hAnsiTheme="minorEastAsia" w:eastAsiaTheme="minorEastAsia" w:cstheme="minorEastAsia"/>
          <w:kern w:val="2"/>
          <w:sz w:val="32"/>
          <w:szCs w:val="32"/>
          <w:lang w:val="en-US" w:eastAsia="zh-CN"/>
        </w:rPr>
        <w:t>市农村危房改造工作严格按照“谁主管，谁负责”的原则，形成了市直各部门督促指导、乡（镇）、村上下联动、齐抓共管的工作格局。为加强我市农村危房改造资金的管理，提高专项资金的使用效益，确保我市农村危房改造工程顺利完成，印发了《关于进一步做好农村低收入群体等重点对象住房安全保障工作的通知》文件，明确了农村危房改造资金的使用原则。农村危房改造资金按照“中央拨、乡镇用、市监管”的管理模式,坚持专款专用的原则,按照规定的范围、标准和程序使用，确保资金使用的规范性、安全性和有效性。确保了农村危改工作顺利推进。</w:t>
      </w:r>
    </w:p>
    <w:p>
      <w:pPr>
        <w:adjustRightInd w:val="0"/>
        <w:snapToGrid w:val="0"/>
        <w:spacing w:line="520" w:lineRule="exact"/>
        <w:ind w:firstLine="640" w:firstLineChars="200"/>
        <w:rPr>
          <w:rFonts w:hint="eastAsia" w:asciiTheme="minorEastAsia" w:hAnsiTheme="minorEastAsia" w:eastAsiaTheme="minorEastAsia" w:cstheme="minorEastAsia"/>
          <w:b/>
          <w:bCs/>
          <w:sz w:val="32"/>
          <w:szCs w:val="32"/>
          <w:lang w:val="en-US" w:eastAsia="zh-CN"/>
        </w:rPr>
      </w:pPr>
      <w:r>
        <w:rPr>
          <w:rFonts w:hint="eastAsia" w:asciiTheme="minorEastAsia" w:hAnsiTheme="minorEastAsia" w:eastAsiaTheme="minorEastAsia" w:cstheme="minorEastAsia"/>
          <w:b/>
          <w:bCs/>
          <w:sz w:val="32"/>
          <w:szCs w:val="32"/>
        </w:rPr>
        <w:t>三、预算支出组织实施情况</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资金使用管理情况</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对危房改造工程质量安全进行不定期监督检查，解决好农民自建房屋中存在的设计不安全、建材质量不过关、建筑质量有隐患等问题。对不按质量标准施工、问题严重的房屋不予验收，对施工方采取约谈、暂缓拨付资金等措施处理，有效确保危房改造工程的质量和进度，提高了农房的防灾、减灾和避灾能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40" w:firstLineChars="200"/>
        <w:jc w:val="left"/>
        <w:textAlignment w:val="auto"/>
        <w:outlineLvl w:val="9"/>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市住建局</w:t>
      </w:r>
      <w:r>
        <w:rPr>
          <w:rFonts w:hint="eastAsia" w:asciiTheme="minorEastAsia" w:hAnsiTheme="minorEastAsia" w:eastAsiaTheme="minorEastAsia" w:cstheme="minorEastAsia"/>
          <w:sz w:val="32"/>
          <w:szCs w:val="32"/>
          <w:lang w:eastAsia="zh-CN"/>
        </w:rPr>
        <w:t>采取“一把手负总责，班子成员包片，股室负责人包乡镇，干部包村”的方式，定期开展督查，全面掌握危改情况，及时调度进度。</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rPr>
        <w:t>（二）项目组织实施情况</w:t>
      </w:r>
      <w:r>
        <w:rPr>
          <w:rFonts w:hint="eastAsia" w:asciiTheme="minorEastAsia" w:hAnsiTheme="minorEastAsia" w:eastAsiaTheme="minorEastAsia" w:cstheme="minorEastAsia"/>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val="en-US" w:eastAsia="zh-CN"/>
        </w:rPr>
        <w:t>坚持农村危改对象确定 “四原则”，严格执行农户自愿申请、村民会议或村民代表会议民主评议（公示）、镇级审核（公示）、市级审批（公示）的程序进行对象确定，建立台账，坚决杜绝关系户、权利户，把好对象入口关。同时通过电视、网络等媒体，将农村危房改造的政策要求、审批程序等进行广泛宣传，切实提高村民知晓率。严格执行村、乡镇和市级三级公示制度，将联合审核通过的拟补助对象分别在村务公开栏、乡镇政府和镇区主要街道、市政府门户网站公示，增加透明度和公众知晓度。</w:t>
      </w:r>
    </w:p>
    <w:p>
      <w:pPr>
        <w:adjustRightInd w:val="0"/>
        <w:snapToGrid w:val="0"/>
        <w:spacing w:line="520" w:lineRule="exact"/>
        <w:ind w:firstLine="640" w:firstLineChars="200"/>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四、预算支出绩效情况</w:t>
      </w:r>
    </w:p>
    <w:p>
      <w:pPr>
        <w:adjustRightInd w:val="0"/>
        <w:snapToGrid w:val="0"/>
        <w:spacing w:line="520" w:lineRule="exact"/>
        <w:ind w:firstLine="640" w:firstLineChars="200"/>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（一）预算支出决策情况。</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lang w:val="en-US" w:eastAsia="zh-CN"/>
        </w:rPr>
      </w:pPr>
      <w:r>
        <w:rPr>
          <w:rFonts w:hint="eastAsia" w:asciiTheme="minorEastAsia" w:hAnsiTheme="minorEastAsia" w:eastAsiaTheme="minorEastAsia" w:cstheme="minorEastAsia"/>
          <w:b w:val="0"/>
          <w:bCs w:val="0"/>
          <w:sz w:val="32"/>
          <w:szCs w:val="32"/>
        </w:rPr>
        <w:t>项目采取自评与他评相结合方式，成立项目自评小组，结合评价内容，做到有计划，有安排，扎实开展本次自评工作。按照上级下达的项目支出绩效评价指标体系，自评小组针对申报内容、实施情况、资金兑现、财务管理、社会效益等做出自我评价，认真听取村民建议意见，做好自评工作。</w:t>
      </w:r>
      <w:r>
        <w:rPr>
          <w:rFonts w:hint="eastAsia" w:asciiTheme="minorEastAsia" w:hAnsiTheme="minorEastAsia" w:eastAsiaTheme="minorEastAsia" w:cstheme="minorEastAsia"/>
          <w:b w:val="0"/>
          <w:bCs w:val="0"/>
          <w:sz w:val="32"/>
          <w:szCs w:val="32"/>
          <w:lang w:val="en-US" w:eastAsia="zh-CN"/>
        </w:rPr>
        <w:t xml:space="preserve">  </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（二）预算支出过程情况。</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rPr>
        <w:t>绩效自评综合得分为</w:t>
      </w:r>
      <w:r>
        <w:rPr>
          <w:rFonts w:hint="eastAsia" w:asciiTheme="minorEastAsia" w:hAnsiTheme="minorEastAsia" w:eastAsiaTheme="minorEastAsia" w:cstheme="minorEastAsia"/>
          <w:b w:val="0"/>
          <w:bCs w:val="0"/>
          <w:sz w:val="32"/>
          <w:szCs w:val="32"/>
          <w:lang w:val="en-US" w:eastAsia="zh-CN"/>
        </w:rPr>
        <w:t>99</w:t>
      </w:r>
      <w:r>
        <w:rPr>
          <w:rFonts w:hint="eastAsia" w:asciiTheme="minorEastAsia" w:hAnsiTheme="minorEastAsia" w:eastAsiaTheme="minorEastAsia" w:cstheme="minorEastAsia"/>
          <w:b w:val="0"/>
          <w:bCs w:val="0"/>
          <w:sz w:val="32"/>
          <w:szCs w:val="32"/>
        </w:rPr>
        <w:t>分，绩效自评等级为优。通过项目的实施使</w:t>
      </w:r>
      <w:r>
        <w:rPr>
          <w:rFonts w:hint="eastAsia" w:asciiTheme="minorEastAsia" w:hAnsiTheme="minorEastAsia" w:eastAsiaTheme="minorEastAsia" w:cstheme="minorEastAsia"/>
          <w:b w:val="0"/>
          <w:bCs w:val="0"/>
          <w:sz w:val="32"/>
          <w:szCs w:val="32"/>
          <w:lang w:eastAsia="zh-CN"/>
        </w:rPr>
        <w:t>危房改造对象的居住条件</w:t>
      </w:r>
      <w:r>
        <w:rPr>
          <w:rFonts w:hint="eastAsia" w:asciiTheme="minorEastAsia" w:hAnsiTheme="minorEastAsia" w:eastAsiaTheme="minorEastAsia" w:cstheme="minorEastAsia"/>
          <w:b w:val="0"/>
          <w:bCs w:val="0"/>
          <w:sz w:val="32"/>
          <w:szCs w:val="32"/>
        </w:rPr>
        <w:t>得到显著改善，</w:t>
      </w:r>
      <w:r>
        <w:rPr>
          <w:rFonts w:hint="eastAsia" w:asciiTheme="minorEastAsia" w:hAnsiTheme="minorEastAsia" w:eastAsiaTheme="minorEastAsia" w:cstheme="minorEastAsia"/>
          <w:b w:val="0"/>
          <w:bCs w:val="0"/>
          <w:sz w:val="32"/>
          <w:szCs w:val="32"/>
          <w:lang w:eastAsia="zh-CN"/>
        </w:rPr>
        <w:t>人居环境</w:t>
      </w:r>
      <w:r>
        <w:rPr>
          <w:rFonts w:hint="eastAsia" w:asciiTheme="minorEastAsia" w:hAnsiTheme="minorEastAsia" w:eastAsiaTheme="minorEastAsia" w:cstheme="minorEastAsia"/>
          <w:b w:val="0"/>
          <w:bCs w:val="0"/>
          <w:sz w:val="32"/>
          <w:szCs w:val="32"/>
        </w:rPr>
        <w:t>进一步</w:t>
      </w:r>
      <w:r>
        <w:rPr>
          <w:rFonts w:hint="eastAsia" w:asciiTheme="minorEastAsia" w:hAnsiTheme="minorEastAsia" w:eastAsiaTheme="minorEastAsia" w:cstheme="minorEastAsia"/>
          <w:b w:val="0"/>
          <w:bCs w:val="0"/>
          <w:sz w:val="32"/>
          <w:szCs w:val="32"/>
          <w:lang w:eastAsia="zh-CN"/>
        </w:rPr>
        <w:t>优化</w:t>
      </w:r>
      <w:r>
        <w:rPr>
          <w:rFonts w:hint="eastAsia" w:asciiTheme="minorEastAsia" w:hAnsiTheme="minorEastAsia" w:eastAsiaTheme="minorEastAsia" w:cstheme="minorEastAsia"/>
          <w:b w:val="0"/>
          <w:bCs w:val="0"/>
          <w:sz w:val="32"/>
          <w:szCs w:val="32"/>
        </w:rPr>
        <w:t>，人民群众生活</w:t>
      </w:r>
      <w:r>
        <w:rPr>
          <w:rFonts w:hint="eastAsia" w:asciiTheme="minorEastAsia" w:hAnsiTheme="minorEastAsia" w:eastAsiaTheme="minorEastAsia" w:cstheme="minorEastAsia"/>
          <w:b w:val="0"/>
          <w:bCs w:val="0"/>
          <w:sz w:val="32"/>
          <w:szCs w:val="32"/>
          <w:lang w:eastAsia="zh-CN"/>
        </w:rPr>
        <w:t>质量</w:t>
      </w:r>
      <w:r>
        <w:rPr>
          <w:rFonts w:hint="eastAsia" w:asciiTheme="minorEastAsia" w:hAnsiTheme="minorEastAsia" w:eastAsiaTheme="minorEastAsia" w:cstheme="minorEastAsia"/>
          <w:b w:val="0"/>
          <w:bCs w:val="0"/>
          <w:sz w:val="32"/>
          <w:szCs w:val="32"/>
        </w:rPr>
        <w:t>得到提</w:t>
      </w:r>
      <w:r>
        <w:rPr>
          <w:rFonts w:hint="eastAsia" w:asciiTheme="minorEastAsia" w:hAnsiTheme="minorEastAsia" w:eastAsiaTheme="minorEastAsia" w:cstheme="minorEastAsia"/>
          <w:b w:val="0"/>
          <w:bCs w:val="0"/>
          <w:sz w:val="32"/>
          <w:szCs w:val="32"/>
          <w:lang w:eastAsia="zh-CN"/>
        </w:rPr>
        <w:t>升</w:t>
      </w:r>
      <w:r>
        <w:rPr>
          <w:rFonts w:hint="eastAsia" w:asciiTheme="minorEastAsia" w:hAnsiTheme="minorEastAsia" w:eastAsiaTheme="minorEastAsia" w:cstheme="minorEastAsia"/>
          <w:b w:val="0"/>
          <w:bCs w:val="0"/>
          <w:sz w:val="32"/>
          <w:szCs w:val="32"/>
        </w:rPr>
        <w:t>。</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（三）预算支出产出情况。</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省住建厅“六类”农村低收入群体等重点对象指标任务216户，2021年实际完成309户，做到危房改造录入率100%、竣工率100%、入住率100%，总计拨付各项危改补助资金837.5万元。</w:t>
      </w:r>
    </w:p>
    <w:p>
      <w:pPr>
        <w:keepNext w:val="0"/>
        <w:keepLines w:val="0"/>
        <w:pageBreakBefore w:val="0"/>
        <w:numPr>
          <w:ilvl w:val="0"/>
          <w:numId w:val="4"/>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sz w:val="32"/>
          <w:szCs w:val="32"/>
        </w:rPr>
        <w:t>预算支出效益情况。</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val="0"/>
          <w:bCs w:val="0"/>
          <w:sz w:val="32"/>
          <w:szCs w:val="32"/>
        </w:rPr>
        <w:t>所有</w:t>
      </w:r>
      <w:r>
        <w:rPr>
          <w:rFonts w:hint="eastAsia" w:asciiTheme="minorEastAsia" w:hAnsiTheme="minorEastAsia" w:eastAsiaTheme="minorEastAsia" w:cstheme="minorEastAsia"/>
          <w:b w:val="0"/>
          <w:bCs w:val="0"/>
          <w:sz w:val="32"/>
          <w:szCs w:val="32"/>
          <w:lang w:eastAsia="zh-CN"/>
        </w:rPr>
        <w:t>工作</w:t>
      </w:r>
      <w:r>
        <w:rPr>
          <w:rFonts w:hint="eastAsia" w:asciiTheme="minorEastAsia" w:hAnsiTheme="minorEastAsia" w:eastAsiaTheme="minorEastAsia" w:cstheme="minorEastAsia"/>
          <w:b w:val="0"/>
          <w:bCs w:val="0"/>
          <w:sz w:val="32"/>
          <w:szCs w:val="32"/>
        </w:rPr>
        <w:t>按照年初计划按部就班实施，</w:t>
      </w:r>
      <w:r>
        <w:rPr>
          <w:rFonts w:hint="eastAsia" w:asciiTheme="minorEastAsia" w:hAnsiTheme="minorEastAsia" w:eastAsiaTheme="minorEastAsia" w:cstheme="minorEastAsia"/>
          <w:b w:val="0"/>
          <w:bCs w:val="0"/>
          <w:sz w:val="32"/>
          <w:szCs w:val="32"/>
          <w:lang w:val="en-US" w:eastAsia="zh-CN"/>
        </w:rPr>
        <w:t>全面</w:t>
      </w:r>
      <w:r>
        <w:rPr>
          <w:rFonts w:hint="eastAsia" w:asciiTheme="minorEastAsia" w:hAnsiTheme="minorEastAsia" w:eastAsiaTheme="minorEastAsia" w:cstheme="minorEastAsia"/>
          <w:b w:val="0"/>
          <w:bCs w:val="0"/>
          <w:sz w:val="32"/>
          <w:szCs w:val="32"/>
        </w:rPr>
        <w:t>完成</w:t>
      </w:r>
      <w:r>
        <w:rPr>
          <w:rFonts w:hint="eastAsia" w:asciiTheme="minorEastAsia" w:hAnsiTheme="minorEastAsia" w:eastAsiaTheme="minorEastAsia" w:cstheme="minorEastAsia"/>
          <w:sz w:val="32"/>
          <w:szCs w:val="32"/>
          <w:lang w:val="en-US" w:eastAsia="zh-CN"/>
        </w:rPr>
        <w:t>“六类”农村低收入群体等重点对象</w:t>
      </w:r>
      <w:r>
        <w:rPr>
          <w:rFonts w:hint="eastAsia" w:asciiTheme="minorEastAsia" w:hAnsiTheme="minorEastAsia" w:eastAsiaTheme="minorEastAsia" w:cstheme="minorEastAsia"/>
          <w:sz w:val="32"/>
          <w:szCs w:val="32"/>
          <w:lang w:eastAsia="zh-CN"/>
        </w:rPr>
        <w:t>危房改造</w:t>
      </w:r>
      <w:r>
        <w:rPr>
          <w:rFonts w:hint="eastAsia" w:asciiTheme="minorEastAsia" w:hAnsiTheme="minorEastAsia" w:eastAsiaTheme="minorEastAsia" w:cstheme="minorEastAsia"/>
          <w:b w:val="0"/>
          <w:bCs w:val="0"/>
          <w:sz w:val="32"/>
          <w:szCs w:val="32"/>
        </w:rPr>
        <w:t>工作任务，</w:t>
      </w:r>
      <w:r>
        <w:rPr>
          <w:rFonts w:hint="eastAsia" w:asciiTheme="minorEastAsia" w:hAnsiTheme="minorEastAsia" w:eastAsiaTheme="minorEastAsia" w:cstheme="minorEastAsia"/>
          <w:color w:val="000000"/>
          <w:sz w:val="32"/>
          <w:szCs w:val="32"/>
          <w:lang w:eastAsia="zh-CN"/>
        </w:rPr>
        <w:t>确保房屋质量安全</w:t>
      </w:r>
      <w:r>
        <w:rPr>
          <w:rFonts w:hint="eastAsia" w:asciiTheme="minorEastAsia" w:hAnsiTheme="minorEastAsia" w:eastAsiaTheme="minorEastAsia" w:cstheme="minorEastAsia"/>
          <w:bCs/>
          <w:sz w:val="32"/>
          <w:szCs w:val="32"/>
          <w:lang w:val="en-US" w:eastAsia="zh-CN"/>
        </w:rPr>
        <w:t>，做到</w:t>
      </w:r>
      <w:r>
        <w:rPr>
          <w:rFonts w:hint="eastAsia" w:asciiTheme="minorEastAsia" w:hAnsiTheme="minorEastAsia" w:eastAsiaTheme="minorEastAsia" w:cstheme="minorEastAsia"/>
          <w:bCs/>
          <w:sz w:val="32"/>
          <w:szCs w:val="32"/>
        </w:rPr>
        <w:t>应改尽改，</w:t>
      </w:r>
      <w:r>
        <w:rPr>
          <w:rFonts w:hint="eastAsia" w:asciiTheme="minorEastAsia" w:hAnsiTheme="minorEastAsia" w:eastAsiaTheme="minorEastAsia" w:cstheme="minorEastAsia"/>
          <w:kern w:val="0"/>
          <w:sz w:val="32"/>
          <w:szCs w:val="32"/>
        </w:rPr>
        <w:t>不漏一户，不落一人</w:t>
      </w:r>
      <w:r>
        <w:rPr>
          <w:rFonts w:hint="eastAsia" w:asciiTheme="minorEastAsia" w:hAnsiTheme="minorEastAsia" w:eastAsiaTheme="minorEastAsia" w:cstheme="minorEastAsia"/>
          <w:kern w:val="0"/>
          <w:sz w:val="32"/>
          <w:szCs w:val="32"/>
          <w:lang w:eastAsia="zh-CN"/>
        </w:rPr>
        <w:t>。</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按照省、湘潭市关于防返贫监测的要求将乡村振兴局发的最新防返贫监测对象名单（共1625户，3521人）一对一将“湖南省防返贫监测与帮扶管理平台”监测对象住房保障情况进行了入户核查，并将住房保障情况一一进行安全等级鉴定，做到发现一户、整改一户、销号一户，确保“人不住危房，危房不住人”，巩固拓展脱贫攻坚成果，建立健全农村危房改造监测预警和农村低收入人口基本住房安全保障机制。</w:t>
      </w:r>
    </w:p>
    <w:p>
      <w:pPr>
        <w:keepNext w:val="0"/>
        <w:keepLines w:val="0"/>
        <w:pageBreakBefore w:val="0"/>
        <w:numPr>
          <w:ilvl w:val="0"/>
          <w:numId w:val="5"/>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存在的问题</w:t>
      </w:r>
    </w:p>
    <w:p>
      <w:pPr>
        <w:keepNext w:val="0"/>
        <w:keepLines w:val="0"/>
        <w:pageBreakBefore w:val="0"/>
        <w:numPr>
          <w:ilvl w:val="0"/>
          <w:numId w:val="6"/>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rPr>
        <w:t>资金投入不足。</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rPr>
        <w:t>我市的</w:t>
      </w:r>
      <w:r>
        <w:rPr>
          <w:rFonts w:hint="eastAsia" w:asciiTheme="minorEastAsia" w:hAnsiTheme="minorEastAsia" w:eastAsiaTheme="minorEastAsia" w:cstheme="minorEastAsia"/>
          <w:b w:val="0"/>
          <w:bCs w:val="0"/>
          <w:sz w:val="32"/>
          <w:szCs w:val="32"/>
          <w:lang w:eastAsia="zh-CN"/>
        </w:rPr>
        <w:t>基础设施项目及民生</w:t>
      </w:r>
      <w:r>
        <w:rPr>
          <w:rFonts w:hint="eastAsia" w:asciiTheme="minorEastAsia" w:hAnsiTheme="minorEastAsia" w:eastAsiaTheme="minorEastAsia" w:cstheme="minorEastAsia"/>
          <w:b w:val="0"/>
          <w:bCs w:val="0"/>
          <w:sz w:val="32"/>
          <w:szCs w:val="32"/>
        </w:rPr>
        <w:t>项目</w:t>
      </w:r>
      <w:r>
        <w:rPr>
          <w:rFonts w:hint="eastAsia" w:asciiTheme="minorEastAsia" w:hAnsiTheme="minorEastAsia" w:eastAsiaTheme="minorEastAsia" w:cstheme="minorEastAsia"/>
          <w:b w:val="0"/>
          <w:bCs w:val="0"/>
          <w:sz w:val="32"/>
          <w:szCs w:val="32"/>
          <w:lang w:eastAsia="zh-CN"/>
        </w:rPr>
        <w:t>众</w:t>
      </w:r>
      <w:r>
        <w:rPr>
          <w:rFonts w:hint="eastAsia" w:asciiTheme="minorEastAsia" w:hAnsiTheme="minorEastAsia" w:eastAsiaTheme="minorEastAsia" w:cstheme="minorEastAsia"/>
          <w:b w:val="0"/>
          <w:bCs w:val="0"/>
          <w:sz w:val="32"/>
          <w:szCs w:val="32"/>
        </w:rPr>
        <w:t>多，资金需求量大，</w:t>
      </w:r>
      <w:r>
        <w:rPr>
          <w:rFonts w:hint="eastAsia" w:asciiTheme="minorEastAsia" w:hAnsiTheme="minorEastAsia" w:eastAsiaTheme="minorEastAsia" w:cstheme="minorEastAsia"/>
          <w:b w:val="0"/>
          <w:bCs w:val="0"/>
          <w:sz w:val="32"/>
          <w:szCs w:val="32"/>
          <w:lang w:eastAsia="zh-CN"/>
        </w:rPr>
        <w:t>本级财政紧张</w:t>
      </w:r>
      <w:r>
        <w:rPr>
          <w:rFonts w:hint="eastAsia" w:asciiTheme="minorEastAsia" w:hAnsiTheme="minorEastAsia" w:eastAsiaTheme="minorEastAsia" w:cstheme="minorEastAsia"/>
          <w:b w:val="0"/>
          <w:bCs w:val="0"/>
          <w:sz w:val="32"/>
          <w:szCs w:val="32"/>
        </w:rPr>
        <w:t>，</w:t>
      </w:r>
      <w:r>
        <w:rPr>
          <w:rFonts w:hint="eastAsia" w:asciiTheme="minorEastAsia" w:hAnsiTheme="minorEastAsia" w:eastAsiaTheme="minorEastAsia" w:cstheme="minorEastAsia"/>
          <w:b w:val="0"/>
          <w:bCs w:val="0"/>
          <w:sz w:val="32"/>
          <w:szCs w:val="32"/>
          <w:lang w:eastAsia="zh-CN"/>
        </w:rPr>
        <w:t>配套资金较少</w:t>
      </w:r>
      <w:r>
        <w:rPr>
          <w:rFonts w:hint="eastAsia" w:asciiTheme="minorEastAsia" w:hAnsiTheme="minorEastAsia" w:eastAsiaTheme="minorEastAsia" w:cstheme="minorEastAsia"/>
          <w:b w:val="0"/>
          <w:bCs w:val="0"/>
          <w:sz w:val="32"/>
          <w:szCs w:val="32"/>
        </w:rPr>
        <w:t>，造成</w:t>
      </w:r>
      <w:r>
        <w:rPr>
          <w:rFonts w:hint="eastAsia" w:asciiTheme="minorEastAsia" w:hAnsiTheme="minorEastAsia" w:eastAsiaTheme="minorEastAsia" w:cstheme="minorEastAsia"/>
          <w:b w:val="0"/>
          <w:bCs w:val="0"/>
          <w:sz w:val="32"/>
          <w:szCs w:val="32"/>
          <w:lang w:eastAsia="zh-CN"/>
        </w:rPr>
        <w:t>农村困难人群在危改中自筹部份较多，为危改工作的顺利完成带来了很大的难度。</w:t>
      </w:r>
    </w:p>
    <w:p>
      <w:pPr>
        <w:keepNext w:val="0"/>
        <w:keepLines w:val="0"/>
        <w:pageBreakBefore w:val="0"/>
        <w:numPr>
          <w:ilvl w:val="0"/>
          <w:numId w:val="6"/>
        </w:numPr>
        <w:pBdr>
          <w:bottom w:val="single" w:color="FFFFFF" w:sz="8" w:space="30"/>
        </w:pBdr>
        <w:kinsoku/>
        <w:overflowPunct/>
        <w:topLinePunct w:val="0"/>
        <w:autoSpaceDE/>
        <w:autoSpaceDN/>
        <w:bidi w:val="0"/>
        <w:spacing w:line="560" w:lineRule="exact"/>
        <w:ind w:left="0" w:leftChars="0"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lang w:eastAsia="zh-CN"/>
        </w:rPr>
        <w:t>财政资金拨付不能及时到位</w:t>
      </w:r>
      <w:r>
        <w:rPr>
          <w:rFonts w:hint="eastAsia" w:asciiTheme="minorEastAsia" w:hAnsiTheme="minorEastAsia" w:eastAsiaTheme="minorEastAsia" w:cstheme="minorEastAsia"/>
          <w:b w:val="0"/>
          <w:bCs w:val="0"/>
          <w:sz w:val="32"/>
          <w:szCs w:val="32"/>
        </w:rPr>
        <w:t>。</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lang w:eastAsia="zh-CN"/>
        </w:rPr>
      </w:pPr>
      <w:r>
        <w:rPr>
          <w:rFonts w:hint="eastAsia" w:asciiTheme="minorEastAsia" w:hAnsiTheme="minorEastAsia" w:eastAsiaTheme="minorEastAsia" w:cstheme="minorEastAsia"/>
          <w:b w:val="0"/>
          <w:bCs w:val="0"/>
          <w:sz w:val="32"/>
          <w:szCs w:val="32"/>
          <w:lang w:eastAsia="zh-CN"/>
        </w:rPr>
        <w:t>因本级财力紧张，工作经费虽有预算，但有时资金不能及时到位，为工作开展增加了难度。</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六、有关建议</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b w:val="0"/>
          <w:bCs w:val="0"/>
          <w:sz w:val="32"/>
          <w:szCs w:val="32"/>
          <w:lang w:val="en-US" w:eastAsia="zh-CN"/>
        </w:rPr>
        <w:t>一</w:t>
      </w: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b w:val="0"/>
          <w:bCs w:val="0"/>
          <w:sz w:val="32"/>
          <w:szCs w:val="32"/>
        </w:rPr>
        <w:t>加大资金</w:t>
      </w:r>
      <w:r>
        <w:rPr>
          <w:rFonts w:hint="eastAsia" w:asciiTheme="minorEastAsia" w:hAnsiTheme="minorEastAsia" w:eastAsiaTheme="minorEastAsia" w:cstheme="minorEastAsia"/>
          <w:b w:val="0"/>
          <w:bCs w:val="0"/>
          <w:sz w:val="32"/>
          <w:szCs w:val="32"/>
          <w:lang w:eastAsia="zh-CN"/>
        </w:rPr>
        <w:t>投入</w:t>
      </w:r>
      <w:r>
        <w:rPr>
          <w:rFonts w:hint="eastAsia" w:asciiTheme="minorEastAsia" w:hAnsiTheme="minorEastAsia" w:eastAsiaTheme="minorEastAsia" w:cstheme="minorEastAsia"/>
          <w:b w:val="0"/>
          <w:bCs w:val="0"/>
          <w:sz w:val="32"/>
          <w:szCs w:val="32"/>
        </w:rPr>
        <w:t>。</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lang w:eastAsia="zh-CN"/>
        </w:rPr>
      </w:pPr>
      <w:r>
        <w:rPr>
          <w:rFonts w:hint="eastAsia" w:asciiTheme="minorEastAsia" w:hAnsiTheme="minorEastAsia" w:eastAsiaTheme="minorEastAsia" w:cstheme="minorEastAsia"/>
          <w:b w:val="0"/>
          <w:bCs w:val="0"/>
          <w:sz w:val="32"/>
          <w:szCs w:val="32"/>
          <w:lang w:val="en-US" w:eastAsia="zh-CN"/>
        </w:rPr>
        <w:t>针对</w:t>
      </w:r>
      <w:r>
        <w:rPr>
          <w:rFonts w:hint="eastAsia" w:asciiTheme="minorEastAsia" w:hAnsiTheme="minorEastAsia" w:eastAsiaTheme="minorEastAsia" w:cstheme="minorEastAsia"/>
          <w:sz w:val="32"/>
          <w:szCs w:val="32"/>
          <w:lang w:val="en-US" w:eastAsia="zh-CN"/>
        </w:rPr>
        <w:t>“六类”农村低收入群体等重点对象</w:t>
      </w:r>
      <w:r>
        <w:rPr>
          <w:rFonts w:hint="eastAsia" w:asciiTheme="minorEastAsia" w:hAnsiTheme="minorEastAsia" w:eastAsiaTheme="minorEastAsia" w:cstheme="minorEastAsia"/>
          <w:sz w:val="32"/>
          <w:szCs w:val="32"/>
          <w:lang w:eastAsia="zh-CN"/>
        </w:rPr>
        <w:t>危房改造</w:t>
      </w:r>
      <w:r>
        <w:rPr>
          <w:rFonts w:hint="eastAsia" w:asciiTheme="minorEastAsia" w:hAnsiTheme="minorEastAsia" w:eastAsiaTheme="minorEastAsia" w:cstheme="minorEastAsia"/>
          <w:sz w:val="32"/>
          <w:szCs w:val="32"/>
          <w:lang w:val="en-US" w:eastAsia="zh-CN"/>
        </w:rPr>
        <w:t>时</w:t>
      </w:r>
      <w:r>
        <w:rPr>
          <w:rFonts w:hint="eastAsia" w:asciiTheme="minorEastAsia" w:hAnsiTheme="minorEastAsia" w:eastAsiaTheme="minorEastAsia" w:cstheme="minorEastAsia"/>
          <w:sz w:val="32"/>
          <w:szCs w:val="32"/>
          <w:lang w:eastAsia="zh-CN"/>
        </w:rPr>
        <w:t>，</w:t>
      </w:r>
      <w:r>
        <w:rPr>
          <w:rFonts w:hint="eastAsia" w:asciiTheme="minorEastAsia" w:hAnsiTheme="minorEastAsia" w:eastAsiaTheme="minorEastAsia" w:cstheme="minorEastAsia"/>
          <w:b w:val="0"/>
          <w:bCs w:val="0"/>
          <w:sz w:val="32"/>
          <w:szCs w:val="32"/>
          <w:lang w:eastAsia="zh-CN"/>
        </w:rPr>
        <w:t>建议加大本级财政配套资金力度，减少自筹部份的投入，减少新增贫困。</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b w:val="0"/>
          <w:bCs w:val="0"/>
          <w:sz w:val="32"/>
          <w:szCs w:val="32"/>
        </w:rPr>
      </w:pPr>
      <w:r>
        <w:rPr>
          <w:rFonts w:hint="eastAsia" w:asciiTheme="minorEastAsia" w:hAnsiTheme="minorEastAsia" w:eastAsiaTheme="minorEastAsia" w:cstheme="minorEastAsia"/>
          <w:b w:val="0"/>
          <w:bCs w:val="0"/>
          <w:sz w:val="32"/>
          <w:szCs w:val="32"/>
          <w:lang w:eastAsia="zh-CN"/>
        </w:rPr>
        <w:t>（</w:t>
      </w:r>
      <w:r>
        <w:rPr>
          <w:rFonts w:hint="eastAsia" w:asciiTheme="minorEastAsia" w:hAnsiTheme="minorEastAsia" w:eastAsiaTheme="minorEastAsia" w:cstheme="minorEastAsia"/>
          <w:b w:val="0"/>
          <w:bCs w:val="0"/>
          <w:sz w:val="32"/>
          <w:szCs w:val="32"/>
          <w:lang w:val="en-US" w:eastAsia="zh-CN"/>
        </w:rPr>
        <w:t>二</w:t>
      </w:r>
      <w:r>
        <w:rPr>
          <w:rFonts w:hint="eastAsia" w:asciiTheme="minorEastAsia" w:hAnsiTheme="minorEastAsia" w:eastAsiaTheme="minorEastAsia" w:cstheme="minorEastAsia"/>
          <w:b w:val="0"/>
          <w:bCs w:val="0"/>
          <w:sz w:val="32"/>
          <w:szCs w:val="32"/>
          <w:lang w:eastAsia="zh-CN"/>
        </w:rPr>
        <w:t>）资金及时拨付到位</w:t>
      </w:r>
      <w:r>
        <w:rPr>
          <w:rFonts w:hint="eastAsia" w:asciiTheme="minorEastAsia" w:hAnsiTheme="minorEastAsia" w:eastAsiaTheme="minorEastAsia" w:cstheme="minorEastAsia"/>
          <w:b w:val="0"/>
          <w:bCs w:val="0"/>
          <w:sz w:val="32"/>
          <w:szCs w:val="32"/>
        </w:rPr>
        <w:t>。</w:t>
      </w:r>
    </w:p>
    <w:p>
      <w:pPr>
        <w:keepNext w:val="0"/>
        <w:keepLines w:val="0"/>
        <w:pageBreakBefore w:val="0"/>
        <w:numPr>
          <w:ilvl w:val="0"/>
          <w:numId w:val="0"/>
        </w:numPr>
        <w:pBdr>
          <w:bottom w:val="single" w:color="FFFFFF" w:sz="8" w:space="30"/>
        </w:pBdr>
        <w:kinsoku/>
        <w:overflowPunct/>
        <w:topLinePunct w:val="0"/>
        <w:autoSpaceDE/>
        <w:autoSpaceDN/>
        <w:bidi w:val="0"/>
        <w:spacing w:line="560" w:lineRule="exact"/>
        <w:ind w:firstLine="640" w:firstLineChars="200"/>
        <w:textAlignment w:val="auto"/>
        <w:rPr>
          <w:rFonts w:hint="eastAsia" w:asciiTheme="minorEastAsia" w:hAnsiTheme="minorEastAsia" w:eastAsiaTheme="minorEastAsia" w:cstheme="minorEastAsia"/>
          <w:sz w:val="32"/>
          <w:szCs w:val="32"/>
        </w:rPr>
      </w:pPr>
      <w:r>
        <w:rPr>
          <w:rFonts w:hint="eastAsia" w:asciiTheme="minorEastAsia" w:hAnsiTheme="minorEastAsia" w:eastAsiaTheme="minorEastAsia" w:cstheme="minorEastAsia"/>
          <w:b w:val="0"/>
          <w:bCs w:val="0"/>
          <w:sz w:val="32"/>
          <w:szCs w:val="32"/>
          <w:lang w:eastAsia="zh-CN"/>
        </w:rPr>
        <w:t>建议本级财政增大筹资力度，及时拨付各项资金。</w:t>
      </w:r>
    </w:p>
    <w:p>
      <w:pPr>
        <w:pStyle w:val="2"/>
        <w:rPr>
          <w:rFonts w:hint="eastAsia" w:asciiTheme="minorEastAsia" w:hAnsiTheme="minorEastAsia" w:eastAsiaTheme="minorEastAsia" w:cstheme="minorEastAsia"/>
          <w:sz w:val="32"/>
          <w:szCs w:val="32"/>
          <w:highlight w:val="none"/>
          <w:lang w:val="en-US" w:eastAsia="zh-CN"/>
        </w:rPr>
      </w:pPr>
    </w:p>
    <w:p>
      <w:pPr>
        <w:pStyle w:val="2"/>
        <w:rPr>
          <w:rFonts w:hint="eastAsia" w:asciiTheme="minorEastAsia" w:hAnsiTheme="minorEastAsia" w:eastAsiaTheme="minorEastAsia" w:cstheme="minorEastAsia"/>
          <w:sz w:val="32"/>
          <w:szCs w:val="32"/>
          <w:lang w:val="en-US"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42A71D"/>
    <w:multiLevelType w:val="singleLevel"/>
    <w:tmpl w:val="B942A71D"/>
    <w:lvl w:ilvl="0" w:tentative="0">
      <w:start w:val="4"/>
      <w:numFmt w:val="chineseCounting"/>
      <w:suff w:val="nothing"/>
      <w:lvlText w:val="（%1）"/>
      <w:lvlJc w:val="left"/>
      <w:rPr>
        <w:rFonts w:hint="eastAsia"/>
      </w:rPr>
    </w:lvl>
  </w:abstractNum>
  <w:abstractNum w:abstractNumId="1">
    <w:nsid w:val="D4DCBBD4"/>
    <w:multiLevelType w:val="singleLevel"/>
    <w:tmpl w:val="D4DCBBD4"/>
    <w:lvl w:ilvl="0" w:tentative="0">
      <w:start w:val="1"/>
      <w:numFmt w:val="chineseCounting"/>
      <w:suff w:val="nothing"/>
      <w:lvlText w:val="（%1）"/>
      <w:lvlJc w:val="left"/>
      <w:rPr>
        <w:rFonts w:hint="eastAsia"/>
      </w:rPr>
    </w:lvl>
  </w:abstractNum>
  <w:abstractNum w:abstractNumId="2">
    <w:nsid w:val="E5533F2E"/>
    <w:multiLevelType w:val="singleLevel"/>
    <w:tmpl w:val="E5533F2E"/>
    <w:lvl w:ilvl="0" w:tentative="0">
      <w:start w:val="5"/>
      <w:numFmt w:val="chineseCounting"/>
      <w:suff w:val="nothing"/>
      <w:lvlText w:val="%1、"/>
      <w:lvlJc w:val="left"/>
      <w:rPr>
        <w:rFonts w:hint="eastAsia"/>
      </w:rPr>
    </w:lvl>
  </w:abstractNum>
  <w:abstractNum w:abstractNumId="3">
    <w:nsid w:val="0FBB4E3E"/>
    <w:multiLevelType w:val="singleLevel"/>
    <w:tmpl w:val="0FBB4E3E"/>
    <w:lvl w:ilvl="0" w:tentative="0">
      <w:start w:val="2"/>
      <w:numFmt w:val="chineseCounting"/>
      <w:suff w:val="nothing"/>
      <w:lvlText w:val="（%1）"/>
      <w:lvlJc w:val="left"/>
      <w:rPr>
        <w:rFonts w:hint="eastAsia"/>
      </w:rPr>
    </w:lvl>
  </w:abstractNum>
  <w:abstractNum w:abstractNumId="4">
    <w:nsid w:val="1C6D8E49"/>
    <w:multiLevelType w:val="singleLevel"/>
    <w:tmpl w:val="1C6D8E49"/>
    <w:lvl w:ilvl="0" w:tentative="0">
      <w:start w:val="1"/>
      <w:numFmt w:val="chineseCounting"/>
      <w:suff w:val="nothing"/>
      <w:lvlText w:val="（%1）"/>
      <w:lvlJc w:val="left"/>
      <w:rPr>
        <w:rFonts w:hint="eastAsia"/>
      </w:rPr>
    </w:lvl>
  </w:abstractNum>
  <w:abstractNum w:abstractNumId="5">
    <w:nsid w:val="2DF25627"/>
    <w:multiLevelType w:val="singleLevel"/>
    <w:tmpl w:val="2DF25627"/>
    <w:lvl w:ilvl="0" w:tentative="0">
      <w:start w:val="3"/>
      <w:numFmt w:val="decimal"/>
      <w:suff w:val="nothing"/>
      <w:lvlText w:val="%1、"/>
      <w:lvlJc w:val="left"/>
    </w:lvl>
  </w:abstractNum>
  <w:num w:numId="1">
    <w:abstractNumId w:val="5"/>
  </w:num>
  <w:num w:numId="2">
    <w:abstractNumId w:val="3"/>
  </w:num>
  <w:num w:numId="3">
    <w:abstractNumId w:val="4"/>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yZTI1OTQxNDA3MzIzMDUxNzljZWY4OTVjM2ZiZTU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A23536"/>
    <w:rsid w:val="035A1E43"/>
    <w:rsid w:val="06A44E10"/>
    <w:rsid w:val="0AD61286"/>
    <w:rsid w:val="0E7E2314"/>
    <w:rsid w:val="15FA71C0"/>
    <w:rsid w:val="1BE35E9E"/>
    <w:rsid w:val="1CB23E2E"/>
    <w:rsid w:val="1D465C3F"/>
    <w:rsid w:val="2020362E"/>
    <w:rsid w:val="248523A1"/>
    <w:rsid w:val="26B24E11"/>
    <w:rsid w:val="2992001E"/>
    <w:rsid w:val="2BE22B55"/>
    <w:rsid w:val="2C380DB9"/>
    <w:rsid w:val="2E1F517B"/>
    <w:rsid w:val="2E426880"/>
    <w:rsid w:val="30561A4F"/>
    <w:rsid w:val="3B387AE8"/>
    <w:rsid w:val="3B544235"/>
    <w:rsid w:val="3B596DA6"/>
    <w:rsid w:val="3C60686B"/>
    <w:rsid w:val="3E7D11FF"/>
    <w:rsid w:val="3FB04569"/>
    <w:rsid w:val="42AB6E74"/>
    <w:rsid w:val="42FE73DB"/>
    <w:rsid w:val="499F5CAD"/>
    <w:rsid w:val="4AFA44F5"/>
    <w:rsid w:val="4BD27D1A"/>
    <w:rsid w:val="51911DC0"/>
    <w:rsid w:val="5C496222"/>
    <w:rsid w:val="5E631F59"/>
    <w:rsid w:val="5F3005FC"/>
    <w:rsid w:val="64582A07"/>
    <w:rsid w:val="667E57A7"/>
    <w:rsid w:val="6B3052A1"/>
    <w:rsid w:val="6BB24160"/>
    <w:rsid w:val="77E02C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宋体" w:hAnsi="宋体"/>
    </w:rPr>
  </w:style>
  <w:style w:type="paragraph" w:styleId="3">
    <w:name w:val="Body Text Indent"/>
    <w:basedOn w:val="1"/>
    <w:qFormat/>
    <w:uiPriority w:val="0"/>
    <w:pPr>
      <w:spacing w:after="120"/>
      <w:ind w:left="420" w:leftChars="200"/>
    </w:pPr>
  </w:style>
  <w:style w:type="paragraph" w:styleId="4">
    <w:name w:val="index 8"/>
    <w:basedOn w:val="1"/>
    <w:next w:val="1"/>
    <w:qFormat/>
    <w:uiPriority w:val="99"/>
    <w:pPr>
      <w:ind w:left="2940"/>
    </w:pPr>
  </w:style>
  <w:style w:type="paragraph" w:styleId="5">
    <w:name w:val="Normal Indent"/>
    <w:basedOn w:val="1"/>
    <w:qFormat/>
    <w:uiPriority w:val="0"/>
    <w:pPr>
      <w:ind w:firstLine="200" w:firstLineChars="200"/>
    </w:pPr>
    <w:rPr>
      <w:rFonts w:ascii="Times New Roman" w:hAnsi="Times New Roman" w:eastAsia="宋体" w:cs="Times New Roman"/>
    </w:rPr>
  </w:style>
  <w:style w:type="paragraph" w:styleId="6">
    <w:name w:val="index 5"/>
    <w:basedOn w:val="1"/>
    <w:next w:val="1"/>
    <w:qFormat/>
    <w:uiPriority w:val="0"/>
    <w:pPr>
      <w:ind w:left="1680"/>
    </w:pPr>
  </w:style>
  <w:style w:type="paragraph" w:styleId="7">
    <w:name w:val="Balloon Text"/>
    <w:basedOn w:val="1"/>
    <w:link w:val="17"/>
    <w:semiHidden/>
    <w:unhideWhenUsed/>
    <w:qFormat/>
    <w:uiPriority w:val="99"/>
    <w:rPr>
      <w:sz w:val="18"/>
      <w:szCs w:val="18"/>
    </w:rPr>
  </w:style>
  <w:style w:type="paragraph" w:styleId="8">
    <w:name w:val="footer"/>
    <w:basedOn w:val="1"/>
    <w:link w:val="14"/>
    <w:unhideWhenUsed/>
    <w:qFormat/>
    <w:uiPriority w:val="99"/>
    <w:pPr>
      <w:tabs>
        <w:tab w:val="center" w:pos="4153"/>
        <w:tab w:val="right" w:pos="8306"/>
      </w:tabs>
      <w:snapToGrid w:val="0"/>
      <w:jc w:val="left"/>
    </w:pPr>
    <w:rPr>
      <w:sz w:val="18"/>
      <w:szCs w:val="18"/>
    </w:rPr>
  </w:style>
  <w:style w:type="paragraph" w:styleId="9">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Lines="0" w:beforeAutospacing="1" w:after="100" w:afterLines="0" w:afterAutospacing="1"/>
      <w:jc w:val="left"/>
    </w:pPr>
    <w:rPr>
      <w:rFonts w:ascii="宋体" w:hAnsi="宋体" w:cs="宋体"/>
      <w:color w:val="000000"/>
      <w:kern w:val="0"/>
      <w:sz w:val="24"/>
      <w:szCs w:val="24"/>
    </w:rPr>
  </w:style>
  <w:style w:type="character" w:customStyle="1" w:styleId="13">
    <w:name w:val="页眉 Char"/>
    <w:basedOn w:val="12"/>
    <w:link w:val="9"/>
    <w:qFormat/>
    <w:uiPriority w:val="99"/>
    <w:rPr>
      <w:sz w:val="18"/>
      <w:szCs w:val="18"/>
    </w:rPr>
  </w:style>
  <w:style w:type="character" w:customStyle="1" w:styleId="14">
    <w:name w:val="页脚 Char"/>
    <w:basedOn w:val="12"/>
    <w:link w:val="8"/>
    <w:qFormat/>
    <w:uiPriority w:val="99"/>
    <w:rPr>
      <w:sz w:val="18"/>
      <w:szCs w:val="18"/>
    </w:rPr>
  </w:style>
  <w:style w:type="paragraph" w:customStyle="1" w:styleId="15">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6">
    <w:name w:val="List Paragraph"/>
    <w:basedOn w:val="1"/>
    <w:qFormat/>
    <w:uiPriority w:val="34"/>
    <w:pPr>
      <w:ind w:firstLine="420" w:firstLineChars="200"/>
    </w:pPr>
  </w:style>
  <w:style w:type="character" w:customStyle="1" w:styleId="17">
    <w:name w:val="批注框文本 Char"/>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53</Pages>
  <Words>20136</Words>
  <Characters>25896</Characters>
  <Lines>69</Lines>
  <Paragraphs>19</Paragraphs>
  <TotalTime>1</TotalTime>
  <ScaleCrop>false</ScaleCrop>
  <LinksUpToDate>false</LinksUpToDate>
  <CharactersWithSpaces>27028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WPS_1687165778</cp:lastModifiedBy>
  <cp:lastPrinted>2022-08-17T01:34:00Z</cp:lastPrinted>
  <dcterms:modified xsi:type="dcterms:W3CDTF">2024-11-14T02:34:57Z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C71ACD7AF47B4F448E8FBE3BC64AEC24</vt:lpwstr>
  </property>
</Properties>
</file>