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2020年度</w:t>
      </w:r>
    </w:p>
    <w:p>
      <w:pPr>
        <w:pStyle w:val="11"/>
        <w:jc w:val="center"/>
        <w:rPr>
          <w:rFonts w:hint="eastAsia"/>
          <w:sz w:val="84"/>
          <w:szCs w:val="84"/>
          <w:lang w:eastAsia="zh-CN"/>
        </w:rPr>
      </w:pPr>
      <w:r>
        <w:rPr>
          <w:rFonts w:hint="eastAsia"/>
          <w:sz w:val="84"/>
          <w:szCs w:val="84"/>
          <w:lang w:eastAsia="zh-CN"/>
        </w:rPr>
        <w:t>湘乡市住房和城乡建设局</w:t>
      </w:r>
    </w:p>
    <w:p>
      <w:pPr>
        <w:pStyle w:val="11"/>
        <w:jc w:val="center"/>
        <w:rPr>
          <w:rFonts w:hint="eastAsia" w:eastAsia="黑体"/>
          <w:sz w:val="84"/>
          <w:szCs w:val="84"/>
          <w:lang w:val="en-US" w:eastAsia="zh-CN"/>
        </w:rPr>
      </w:pPr>
      <w:r>
        <w:rPr>
          <w:rFonts w:hint="eastAsia"/>
          <w:sz w:val="84"/>
          <w:szCs w:val="84"/>
        </w:rPr>
        <w:t>部门决算</w:t>
      </w:r>
      <w:r>
        <w:rPr>
          <w:rFonts w:hint="eastAsia"/>
          <w:sz w:val="84"/>
          <w:szCs w:val="84"/>
          <w:lang w:val="en-US" w:eastAsia="zh-CN"/>
        </w:rPr>
        <w:t>(汇总）</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32"/>
          <w:szCs w:val="32"/>
        </w:rPr>
      </w:pPr>
    </w:p>
    <w:p>
      <w:pPr>
        <w:pStyle w:val="11"/>
        <w:jc w:val="center"/>
        <w:rPr>
          <w:sz w:val="32"/>
          <w:szCs w:val="32"/>
        </w:rPr>
      </w:pPr>
    </w:p>
    <w:p>
      <w:pPr>
        <w:pStyle w:val="11"/>
        <w:spacing w:line="540" w:lineRule="exact"/>
        <w:jc w:val="center"/>
        <w:rPr>
          <w:sz w:val="56"/>
          <w:szCs w:val="56"/>
        </w:rPr>
      </w:pPr>
    </w:p>
    <w:p>
      <w:pPr>
        <w:pStyle w:val="11"/>
        <w:spacing w:line="500" w:lineRule="exact"/>
        <w:jc w:val="center"/>
        <w:rPr>
          <w:b/>
          <w:sz w:val="36"/>
          <w:szCs w:val="28"/>
        </w:rPr>
      </w:pPr>
    </w:p>
    <w:p>
      <w:pPr>
        <w:pStyle w:val="11"/>
        <w:spacing w:line="500" w:lineRule="exact"/>
        <w:jc w:val="center"/>
        <w:rPr>
          <w:b/>
          <w:sz w:val="36"/>
          <w:szCs w:val="28"/>
        </w:rPr>
      </w:pPr>
    </w:p>
    <w:p>
      <w:pPr>
        <w:pStyle w:val="11"/>
        <w:spacing w:line="500" w:lineRule="exact"/>
        <w:jc w:val="center"/>
        <w:rPr>
          <w:rFonts w:hint="eastAsia"/>
          <w:b/>
          <w:sz w:val="36"/>
          <w:szCs w:val="28"/>
        </w:rPr>
      </w:pPr>
    </w:p>
    <w:p>
      <w:pPr>
        <w:pStyle w:val="11"/>
        <w:spacing w:line="500" w:lineRule="exact"/>
        <w:jc w:val="center"/>
        <w:rPr>
          <w:b/>
          <w:sz w:val="36"/>
          <w:szCs w:val="28"/>
        </w:rPr>
      </w:pPr>
      <w:r>
        <w:rPr>
          <w:rFonts w:hint="eastAsia"/>
          <w:b/>
          <w:sz w:val="36"/>
          <w:szCs w:val="28"/>
        </w:rPr>
        <w:t>目录</w:t>
      </w:r>
    </w:p>
    <w:p>
      <w:pPr>
        <w:pStyle w:val="11"/>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湘乡市住房和城乡建设局</w:t>
      </w:r>
      <w:r>
        <w:rPr>
          <w:rFonts w:hint="eastAsia"/>
          <w:b/>
          <w:sz w:val="28"/>
          <w:szCs w:val="28"/>
        </w:rPr>
        <w:t>单位概况</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1"/>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1"/>
        <w:jc w:val="center"/>
        <w:rPr>
          <w:rFonts w:hint="eastAsia" w:eastAsia="黑体"/>
          <w:sz w:val="84"/>
          <w:szCs w:val="84"/>
          <w:lang w:eastAsia="zh-CN"/>
        </w:rPr>
      </w:pPr>
      <w:r>
        <w:rPr>
          <w:rFonts w:hint="eastAsia"/>
          <w:sz w:val="84"/>
          <w:szCs w:val="84"/>
        </w:rPr>
        <w:t>第一部分</w:t>
      </w:r>
    </w:p>
    <w:p>
      <w:pPr>
        <w:pStyle w:val="11"/>
        <w:jc w:val="center"/>
        <w:rPr>
          <w:sz w:val="84"/>
          <w:szCs w:val="84"/>
        </w:rPr>
      </w:pPr>
    </w:p>
    <w:p>
      <w:pPr>
        <w:pStyle w:val="11"/>
        <w:jc w:val="center"/>
        <w:rPr>
          <w:rFonts w:hint="eastAsia"/>
          <w:sz w:val="84"/>
          <w:szCs w:val="84"/>
          <w:lang w:eastAsia="zh-CN"/>
        </w:rPr>
      </w:pPr>
      <w:r>
        <w:rPr>
          <w:rFonts w:hint="eastAsia"/>
          <w:sz w:val="84"/>
          <w:szCs w:val="84"/>
          <w:lang w:eastAsia="zh-CN"/>
        </w:rPr>
        <w:t>湘乡市住房和城乡建设局</w:t>
      </w:r>
    </w:p>
    <w:p>
      <w:pPr>
        <w:pStyle w:val="11"/>
        <w:jc w:val="center"/>
        <w:rPr>
          <w:sz w:val="84"/>
          <w:szCs w:val="84"/>
        </w:rPr>
      </w:pP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2.加快建立全市多主体供给、多渠道保障、租购并举的住房制度，拟订全市住房建设规划并指导实施，培育和完善房产市场。</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3.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4.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5.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6.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7.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8.承担全市建设工程勘察设计、建筑设计市场管理的工作。负责全市建设工程勘察、设计及建筑装饰设计等行业资质管理工作；负责各类建设项目初步设计审批；指导、检查全市勘察设计行业的工作。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9.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widowControl/>
        <w:spacing w:line="600" w:lineRule="exact"/>
        <w:ind w:firstLine="640" w:firstLineChars="200"/>
        <w:jc w:val="left"/>
        <w:rPr>
          <w:rFonts w:hint="default" w:ascii="宋体" w:hAnsi="宋体" w:cs="宋体"/>
          <w:sz w:val="32"/>
          <w:szCs w:val="32"/>
          <w:lang w:val="en-US" w:eastAsia="zh-CN"/>
        </w:rPr>
      </w:pPr>
      <w:r>
        <w:rPr>
          <w:rFonts w:hint="eastAsia" w:ascii="宋体" w:hAnsi="宋体" w:cs="宋体"/>
          <w:sz w:val="32"/>
          <w:szCs w:val="32"/>
          <w:lang w:val="en-US" w:eastAsia="zh-CN"/>
        </w:rPr>
        <w:t>10.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11.承担推进全市建筑节能与建设科技进步的工作。拟订全市建筑节能政策建议及组织实施；制定建设行业科技发展规划；组织重大科技项目攻关和新技术开发利用；管理行业科技成果。</w:t>
      </w:r>
    </w:p>
    <w:p>
      <w:pPr>
        <w:widowControl/>
        <w:spacing w:line="600" w:lineRule="exact"/>
        <w:ind w:firstLine="640" w:firstLineChars="200"/>
        <w:jc w:val="left"/>
        <w:rPr>
          <w:rFonts w:hint="eastAsia" w:ascii="宋体" w:hAnsi="宋体" w:cs="宋体"/>
          <w:sz w:val="32"/>
          <w:szCs w:val="32"/>
          <w:lang w:val="en-US" w:eastAsia="zh-CN"/>
        </w:rPr>
      </w:pPr>
      <w:r>
        <w:rPr>
          <w:rFonts w:hint="eastAsia" w:ascii="宋体" w:hAnsi="宋体" w:cs="宋体"/>
          <w:sz w:val="32"/>
          <w:szCs w:val="32"/>
          <w:lang w:val="en-US" w:eastAsia="zh-CN"/>
        </w:rPr>
        <w:t>12.负责指导全市城建档案的管理指导监督、管理全市建设工程竣工档案工作；审查、认证、验收工程竣工档案，负责城市建设档案的收集、整理及城建档案信息的开发、利用。</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13.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14.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15.负责全市墙体材料、散装水泥的推广应用工作，编制我市推广应用新墙材、散装水泥的中长期规划和年度计划并监督实施；负责墙体改革和散装水泥推广应用方面的信息交流、职工培训、宣传教育和统计工作。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16.贯彻执行国家、省、湘潭市关于人民防空工作的方针政策和法律法规，组织拟订全市人民防空工作的基本战备方案，组织编制全市人民防空建设中长期发展规划和年度工作计划，经批准后组织实施。</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17.制定和组织实施城市防空袭方案和各项保障方案、群众防空组织（人民防空专业队）建设和训练、防空防灾演习演练、疏散体系建设，协助军事部门组织指导城市防卫建设。</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18.战时组织开展城市人民防空袭斗争，组织指挥人民防空疏散和隐蔽，依法组织实施灯火管制和发放防空袭警报，配合要地防空和城市防卫作战，组织有关部门恢复生产和生活秩序，消除空袭后果。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19.组织管理人民防空通信警报和信息化建设。对人民防空通信警报网和信息化建设实施计划、技术和质量管理，负责保障全市人民防空通信警报畅通。负责对全市人民防空无线电进行管理。</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20.会同有关部门组织开展人民防空宣传教育工作，普及人民防空知识和技能。</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21.管理人民防空经费和资产，负责编制市本级人民防空经费预决算，并对使用情况实施监督检查。</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22.承担市人民政府赋予的应急救援任务，利用人防设施和人民防空专业队伍为应急救援服务。</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23.指导相关行业协会的工作。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24.负责国有土地上房屋征收管理行政职能。</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25.负责全市建设工程消防设计审查验收工作。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26.负责全市在建工程项目起重机械设备监管工作。</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27.承办上级交办的其他事项。</w:t>
      </w:r>
    </w:p>
    <w:p>
      <w:pPr>
        <w:widowControl/>
        <w:spacing w:line="600" w:lineRule="exact"/>
        <w:jc w:val="left"/>
        <w:rPr>
          <w:rFonts w:hint="eastAsia" w:ascii="宋体" w:hAnsi="宋体" w:cs="宋体"/>
          <w:b/>
          <w:bCs/>
          <w:sz w:val="32"/>
          <w:szCs w:val="32"/>
          <w:lang w:val="en-US" w:eastAsia="zh-CN"/>
        </w:rPr>
      </w:pPr>
      <w:r>
        <w:rPr>
          <w:rFonts w:hint="eastAsia" w:ascii="宋体" w:hAnsi="宋体" w:cs="宋体"/>
          <w:b/>
          <w:bCs/>
          <w:sz w:val="32"/>
          <w:szCs w:val="32"/>
          <w:lang w:val="en-US" w:eastAsia="zh-CN"/>
        </w:rPr>
        <w:t>二、机构设置及决算单位构成</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一）内设机构设置。下设股室17个：办公室、法规股、审批服务股、住房保障股城市排水管理股建筑工程管理股（湘乡市驻新疆建筑业联络处）、房产综合开发管理股质量安全管理股（安全鉴定办公室）、城市村镇建设管理股、人防工程建设管理股、指挥通信股、物业管理股、建设工程招标投标管理股、科技设计管理股（造价管理站）、财务股、党建办公室、人事股。</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（二）决算单位构成。</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湘乡市住房和城乡建设局2019年部门决算汇总公开单位构成包括：</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（1）住建局机关本级.</w:t>
      </w:r>
    </w:p>
    <w:p>
      <w:pPr>
        <w:widowControl/>
        <w:spacing w:line="60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（2）湘乡市建设工程质量安全监督站、湘乡市住房保障服务中心、湘乡市墙体材料改革办公室(湘乡市散装水泥管理办公室)。</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7"/>
        <w:tblW w:w="25231" w:type="dxa"/>
        <w:tblInd w:w="93" w:type="dxa"/>
        <w:tblLayout w:type="fixed"/>
        <w:tblCellMar>
          <w:top w:w="0" w:type="dxa"/>
          <w:left w:w="108" w:type="dxa"/>
          <w:bottom w:w="0" w:type="dxa"/>
          <w:right w:w="108" w:type="dxa"/>
        </w:tblCellMar>
      </w:tblPr>
      <w:tblGrid>
        <w:gridCol w:w="4060"/>
        <w:gridCol w:w="827"/>
        <w:gridCol w:w="348"/>
        <w:gridCol w:w="793"/>
        <w:gridCol w:w="509"/>
        <w:gridCol w:w="3133"/>
        <w:gridCol w:w="834"/>
        <w:gridCol w:w="2858"/>
        <w:gridCol w:w="2950"/>
        <w:gridCol w:w="2229"/>
        <w:gridCol w:w="2230"/>
        <w:gridCol w:w="2230"/>
        <w:gridCol w:w="2230"/>
      </w:tblGrid>
      <w:tr>
        <w:tblPrEx>
          <w:tblCellMar>
            <w:top w:w="0" w:type="dxa"/>
            <w:left w:w="108" w:type="dxa"/>
            <w:bottom w:w="0" w:type="dxa"/>
            <w:right w:w="108" w:type="dxa"/>
          </w:tblCellMar>
        </w:tblPrEx>
        <w:trPr>
          <w:gridAfter w:val="5"/>
          <w:wAfter w:w="11869" w:type="dxa"/>
          <w:trHeight w:val="90" w:hRule="atLeast"/>
        </w:trPr>
        <w:tc>
          <w:tcPr>
            <w:tcW w:w="13362" w:type="dxa"/>
            <w:gridSpan w:val="8"/>
            <w:tcBorders>
              <w:top w:val="nil"/>
              <w:left w:val="nil"/>
              <w:bottom w:val="nil"/>
              <w:right w:val="nil"/>
            </w:tcBorders>
            <w:shd w:val="clear" w:color="auto" w:fill="auto"/>
            <w:noWrap/>
            <w:vAlign w:val="center"/>
          </w:tcPr>
          <w:p>
            <w:pPr>
              <w:widowControl/>
              <w:jc w:val="center"/>
              <w:rPr>
                <w:rFonts w:hint="eastAsia" w:ascii="华文中宋" w:hAnsi="华文中宋" w:eastAsia="华文中宋" w:cs="宋体"/>
                <w:color w:val="000000"/>
                <w:kern w:val="0"/>
                <w:sz w:val="32"/>
                <w:szCs w:val="32"/>
                <w:lang w:eastAsia="zh-CN"/>
              </w:rPr>
            </w:pPr>
            <w:r>
              <w:rPr>
                <w:rFonts w:hint="eastAsia" w:ascii="华文中宋" w:hAnsi="华文中宋" w:eastAsia="华文中宋" w:cs="宋体"/>
                <w:color w:val="000000"/>
                <w:kern w:val="0"/>
                <w:sz w:val="32"/>
                <w:szCs w:val="32"/>
                <w:lang w:eastAsia="zh-CN"/>
              </w:rPr>
              <w:t>收入支出决算</w:t>
            </w:r>
          </w:p>
        </w:tc>
      </w:tr>
      <w:tr>
        <w:tblPrEx>
          <w:tblCellMar>
            <w:top w:w="0" w:type="dxa"/>
            <w:left w:w="108" w:type="dxa"/>
            <w:bottom w:w="0" w:type="dxa"/>
            <w:right w:w="108" w:type="dxa"/>
          </w:tblCellMar>
        </w:tblPrEx>
        <w:trPr>
          <w:gridAfter w:val="5"/>
          <w:wAfter w:w="11869" w:type="dxa"/>
          <w:trHeight w:val="199" w:hRule="atLeast"/>
        </w:trPr>
        <w:tc>
          <w:tcPr>
            <w:tcW w:w="5235"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9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0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825"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p>
            <w:pPr>
              <w:widowControl/>
              <w:ind w:firstLine="5600" w:firstLineChars="2800"/>
              <w:jc w:val="both"/>
              <w:rPr>
                <w:rFonts w:ascii="宋体" w:hAnsi="宋体" w:eastAsia="宋体" w:cs="宋体"/>
                <w:color w:val="000000"/>
                <w:kern w:val="0"/>
                <w:sz w:val="20"/>
                <w:szCs w:val="20"/>
              </w:rPr>
            </w:pPr>
            <w:r>
              <w:rPr>
                <w:rFonts w:hint="eastAsia" w:ascii="宋体" w:hAnsi="宋体" w:eastAsia="宋体" w:cs="宋体"/>
                <w:color w:val="000000"/>
                <w:kern w:val="0"/>
                <w:sz w:val="20"/>
                <w:szCs w:val="20"/>
                <w:lang w:eastAsia="zh-CN"/>
              </w:rPr>
              <w:t>公开</w:t>
            </w:r>
            <w:r>
              <w:rPr>
                <w:rFonts w:hint="eastAsia" w:ascii="宋体" w:hAnsi="宋体" w:eastAsia="宋体" w:cs="宋体"/>
                <w:color w:val="000000"/>
                <w:kern w:val="0"/>
                <w:sz w:val="20"/>
                <w:szCs w:val="20"/>
              </w:rPr>
              <w:t>01表</w:t>
            </w:r>
          </w:p>
        </w:tc>
      </w:tr>
      <w:tr>
        <w:tblPrEx>
          <w:tblCellMar>
            <w:top w:w="0" w:type="dxa"/>
            <w:left w:w="108" w:type="dxa"/>
            <w:bottom w:w="0" w:type="dxa"/>
            <w:right w:w="108" w:type="dxa"/>
          </w:tblCellMar>
        </w:tblPrEx>
        <w:trPr>
          <w:gridAfter w:val="5"/>
          <w:wAfter w:w="11869" w:type="dxa"/>
          <w:trHeight w:val="300" w:hRule="atLeast"/>
        </w:trPr>
        <w:tc>
          <w:tcPr>
            <w:tcW w:w="5235" w:type="dxa"/>
            <w:gridSpan w:val="3"/>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:湘乡市住房和城乡建设局</w:t>
            </w:r>
          </w:p>
        </w:tc>
        <w:tc>
          <w:tcPr>
            <w:tcW w:w="79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0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825" w:type="dxa"/>
            <w:gridSpan w:val="3"/>
            <w:tcBorders>
              <w:top w:val="nil"/>
              <w:left w:val="nil"/>
              <w:bottom w:val="nil"/>
              <w:right w:val="nil"/>
            </w:tcBorders>
            <w:shd w:val="clear" w:color="000000" w:fill="FFFFFF"/>
            <w:noWrap/>
            <w:vAlign w:val="center"/>
          </w:tcPr>
          <w:p>
            <w:pPr>
              <w:widowControl/>
              <w:ind w:firstLine="5600" w:firstLineChars="2800"/>
              <w:jc w:val="both"/>
              <w:rPr>
                <w:rFonts w:ascii="宋体" w:hAnsi="宋体" w:eastAsia="宋体" w:cs="宋体"/>
                <w:color w:val="000000"/>
                <w:kern w:val="0"/>
                <w:sz w:val="20"/>
                <w:szCs w:val="20"/>
              </w:rPr>
            </w:pPr>
            <w:r>
              <w:rPr>
                <w:rFonts w:hint="eastAsia" w:ascii="宋体" w:hAnsi="宋体" w:eastAsia="宋体" w:cs="宋体"/>
                <w:color w:val="000000"/>
                <w:kern w:val="0"/>
                <w:sz w:val="20"/>
                <w:szCs w:val="20"/>
                <w:lang w:eastAsia="zh-CN"/>
              </w:rPr>
              <w:t>单位：</w:t>
            </w:r>
            <w:r>
              <w:rPr>
                <w:rFonts w:hint="eastAsia" w:ascii="宋体" w:hAnsi="宋体" w:eastAsia="宋体" w:cs="宋体"/>
                <w:color w:val="000000"/>
                <w:kern w:val="0"/>
                <w:sz w:val="20"/>
                <w:szCs w:val="20"/>
              </w:rPr>
              <w:t>万元</w:t>
            </w:r>
          </w:p>
        </w:tc>
      </w:tr>
      <w:tr>
        <w:tblPrEx>
          <w:tblCellMar>
            <w:top w:w="0" w:type="dxa"/>
            <w:left w:w="108" w:type="dxa"/>
            <w:bottom w:w="0" w:type="dxa"/>
            <w:right w:w="108" w:type="dxa"/>
          </w:tblCellMar>
        </w:tblPrEx>
        <w:trPr>
          <w:gridAfter w:val="5"/>
          <w:wAfter w:w="11869" w:type="dxa"/>
          <w:trHeight w:val="340" w:hRule="atLeast"/>
        </w:trPr>
        <w:tc>
          <w:tcPr>
            <w:tcW w:w="6537"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6825" w:type="dxa"/>
            <w:gridSpan w:val="3"/>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65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13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85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gridSpan w:val="3"/>
            <w:tcBorders>
              <w:top w:val="nil"/>
              <w:left w:val="nil"/>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w:t>
            </w:r>
          </w:p>
        </w:tc>
        <w:tc>
          <w:tcPr>
            <w:tcW w:w="313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85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4839.95</w:t>
            </w:r>
            <w:r>
              <w:rPr>
                <w:rFonts w:hint="eastAsia" w:ascii="宋体" w:hAnsi="宋体" w:eastAsia="宋体" w:cs="宋体"/>
                <w:kern w:val="0"/>
                <w:sz w:val="22"/>
              </w:rPr>
              <w:t>　</w:t>
            </w:r>
          </w:p>
        </w:tc>
        <w:tc>
          <w:tcPr>
            <w:tcW w:w="3133"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ascii="宋体" w:hAnsi="宋体" w:eastAsia="宋体" w:cs="宋体"/>
                <w:kern w:val="0"/>
                <w:sz w:val="22"/>
              </w:rPr>
            </w:pPr>
            <w:r>
              <w:rPr>
                <w:rFonts w:hint="eastAsia" w:ascii="宋体" w:hAnsi="宋体"/>
                <w:color w:val="000000"/>
                <w:sz w:val="22"/>
                <w:lang w:eastAsia="zh-CN"/>
              </w:rPr>
              <w:t>一、</w:t>
            </w:r>
            <w:r>
              <w:rPr>
                <w:rFonts w:hint="eastAsia" w:ascii="宋体" w:hAnsi="宋体"/>
                <w:color w:val="000000"/>
                <w:sz w:val="22"/>
              </w:rPr>
              <w:t>社会保障和就业支出</w:t>
            </w:r>
          </w:p>
        </w:tc>
        <w:tc>
          <w:tcPr>
            <w:tcW w:w="834" w:type="dxa"/>
            <w:tcBorders>
              <w:top w:val="nil"/>
              <w:left w:val="nil"/>
              <w:bottom w:val="single" w:color="auto" w:sz="4" w:space="0"/>
              <w:right w:val="single" w:color="auto" w:sz="4" w:space="0"/>
            </w:tcBorders>
            <w:shd w:val="clear" w:color="000000" w:fill="FFFFFF"/>
            <w:noWrap/>
            <w:vAlign w:val="top"/>
          </w:tcPr>
          <w:p>
            <w:pPr>
              <w:spacing w:beforeLines="0" w:afterLines="0"/>
              <w:jc w:val="center"/>
              <w:rPr>
                <w:rFonts w:hint="default" w:ascii="宋体" w:hAnsi="宋体" w:eastAsia="宋体" w:cs="宋体"/>
                <w:kern w:val="0"/>
                <w:sz w:val="22"/>
                <w:lang w:val="en-US" w:eastAsia="zh-CN"/>
              </w:rPr>
            </w:pPr>
            <w:r>
              <w:rPr>
                <w:rFonts w:hint="eastAsia" w:ascii="宋体" w:hAnsi="宋体" w:eastAsia="宋体"/>
                <w:color w:val="000000"/>
                <w:sz w:val="22"/>
                <w:lang w:val="en-US" w:eastAsia="zh-CN"/>
              </w:rPr>
              <w:t>14</w:t>
            </w:r>
          </w:p>
        </w:tc>
        <w:tc>
          <w:tcPr>
            <w:tcW w:w="2858"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246.01</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100　</w:t>
            </w:r>
          </w:p>
        </w:tc>
        <w:tc>
          <w:tcPr>
            <w:tcW w:w="3133"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ascii="宋体" w:hAnsi="宋体" w:eastAsia="宋体" w:cs="宋体"/>
                <w:kern w:val="0"/>
                <w:sz w:val="22"/>
              </w:rPr>
            </w:pPr>
            <w:r>
              <w:rPr>
                <w:rFonts w:hint="eastAsia" w:ascii="宋体" w:hAnsi="宋体"/>
                <w:color w:val="000000"/>
                <w:sz w:val="22"/>
                <w:lang w:eastAsia="zh-CN"/>
              </w:rPr>
              <w:t>二、</w:t>
            </w:r>
            <w:r>
              <w:rPr>
                <w:rFonts w:hint="eastAsia" w:ascii="宋体" w:hAnsi="宋体"/>
                <w:color w:val="000000"/>
                <w:sz w:val="22"/>
              </w:rPr>
              <w:t>卫生健康支出</w:t>
            </w:r>
          </w:p>
        </w:tc>
        <w:tc>
          <w:tcPr>
            <w:tcW w:w="834" w:type="dxa"/>
            <w:tcBorders>
              <w:top w:val="nil"/>
              <w:left w:val="nil"/>
              <w:bottom w:val="single" w:color="auto" w:sz="4" w:space="0"/>
              <w:right w:val="single" w:color="auto" w:sz="4" w:space="0"/>
            </w:tcBorders>
            <w:shd w:val="clear" w:color="000000" w:fill="FFFFFF"/>
            <w:noWrap/>
            <w:vAlign w:val="top"/>
          </w:tcPr>
          <w:p>
            <w:pPr>
              <w:spacing w:beforeLines="0" w:afterLines="0"/>
              <w:jc w:val="center"/>
              <w:rPr>
                <w:rFonts w:hint="default" w:ascii="宋体" w:hAnsi="宋体" w:eastAsia="宋体" w:cs="宋体"/>
                <w:kern w:val="0"/>
                <w:sz w:val="22"/>
                <w:lang w:val="en-US" w:eastAsia="zh-CN"/>
              </w:rPr>
            </w:pPr>
            <w:r>
              <w:rPr>
                <w:rFonts w:hint="eastAsia" w:ascii="宋体" w:hAnsi="宋体" w:eastAsia="宋体"/>
                <w:color w:val="000000"/>
                <w:sz w:val="22"/>
                <w:lang w:val="en-US" w:eastAsia="zh-CN"/>
              </w:rPr>
              <w:t>15</w:t>
            </w:r>
          </w:p>
        </w:tc>
        <w:tc>
          <w:tcPr>
            <w:tcW w:w="2858"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110.65</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3"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ascii="宋体" w:hAnsi="宋体" w:eastAsia="宋体" w:cs="宋体"/>
                <w:kern w:val="0"/>
                <w:sz w:val="22"/>
              </w:rPr>
            </w:pPr>
            <w:r>
              <w:rPr>
                <w:rFonts w:hint="eastAsia" w:ascii="宋体" w:hAnsi="宋体"/>
                <w:color w:val="000000"/>
                <w:sz w:val="22"/>
                <w:lang w:eastAsia="zh-CN"/>
              </w:rPr>
              <w:t>三、</w:t>
            </w:r>
            <w:r>
              <w:rPr>
                <w:rFonts w:hint="eastAsia" w:ascii="宋体" w:hAnsi="宋体"/>
                <w:color w:val="000000"/>
                <w:sz w:val="22"/>
              </w:rPr>
              <w:t>节能环保支出</w:t>
            </w:r>
          </w:p>
        </w:tc>
        <w:tc>
          <w:tcPr>
            <w:tcW w:w="834" w:type="dxa"/>
            <w:tcBorders>
              <w:top w:val="nil"/>
              <w:left w:val="nil"/>
              <w:bottom w:val="single" w:color="auto" w:sz="4" w:space="0"/>
              <w:right w:val="single" w:color="auto" w:sz="4" w:space="0"/>
            </w:tcBorders>
            <w:shd w:val="clear" w:color="000000" w:fill="FFFFFF"/>
            <w:noWrap/>
            <w:vAlign w:val="top"/>
          </w:tcPr>
          <w:p>
            <w:pPr>
              <w:spacing w:beforeLines="0" w:afterLines="0"/>
              <w:jc w:val="center"/>
              <w:rPr>
                <w:rFonts w:hint="default" w:ascii="宋体" w:hAnsi="宋体" w:eastAsia="宋体" w:cs="宋体"/>
                <w:kern w:val="0"/>
                <w:sz w:val="22"/>
                <w:lang w:val="en-US" w:eastAsia="zh-CN"/>
              </w:rPr>
            </w:pPr>
            <w:r>
              <w:rPr>
                <w:rFonts w:hint="eastAsia" w:ascii="宋体" w:hAnsi="宋体" w:eastAsia="宋体"/>
                <w:color w:val="000000"/>
                <w:sz w:val="22"/>
                <w:lang w:val="en-US" w:eastAsia="zh-CN"/>
              </w:rPr>
              <w:t>16</w:t>
            </w:r>
          </w:p>
        </w:tc>
        <w:tc>
          <w:tcPr>
            <w:tcW w:w="2858"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173.00</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3"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ascii="宋体" w:hAnsi="宋体" w:eastAsia="宋体" w:cs="宋体"/>
                <w:kern w:val="0"/>
                <w:sz w:val="22"/>
              </w:rPr>
            </w:pPr>
            <w:r>
              <w:rPr>
                <w:rFonts w:hint="eastAsia" w:ascii="宋体" w:hAnsi="宋体"/>
                <w:color w:val="000000"/>
                <w:sz w:val="22"/>
                <w:lang w:eastAsia="zh-CN"/>
              </w:rPr>
              <w:t>四、</w:t>
            </w:r>
            <w:r>
              <w:rPr>
                <w:rFonts w:hint="eastAsia" w:ascii="宋体" w:hAnsi="宋体"/>
                <w:color w:val="000000"/>
                <w:sz w:val="22"/>
              </w:rPr>
              <w:t>城乡社区支出</w:t>
            </w:r>
          </w:p>
        </w:tc>
        <w:tc>
          <w:tcPr>
            <w:tcW w:w="834" w:type="dxa"/>
            <w:tcBorders>
              <w:top w:val="nil"/>
              <w:left w:val="nil"/>
              <w:bottom w:val="single" w:color="auto" w:sz="4" w:space="0"/>
              <w:right w:val="single" w:color="auto" w:sz="4" w:space="0"/>
            </w:tcBorders>
            <w:shd w:val="clear" w:color="000000" w:fill="FFFFFF"/>
            <w:noWrap/>
            <w:vAlign w:val="top"/>
          </w:tcPr>
          <w:p>
            <w:pPr>
              <w:spacing w:beforeLines="0" w:afterLines="0"/>
              <w:jc w:val="center"/>
              <w:rPr>
                <w:rFonts w:hint="default" w:ascii="宋体" w:hAnsi="宋体" w:eastAsia="宋体" w:cs="宋体"/>
                <w:kern w:val="0"/>
                <w:sz w:val="22"/>
                <w:lang w:val="en-US" w:eastAsia="zh-CN"/>
              </w:rPr>
            </w:pPr>
            <w:r>
              <w:rPr>
                <w:rFonts w:hint="eastAsia" w:ascii="宋体" w:hAnsi="宋体" w:eastAsia="宋体"/>
                <w:color w:val="000000"/>
                <w:sz w:val="22"/>
                <w:lang w:val="en-US" w:eastAsia="zh-CN"/>
              </w:rPr>
              <w:t>17</w:t>
            </w:r>
          </w:p>
        </w:tc>
        <w:tc>
          <w:tcPr>
            <w:tcW w:w="2858"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3996.13</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65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194.33</w:t>
            </w:r>
          </w:p>
        </w:tc>
        <w:tc>
          <w:tcPr>
            <w:tcW w:w="3133"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宋体" w:hAnsi="宋体" w:eastAsiaTheme="minorEastAsia" w:cstheme="minorBidi"/>
                <w:color w:val="000000"/>
                <w:kern w:val="2"/>
                <w:sz w:val="22"/>
                <w:szCs w:val="22"/>
                <w:lang w:val="en-US" w:eastAsia="zh-CN" w:bidi="ar-SA"/>
              </w:rPr>
            </w:pPr>
            <w:r>
              <w:rPr>
                <w:rFonts w:hint="eastAsia" w:ascii="宋体" w:hAnsi="宋体"/>
                <w:color w:val="000000"/>
                <w:sz w:val="22"/>
                <w:lang w:eastAsia="zh-CN"/>
              </w:rPr>
              <w:t>五、</w:t>
            </w:r>
            <w:r>
              <w:rPr>
                <w:rFonts w:hint="eastAsia" w:ascii="宋体" w:hAnsi="宋体"/>
                <w:color w:val="000000"/>
                <w:sz w:val="22"/>
              </w:rPr>
              <w:t>住房保障支出</w:t>
            </w:r>
          </w:p>
        </w:tc>
        <w:tc>
          <w:tcPr>
            <w:tcW w:w="834" w:type="dxa"/>
            <w:tcBorders>
              <w:top w:val="nil"/>
              <w:left w:val="nil"/>
              <w:bottom w:val="single" w:color="auto" w:sz="4" w:space="0"/>
              <w:right w:val="single" w:color="auto" w:sz="4" w:space="0"/>
            </w:tcBorders>
            <w:shd w:val="clear" w:color="000000" w:fill="FFFFFF"/>
            <w:noWrap/>
            <w:vAlign w:val="top"/>
          </w:tcPr>
          <w:p>
            <w:pPr>
              <w:spacing w:beforeLines="0" w:afterLines="0"/>
              <w:jc w:val="center"/>
              <w:rPr>
                <w:rFonts w:hint="default" w:ascii="宋体" w:hAnsi="宋体" w:eastAsiaTheme="minorEastAsia" w:cstheme="minorBidi"/>
                <w:color w:val="000000"/>
                <w:kern w:val="2"/>
                <w:sz w:val="22"/>
                <w:szCs w:val="22"/>
                <w:lang w:val="en-US" w:eastAsia="zh-CN" w:bidi="ar-SA"/>
              </w:rPr>
            </w:pPr>
            <w:r>
              <w:rPr>
                <w:rFonts w:hint="eastAsia" w:ascii="宋体" w:hAnsi="宋体"/>
                <w:color w:val="000000"/>
                <w:sz w:val="22"/>
                <w:lang w:val="en-US" w:eastAsia="zh-CN"/>
              </w:rPr>
              <w:t>18</w:t>
            </w:r>
          </w:p>
        </w:tc>
        <w:tc>
          <w:tcPr>
            <w:tcW w:w="2858"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368.35</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285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七、抗疫特别国债安排的支出</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2858"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50</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30</w:t>
            </w:r>
          </w:p>
        </w:tc>
        <w:tc>
          <w:tcPr>
            <w:tcW w:w="31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285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285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5164</w:t>
            </w:r>
            <w:r>
              <w:rPr>
                <w:rFonts w:hint="eastAsia" w:ascii="宋体" w:hAnsi="宋体" w:eastAsia="宋体" w:cs="宋体"/>
                <w:kern w:val="0"/>
                <w:sz w:val="22"/>
                <w:lang w:val="en-US" w:eastAsia="zh-CN"/>
              </w:rPr>
              <w:t>.</w:t>
            </w:r>
            <w:r>
              <w:rPr>
                <w:rFonts w:hint="eastAsia" w:ascii="宋体" w:hAnsi="宋体" w:eastAsia="宋体" w:cs="宋体"/>
                <w:kern w:val="0"/>
                <w:sz w:val="22"/>
              </w:rPr>
              <w:t>28　</w:t>
            </w:r>
          </w:p>
        </w:tc>
        <w:tc>
          <w:tcPr>
            <w:tcW w:w="31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2858" w:type="dxa"/>
            <w:tcBorders>
              <w:top w:val="nil"/>
              <w:left w:val="nil"/>
              <w:bottom w:val="single" w:color="auto" w:sz="4" w:space="0"/>
              <w:right w:val="single" w:color="auto" w:sz="4" w:space="0"/>
            </w:tcBorders>
            <w:shd w:val="clear" w:color="auto" w:fill="auto"/>
            <w:noWrap/>
            <w:vAlign w:val="top"/>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5007</w:t>
            </w:r>
            <w:r>
              <w:rPr>
                <w:rFonts w:hint="eastAsia" w:ascii="宋体" w:hAnsi="宋体" w:eastAsia="宋体" w:cs="宋体"/>
                <w:kern w:val="0"/>
                <w:sz w:val="22"/>
                <w:lang w:val="en-US" w:eastAsia="zh-CN"/>
              </w:rPr>
              <w:t>.</w:t>
            </w:r>
            <w:r>
              <w:rPr>
                <w:rFonts w:hint="eastAsia" w:ascii="宋体" w:hAnsi="宋体" w:eastAsia="宋体" w:cs="宋体"/>
                <w:kern w:val="0"/>
                <w:sz w:val="22"/>
              </w:rPr>
              <w:t>14</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使用非财政拨款结余</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结余分配</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2858" w:type="dxa"/>
            <w:tcBorders>
              <w:top w:val="nil"/>
              <w:left w:val="nil"/>
              <w:bottom w:val="single" w:color="auto" w:sz="4" w:space="0"/>
              <w:right w:val="single" w:color="auto" w:sz="4" w:space="0"/>
            </w:tcBorders>
            <w:shd w:val="clear" w:color="auto" w:fill="auto"/>
            <w:noWrap/>
            <w:vAlign w:val="top"/>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年初结转和结余</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907</w:t>
            </w:r>
            <w:r>
              <w:rPr>
                <w:rFonts w:hint="eastAsia" w:ascii="宋体" w:hAnsi="宋体" w:eastAsia="宋体" w:cs="宋体"/>
                <w:kern w:val="0"/>
                <w:sz w:val="22"/>
                <w:lang w:val="en-US" w:eastAsia="zh-CN"/>
              </w:rPr>
              <w:t>.</w:t>
            </w:r>
            <w:r>
              <w:rPr>
                <w:rFonts w:hint="eastAsia" w:ascii="宋体" w:hAnsi="宋体" w:eastAsia="宋体" w:cs="宋体"/>
                <w:kern w:val="0"/>
                <w:sz w:val="22"/>
              </w:rPr>
              <w:t>28　</w:t>
            </w:r>
          </w:p>
        </w:tc>
        <w:tc>
          <w:tcPr>
            <w:tcW w:w="31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年末结转和结余</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2858"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1127.42</w:t>
            </w:r>
          </w:p>
        </w:tc>
      </w:tr>
      <w:tr>
        <w:tblPrEx>
          <w:tblCellMar>
            <w:top w:w="0" w:type="dxa"/>
            <w:left w:w="108" w:type="dxa"/>
            <w:bottom w:w="0" w:type="dxa"/>
            <w:right w:w="108" w:type="dxa"/>
          </w:tblCellMar>
        </w:tblPrEx>
        <w:trPr>
          <w:gridAfter w:val="5"/>
          <w:wAfter w:w="11869" w:type="dxa"/>
          <w:trHeight w:val="340" w:hRule="atLeast"/>
        </w:trPr>
        <w:tc>
          <w:tcPr>
            <w:tcW w:w="406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6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6071</w:t>
            </w:r>
            <w:r>
              <w:rPr>
                <w:rFonts w:hint="eastAsia" w:ascii="宋体" w:hAnsi="宋体" w:eastAsia="宋体" w:cs="宋体"/>
                <w:kern w:val="0"/>
                <w:sz w:val="22"/>
                <w:lang w:val="en-US" w:eastAsia="zh-CN"/>
              </w:rPr>
              <w:t>.</w:t>
            </w:r>
            <w:r>
              <w:rPr>
                <w:rFonts w:hint="eastAsia" w:ascii="宋体" w:hAnsi="宋体" w:eastAsia="宋体" w:cs="宋体"/>
                <w:kern w:val="0"/>
                <w:sz w:val="22"/>
              </w:rPr>
              <w:t>5</w:t>
            </w:r>
            <w:r>
              <w:rPr>
                <w:rFonts w:hint="eastAsia" w:ascii="宋体" w:hAnsi="宋体" w:eastAsia="宋体" w:cs="宋体"/>
                <w:kern w:val="0"/>
                <w:sz w:val="22"/>
                <w:lang w:val="en-US" w:eastAsia="zh-CN"/>
              </w:rPr>
              <w:t>7</w:t>
            </w:r>
            <w:r>
              <w:rPr>
                <w:rFonts w:hint="eastAsia" w:ascii="宋体" w:hAnsi="宋体" w:eastAsia="宋体" w:cs="宋体"/>
                <w:kern w:val="0"/>
                <w:sz w:val="22"/>
              </w:rPr>
              <w:t>　</w:t>
            </w:r>
          </w:p>
        </w:tc>
        <w:tc>
          <w:tcPr>
            <w:tcW w:w="313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2858"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6071.57</w:t>
            </w:r>
          </w:p>
        </w:tc>
      </w:tr>
      <w:tr>
        <w:tblPrEx>
          <w:tblCellMar>
            <w:top w:w="0" w:type="dxa"/>
            <w:left w:w="108" w:type="dxa"/>
            <w:bottom w:w="0" w:type="dxa"/>
            <w:right w:w="108" w:type="dxa"/>
          </w:tblCellMar>
        </w:tblPrEx>
        <w:trPr>
          <w:trHeight w:val="1020" w:hRule="atLeast"/>
        </w:trPr>
        <w:tc>
          <w:tcPr>
            <w:tcW w:w="13362" w:type="dxa"/>
            <w:gridSpan w:val="8"/>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2.本套报表金额单位转换时可能存在尾数误差。</w:t>
            </w:r>
          </w:p>
        </w:tc>
        <w:tc>
          <w:tcPr>
            <w:tcW w:w="2950" w:type="dxa"/>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rPr>
            </w:pPr>
          </w:p>
        </w:tc>
        <w:tc>
          <w:tcPr>
            <w:tcW w:w="2229" w:type="dxa"/>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rPr>
            </w:pPr>
          </w:p>
        </w:tc>
        <w:tc>
          <w:tcPr>
            <w:tcW w:w="2230" w:type="dxa"/>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rPr>
            </w:pPr>
          </w:p>
        </w:tc>
        <w:tc>
          <w:tcPr>
            <w:tcW w:w="2230" w:type="dxa"/>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rPr>
            </w:pPr>
          </w:p>
        </w:tc>
        <w:tc>
          <w:tcPr>
            <w:tcW w:w="2230" w:type="dxa"/>
            <w:tcBorders>
              <w:top w:val="nil"/>
              <w:left w:val="nil"/>
              <w:bottom w:val="nil"/>
              <w:right w:val="nil"/>
            </w:tcBorders>
            <w:shd w:val="clear" w:color="auto" w:fill="auto"/>
            <w:vAlign w:val="center"/>
          </w:tcPr>
          <w:p>
            <w:pPr>
              <w:spacing w:beforeLines="0" w:afterLines="0"/>
              <w:jc w:val="right"/>
              <w:rPr>
                <w:rFonts w:hint="eastAsia" w:ascii="宋体" w:hAnsi="宋体" w:eastAsiaTheme="minorEastAsia" w:cstheme="minorBidi"/>
                <w:color w:val="FF0000"/>
                <w:kern w:val="2"/>
                <w:sz w:val="22"/>
                <w:szCs w:val="22"/>
                <w:lang w:val="en-US" w:eastAsia="zh-CN" w:bidi="ar-SA"/>
              </w:rPr>
            </w:pPr>
            <w:r>
              <w:rPr>
                <w:rFonts w:hint="eastAsia" w:ascii="宋体" w:hAnsi="宋体"/>
                <w:color w:val="FF0000"/>
                <w:sz w:val="22"/>
              </w:rPr>
              <w:t>60,715,652.19</w:t>
            </w:r>
          </w:p>
        </w:tc>
      </w:tr>
    </w:tbl>
    <w:p>
      <w:pPr>
        <w:jc w:val="center"/>
        <w:rPr>
          <w:rFonts w:ascii="黑体" w:hAnsi="黑体" w:eastAsia="黑体"/>
          <w:sz w:val="28"/>
          <w:szCs w:val="28"/>
        </w:rPr>
        <w:sectPr>
          <w:pgSz w:w="16838" w:h="11906" w:orient="landscape"/>
          <w:pgMar w:top="1344" w:right="1440" w:bottom="1287" w:left="1440" w:header="851" w:footer="992" w:gutter="0"/>
          <w:pgBorders>
            <w:top w:val="none" w:sz="0" w:space="0"/>
            <w:left w:val="none" w:sz="0" w:space="0"/>
            <w:bottom w:val="none" w:sz="0" w:space="0"/>
            <w:right w:val="none" w:sz="0" w:space="0"/>
          </w:pgBorders>
          <w:cols w:space="0" w:num="1"/>
          <w:rtlGutter w:val="0"/>
          <w:docGrid w:type="linesAndChars" w:linePitch="312" w:charSpace="0"/>
        </w:sectPr>
      </w:pPr>
    </w:p>
    <w:tbl>
      <w:tblPr>
        <w:tblStyle w:val="7"/>
        <w:tblW w:w="14532" w:type="dxa"/>
        <w:tblInd w:w="0" w:type="dxa"/>
        <w:tblLayout w:type="fixed"/>
        <w:tblCellMar>
          <w:top w:w="0" w:type="dxa"/>
          <w:left w:w="0" w:type="dxa"/>
          <w:bottom w:w="0" w:type="dxa"/>
          <w:right w:w="0" w:type="dxa"/>
        </w:tblCellMar>
      </w:tblPr>
      <w:tblGrid>
        <w:gridCol w:w="389"/>
        <w:gridCol w:w="913"/>
        <w:gridCol w:w="3075"/>
        <w:gridCol w:w="165"/>
        <w:gridCol w:w="1215"/>
        <w:gridCol w:w="388"/>
        <w:gridCol w:w="962"/>
        <w:gridCol w:w="686"/>
        <w:gridCol w:w="652"/>
        <w:gridCol w:w="1107"/>
        <w:gridCol w:w="414"/>
        <w:gridCol w:w="1324"/>
        <w:gridCol w:w="197"/>
        <w:gridCol w:w="1324"/>
        <w:gridCol w:w="461"/>
        <w:gridCol w:w="1260"/>
      </w:tblGrid>
      <w:tr>
        <w:tblPrEx>
          <w:tblCellMar>
            <w:top w:w="0" w:type="dxa"/>
            <w:left w:w="0" w:type="dxa"/>
            <w:bottom w:w="0" w:type="dxa"/>
            <w:right w:w="0" w:type="dxa"/>
          </w:tblCellMar>
        </w:tblPrEx>
        <w:trPr>
          <w:trHeight w:val="435" w:hRule="atLeast"/>
        </w:trPr>
        <w:tc>
          <w:tcPr>
            <w:tcW w:w="14532" w:type="dxa"/>
            <w:gridSpan w:val="16"/>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91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07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0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4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3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2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4377" w:type="dxa"/>
            <w:gridSpan w:val="3"/>
            <w:tcBorders>
              <w:top w:val="nil"/>
              <w:left w:val="nil"/>
              <w:bottom w:val="single" w:color="auto" w:sz="4" w:space="0"/>
              <w:right w:val="nil"/>
            </w:tcBorders>
            <w:shd w:val="clear" w:color="000000" w:fill="FFFFFF"/>
            <w:noWrap/>
            <w:tcMar>
              <w:top w:w="15" w:type="dxa"/>
              <w:left w:w="15" w:type="dxa"/>
              <w:bottom w:w="0" w:type="dxa"/>
              <w:right w:w="15" w:type="dxa"/>
            </w:tcMar>
            <w:vAlign w:val="top"/>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部门：湘乡市住房和城乡建设局</w:t>
            </w:r>
          </w:p>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5" w:type="dxa"/>
            <w:tcBorders>
              <w:top w:val="nil"/>
              <w:left w:val="nil"/>
              <w:bottom w:val="single" w:color="auto" w:sz="4" w:space="0"/>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03" w:type="dxa"/>
            <w:gridSpan w:val="2"/>
            <w:tcBorders>
              <w:top w:val="nil"/>
              <w:left w:val="nil"/>
              <w:bottom w:val="single" w:color="auto" w:sz="4" w:space="0"/>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48" w:type="dxa"/>
            <w:gridSpan w:val="2"/>
            <w:tcBorders>
              <w:top w:val="nil"/>
              <w:left w:val="nil"/>
              <w:bottom w:val="single" w:color="auto" w:sz="4" w:space="0"/>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759" w:type="dxa"/>
            <w:gridSpan w:val="2"/>
            <w:tcBorders>
              <w:top w:val="nil"/>
              <w:left w:val="nil"/>
              <w:bottom w:val="single" w:color="auto" w:sz="4" w:space="0"/>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38" w:type="dxa"/>
            <w:gridSpan w:val="2"/>
            <w:tcBorders>
              <w:top w:val="nil"/>
              <w:left w:val="nil"/>
              <w:bottom w:val="single" w:color="auto" w:sz="4" w:space="0"/>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1" w:type="dxa"/>
            <w:gridSpan w:val="2"/>
            <w:tcBorders>
              <w:top w:val="nil"/>
              <w:left w:val="nil"/>
              <w:bottom w:val="single" w:color="auto" w:sz="4" w:space="0"/>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21" w:type="dxa"/>
            <w:gridSpan w:val="2"/>
            <w:tcBorders>
              <w:top w:val="nil"/>
              <w:left w:val="nil"/>
              <w:bottom w:val="single" w:color="auto" w:sz="4" w:space="0"/>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37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项目</w:t>
            </w:r>
          </w:p>
        </w:tc>
        <w:tc>
          <w:tcPr>
            <w:tcW w:w="138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50"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3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52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52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78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2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30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07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5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2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2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30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07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5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2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2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437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3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3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52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52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78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26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437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r>
              <w:rPr>
                <w:rFonts w:hint="eastAsia"/>
                <w:b w:val="0"/>
                <w:bCs w:val="0"/>
                <w:lang w:val="en-US" w:eastAsia="zh-CN"/>
              </w:rPr>
              <w:t>5164.28</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r>
              <w:rPr>
                <w:rFonts w:hint="eastAsia"/>
                <w:b w:val="0"/>
                <w:bCs w:val="0"/>
                <w:lang w:val="en-US" w:eastAsia="zh-CN"/>
              </w:rPr>
              <w:t>4139.95</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r>
              <w:rPr>
                <w:rFonts w:hint="eastAsia"/>
                <w:b w:val="0"/>
                <w:bCs w:val="0"/>
                <w:lang w:val="en-US" w:eastAsia="zh-CN"/>
              </w:rPr>
              <w:t>194.33</w:t>
            </w: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r>
              <w:rPr>
                <w:rFonts w:hint="eastAsia"/>
                <w:b w:val="0"/>
                <w:bCs w:val="0"/>
                <w:lang w:val="en-US" w:eastAsia="zh-CN"/>
              </w:rPr>
              <w:t>30</w:t>
            </w: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社会保障和就业支出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247.48</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247.48</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20805</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行政事业单位养老支出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213.77</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213.77</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2080501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行政单位离退休</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0.19</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0.19</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2080505</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213.58</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213.58</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20827</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财政对其他社会保险基金的补助</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2.29</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2.29</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2082701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财政对失业保险基金的补助</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1.27</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1.27</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2082702</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财政对工伤保险基金的补助</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1.02</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1.02</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20899</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其他社会保障和就业支出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31.42</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31.42</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2089901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其他社会保障和就业支出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31.42</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31.42</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卫生健康支出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108.06</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108.06</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21011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行政事业单位医疗</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108.06</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108.06</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2101101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行政单位医疗</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81.37</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81.37</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2101102</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事业单位医疗</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26.68</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26.68</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节能环保支出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173.00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173.00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21103</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污染防治</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173.00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173.00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2110302</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水体</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173.00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173.00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城乡社区支出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4162.09</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3937.76</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194.33</w:t>
            </w: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30.00</w:t>
            </w: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城乡社区管理事务</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2361.13</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2136.79</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194.33</w:t>
            </w: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30.00</w:t>
            </w: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2120101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行政运行</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1792.86</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1792.86</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2120102</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一般行政管理事务</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80.00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80.00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2120103</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机关服务</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50.00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50.00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2120106</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工程建设管理</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71.33</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71.33</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2120109</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住宅建设与房地产市场监管</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104.60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104.60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2120199</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其他城乡社区管理事务支出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262.33</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38.00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194.33</w:t>
            </w: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30.00</w:t>
            </w: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21202</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城乡社区规划与管理</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40.00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40.00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2120201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城乡社区规划与管理</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40.00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40.00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21203</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城乡社区公共设施</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1129.63</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1129.63</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2120303</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小城镇基础设施建设</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635.00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635.00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2120399</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其他城乡社区公共设施支出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494.63</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494.63</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21206</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建设市场管理与监督</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371.83</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371.83</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2120601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建设市场管理与监督</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371.83</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371.83</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21213</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城市基础设施配套费安排的支出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50.00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50.00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2121302</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城市环境卫生</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50.00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50.00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21299</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其他城乡社区支出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209.50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209.50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2129901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其他城乡社区支出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209.50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209.50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221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住房保障支出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423.66</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423.66</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22101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保障性安居工程支出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308.00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308.00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2210106</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公共租赁住房</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13.00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13.00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2210199</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其他保障性安居工程支出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295.00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295.00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22102</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住房改革支出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115.66</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115.66</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2210201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住房公积金</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115.66</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115.66</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234</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抗疫特别国债安排的支出</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50.00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b w:val="0"/>
                <w:bCs w:val="0"/>
              </w:rPr>
            </w:pPr>
            <w:r>
              <w:rPr>
                <w:rFonts w:hint="eastAsia" w:ascii="宋体" w:hAnsi="宋体" w:eastAsia="宋体" w:cs="宋体"/>
                <w:b w:val="0"/>
                <w:bCs w:val="0"/>
                <w:i w:val="0"/>
                <w:color w:val="000000"/>
                <w:kern w:val="0"/>
                <w:sz w:val="22"/>
                <w:szCs w:val="22"/>
                <w:u w:val="none"/>
                <w:lang w:val="en-US" w:eastAsia="zh-CN" w:bidi="ar"/>
              </w:rPr>
              <w:t>50.00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b w:val="0"/>
                <w:bCs w:val="0"/>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23401</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基础设施建设</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b w:val="0"/>
                <w:bCs w:val="0"/>
                <w:sz w:val="24"/>
                <w:szCs w:val="24"/>
              </w:rPr>
            </w:pPr>
            <w:r>
              <w:rPr>
                <w:rFonts w:hint="eastAsia" w:ascii="宋体" w:hAnsi="宋体" w:eastAsia="宋体" w:cs="宋体"/>
                <w:b w:val="0"/>
                <w:bCs w:val="0"/>
                <w:i w:val="0"/>
                <w:color w:val="000000"/>
                <w:kern w:val="0"/>
                <w:sz w:val="22"/>
                <w:szCs w:val="22"/>
                <w:u w:val="none"/>
                <w:lang w:val="en-US" w:eastAsia="zh-CN" w:bidi="ar"/>
              </w:rPr>
              <w:t>50.00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b w:val="0"/>
                <w:bCs w:val="0"/>
                <w:sz w:val="24"/>
                <w:szCs w:val="24"/>
              </w:rPr>
            </w:pPr>
            <w:r>
              <w:rPr>
                <w:rFonts w:hint="eastAsia" w:ascii="宋体" w:hAnsi="宋体" w:eastAsia="宋体" w:cs="宋体"/>
                <w:b w:val="0"/>
                <w:bCs w:val="0"/>
                <w:i w:val="0"/>
                <w:color w:val="000000"/>
                <w:kern w:val="0"/>
                <w:sz w:val="22"/>
                <w:szCs w:val="22"/>
                <w:u w:val="none"/>
                <w:lang w:val="en-US" w:eastAsia="zh-CN" w:bidi="ar"/>
              </w:rPr>
              <w:t>50.00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r>
      <w:tr>
        <w:tblPrEx>
          <w:tblCellMar>
            <w:top w:w="0" w:type="dxa"/>
            <w:left w:w="0" w:type="dxa"/>
            <w:bottom w:w="0" w:type="dxa"/>
            <w:right w:w="0" w:type="dxa"/>
          </w:tblCellMar>
        </w:tblPrEx>
        <w:trPr>
          <w:trHeight w:val="450" w:hRule="atLeast"/>
        </w:trPr>
        <w:tc>
          <w:tcPr>
            <w:tcW w:w="130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2340102</w:t>
            </w:r>
          </w:p>
        </w:tc>
        <w:tc>
          <w:tcPr>
            <w:tcW w:w="30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重大疫情防控救治体系建设</w:t>
            </w:r>
          </w:p>
        </w:tc>
        <w:tc>
          <w:tcPr>
            <w:tcW w:w="13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华文中宋" w:hAnsi="华文中宋" w:eastAsia="华文中宋" w:cs="宋体"/>
                <w:b w:val="0"/>
                <w:bCs w:val="0"/>
                <w:sz w:val="24"/>
                <w:szCs w:val="24"/>
              </w:rPr>
            </w:pPr>
            <w:r>
              <w:rPr>
                <w:rFonts w:hint="eastAsia" w:ascii="宋体" w:hAnsi="宋体" w:eastAsia="宋体" w:cs="宋体"/>
                <w:b w:val="0"/>
                <w:bCs w:val="0"/>
                <w:i w:val="0"/>
                <w:color w:val="000000"/>
                <w:kern w:val="0"/>
                <w:sz w:val="22"/>
                <w:szCs w:val="22"/>
                <w:u w:val="none"/>
                <w:lang w:val="en-US" w:eastAsia="zh-CN" w:bidi="ar"/>
              </w:rPr>
              <w:t>50.00</w:t>
            </w: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b w:val="0"/>
                <w:bCs w:val="0"/>
                <w:sz w:val="24"/>
                <w:szCs w:val="24"/>
              </w:rPr>
            </w:pPr>
            <w:r>
              <w:rPr>
                <w:rFonts w:hint="eastAsia" w:ascii="宋体" w:hAnsi="宋体" w:eastAsia="宋体" w:cs="宋体"/>
                <w:b w:val="0"/>
                <w:bCs w:val="0"/>
                <w:i w:val="0"/>
                <w:color w:val="000000"/>
                <w:kern w:val="0"/>
                <w:sz w:val="22"/>
                <w:szCs w:val="22"/>
                <w:u w:val="none"/>
                <w:lang w:val="en-US" w:eastAsia="zh-CN" w:bidi="ar"/>
              </w:rPr>
              <w:t>50.00</w:t>
            </w:r>
          </w:p>
        </w:tc>
        <w:tc>
          <w:tcPr>
            <w:tcW w:w="133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5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78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b w:val="0"/>
                <w:bCs w:val="0"/>
                <w:sz w:val="24"/>
                <w:szCs w:val="24"/>
              </w:rPr>
            </w:pPr>
          </w:p>
        </w:tc>
      </w:tr>
      <w:tr>
        <w:tblPrEx>
          <w:tblCellMar>
            <w:top w:w="0" w:type="dxa"/>
            <w:left w:w="0" w:type="dxa"/>
            <w:bottom w:w="0" w:type="dxa"/>
            <w:right w:w="0" w:type="dxa"/>
          </w:tblCellMar>
        </w:tblPrEx>
        <w:trPr>
          <w:trHeight w:val="615" w:hRule="atLeast"/>
        </w:trPr>
        <w:tc>
          <w:tcPr>
            <w:tcW w:w="14532" w:type="dxa"/>
            <w:gridSpan w:val="16"/>
            <w:tcBorders>
              <w:top w:val="single" w:color="auto" w:sz="4" w:space="0"/>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r>
        <w:tblPrEx>
          <w:tblCellMar>
            <w:top w:w="0" w:type="dxa"/>
            <w:left w:w="0" w:type="dxa"/>
            <w:bottom w:w="0" w:type="dxa"/>
            <w:right w:w="0" w:type="dxa"/>
          </w:tblCellMar>
        </w:tblPrEx>
        <w:trPr>
          <w:trHeight w:val="615" w:hRule="atLeast"/>
        </w:trPr>
        <w:tc>
          <w:tcPr>
            <w:tcW w:w="14532" w:type="dxa"/>
            <w:gridSpan w:val="16"/>
            <w:tcBorders>
              <w:top w:val="nil"/>
              <w:left w:val="nil"/>
              <w:bottom w:val="nil"/>
              <w:right w:val="nil"/>
            </w:tcBorders>
            <w:shd w:val="clear" w:color="auto" w:fill="auto"/>
            <w:tcMar>
              <w:top w:w="15" w:type="dxa"/>
              <w:left w:w="15" w:type="dxa"/>
              <w:bottom w:w="0" w:type="dxa"/>
              <w:right w:w="15" w:type="dxa"/>
            </w:tcMar>
            <w:vAlign w:val="center"/>
          </w:tcPr>
          <w:p>
            <w:pPr>
              <w:rPr>
                <w:rFonts w:hint="eastAsia"/>
              </w:rPr>
            </w:pP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7"/>
        <w:tblpPr w:leftFromText="180" w:rightFromText="180" w:vertAnchor="text" w:horzAnchor="page" w:tblpX="1576" w:tblpY="1249"/>
        <w:tblOverlap w:val="never"/>
        <w:tblW w:w="13857" w:type="dxa"/>
        <w:tblInd w:w="0" w:type="dxa"/>
        <w:tblLayout w:type="fixed"/>
        <w:tblCellMar>
          <w:top w:w="0" w:type="dxa"/>
          <w:left w:w="108" w:type="dxa"/>
          <w:bottom w:w="0" w:type="dxa"/>
          <w:right w:w="108" w:type="dxa"/>
        </w:tblCellMar>
      </w:tblPr>
      <w:tblGrid>
        <w:gridCol w:w="1042"/>
        <w:gridCol w:w="222"/>
        <w:gridCol w:w="2933"/>
        <w:gridCol w:w="1665"/>
        <w:gridCol w:w="210"/>
        <w:gridCol w:w="1170"/>
        <w:gridCol w:w="135"/>
        <w:gridCol w:w="735"/>
        <w:gridCol w:w="705"/>
        <w:gridCol w:w="1185"/>
        <w:gridCol w:w="540"/>
        <w:gridCol w:w="861"/>
        <w:gridCol w:w="579"/>
        <w:gridCol w:w="1875"/>
      </w:tblGrid>
      <w:tr>
        <w:tblPrEx>
          <w:tblCellMar>
            <w:top w:w="0" w:type="dxa"/>
            <w:left w:w="108" w:type="dxa"/>
            <w:bottom w:w="0" w:type="dxa"/>
            <w:right w:w="108" w:type="dxa"/>
          </w:tblCellMar>
        </w:tblPrEx>
        <w:trPr>
          <w:trHeight w:val="435" w:hRule="atLeast"/>
        </w:trPr>
        <w:tc>
          <w:tcPr>
            <w:tcW w:w="13857" w:type="dxa"/>
            <w:gridSpan w:val="14"/>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22"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9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7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7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9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1"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5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4197" w:type="dxa"/>
            <w:gridSpan w:val="3"/>
            <w:tcBorders>
              <w:top w:val="nil"/>
              <w:left w:val="nil"/>
              <w:bottom w:val="single" w:color="auto" w:sz="4" w:space="0"/>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湘乡市住房和城乡建设局</w:t>
            </w:r>
          </w:p>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75" w:type="dxa"/>
            <w:gridSpan w:val="2"/>
            <w:tcBorders>
              <w:top w:val="nil"/>
              <w:left w:val="nil"/>
              <w:bottom w:val="single" w:color="auto" w:sz="4" w:space="0"/>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70" w:type="dxa"/>
            <w:tcBorders>
              <w:top w:val="nil"/>
              <w:left w:val="nil"/>
              <w:bottom w:val="single" w:color="auto" w:sz="4" w:space="0"/>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70" w:type="dxa"/>
            <w:gridSpan w:val="2"/>
            <w:tcBorders>
              <w:top w:val="nil"/>
              <w:left w:val="nil"/>
              <w:bottom w:val="single" w:color="auto" w:sz="4" w:space="0"/>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890" w:type="dxa"/>
            <w:gridSpan w:val="2"/>
            <w:tcBorders>
              <w:top w:val="nil"/>
              <w:left w:val="nil"/>
              <w:bottom w:val="single" w:color="auto" w:sz="4" w:space="0"/>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1" w:type="dxa"/>
            <w:gridSpan w:val="2"/>
            <w:tcBorders>
              <w:top w:val="nil"/>
              <w:left w:val="nil"/>
              <w:bottom w:val="single" w:color="auto" w:sz="4" w:space="0"/>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54" w:type="dxa"/>
            <w:gridSpan w:val="2"/>
            <w:tcBorders>
              <w:top w:val="nil"/>
              <w:left w:val="nil"/>
              <w:bottom w:val="single" w:color="auto" w:sz="4" w:space="0"/>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2" w:hRule="atLeast"/>
        </w:trPr>
        <w:tc>
          <w:tcPr>
            <w:tcW w:w="419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w:t>
            </w:r>
          </w:p>
        </w:tc>
        <w:tc>
          <w:tcPr>
            <w:tcW w:w="166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51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44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2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44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8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9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1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9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1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19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6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51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4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2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4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87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19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4944.14</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3119.18</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1824.96</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社会保障和就业支出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246.01</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246.01</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行政事业单位养老支出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213.16</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213.16</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行政单位离退休</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0.19</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0.19</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2080505</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212.97</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212.97</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20827</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财政对其他社会保险基金的补助</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2.29</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2.29</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2082701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财政对失业保险基金的补助</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1.27</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1.27</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2082702</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财政对工伤保险基金的补助</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1.02</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1.02</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20899</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其他社会保障和就业支出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30.56</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30.56</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2089901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其他社会保障和就业支出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30.56</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30.56</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卫生健康支出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110.65</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110.65</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行政事业单位医疗</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110.65</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110.65</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行政单位医疗</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81.37</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81.37</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2101102</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事业单位医疗</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29.28</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29.28</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节能环保支出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173.00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173.00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21103</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污染防治</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173.00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173.00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2110302</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水体</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173.00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173.00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城乡社区支出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3996.13</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2596.97</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1399.17</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城乡社区管理事务</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2262.19</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2040.02</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222.17</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行政运行</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1816.42</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1816.42</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2120102</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一般行政管理事务</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79.64</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79.64</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2120103</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机关服务</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2120106</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工程建设管理</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71.33</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12.00</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59.33</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2120109</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住宅建设与房地产市场监管</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57.73</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57.73</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2120199</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其他城乡社区管理事务支出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187.08</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161.60</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25.48</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21202</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城乡社区规划与管理</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40.00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40.00</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2120201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城乡社区规划与管理</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40.00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40.00</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21203</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城乡社区公共设施</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1126.99</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1126.99</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2120303</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小城镇基础设施建设</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632.36</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632.36</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2120399</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其他城乡社区公共设施支出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494.63</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494.63</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21206</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建设市场管理与监督</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357.45</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357.45</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2120601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建设市场管理与监督</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357.45</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357.45</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21213</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城市基础设施配套费安排的支出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2121302</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城市环境卫生</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21299</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其他城乡社区支出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159.50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159.50</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2129901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其他城乡社区支出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159.50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159.50</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住房保障支出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368.35</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165.56</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202.80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保障性安居工程支出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248.62</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45.83</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202.80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2210106</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公共租赁住房</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6.00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6.00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2210199</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其他保障性安居工程支出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242.62</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45.83</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196.80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22102</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住房改革支出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119.73</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119.73</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2210201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住房公积金</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119.73</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119.73</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234</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抗疫特别国债安排的支出</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23401</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基础设施建设</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2340102</w:t>
            </w:r>
          </w:p>
        </w:tc>
        <w:tc>
          <w:tcPr>
            <w:tcW w:w="29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重大疫情防控救治体系建设</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5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50.00</w:t>
            </w:r>
          </w:p>
        </w:tc>
        <w:tc>
          <w:tcPr>
            <w:tcW w:w="172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8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3857" w:type="dxa"/>
            <w:gridSpan w:val="14"/>
            <w:tcBorders>
              <w:top w:val="single" w:color="auto" w:sz="4"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7"/>
        <w:tblW w:w="15521" w:type="dxa"/>
        <w:tblInd w:w="93" w:type="dxa"/>
        <w:tblLayout w:type="fixed"/>
        <w:tblCellMar>
          <w:top w:w="0" w:type="dxa"/>
          <w:left w:w="108" w:type="dxa"/>
          <w:bottom w:w="0" w:type="dxa"/>
          <w:right w:w="108" w:type="dxa"/>
        </w:tblCellMar>
      </w:tblPr>
      <w:tblGrid>
        <w:gridCol w:w="3595"/>
        <w:gridCol w:w="797"/>
        <w:gridCol w:w="1213"/>
        <w:gridCol w:w="362"/>
        <w:gridCol w:w="2553"/>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797"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21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3"/>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hint="eastAsia" w:ascii="华文中宋" w:hAnsi="华文中宋" w:eastAsia="华文中宋" w:cs="宋体"/>
                <w:color w:val="000000"/>
                <w:kern w:val="0"/>
                <w:sz w:val="32"/>
                <w:szCs w:val="32"/>
              </w:rPr>
            </w:pPr>
          </w:p>
          <w:p>
            <w:pPr>
              <w:widowControl/>
              <w:jc w:val="center"/>
              <w:rPr>
                <w:rFonts w:hint="eastAsia" w:ascii="华文中宋" w:hAnsi="华文中宋" w:eastAsia="华文中宋" w:cs="宋体"/>
                <w:color w:val="000000"/>
                <w:kern w:val="0"/>
                <w:sz w:val="32"/>
                <w:szCs w:val="32"/>
              </w:rPr>
            </w:pPr>
          </w:p>
          <w:p>
            <w:pPr>
              <w:widowControl/>
              <w:jc w:val="center"/>
              <w:rPr>
                <w:rFonts w:hint="eastAsia" w:ascii="华文中宋" w:hAnsi="华文中宋" w:eastAsia="华文中宋" w:cs="宋体"/>
                <w:color w:val="000000"/>
                <w:kern w:val="0"/>
                <w:sz w:val="32"/>
                <w:szCs w:val="32"/>
              </w:rPr>
            </w:pPr>
          </w:p>
          <w:p>
            <w:pPr>
              <w:widowControl/>
              <w:jc w:val="center"/>
              <w:rPr>
                <w:rFonts w:hint="eastAsia" w:ascii="华文中宋" w:hAnsi="华文中宋" w:eastAsia="华文中宋" w:cs="宋体"/>
                <w:color w:val="000000"/>
                <w:kern w:val="0"/>
                <w:sz w:val="32"/>
                <w:szCs w:val="32"/>
              </w:rPr>
            </w:pPr>
          </w:p>
          <w:p>
            <w:pPr>
              <w:widowControl/>
              <w:jc w:val="center"/>
              <w:rPr>
                <w:rFonts w:hint="eastAsia" w:ascii="华文中宋" w:hAnsi="华文中宋" w:eastAsia="华文中宋" w:cs="宋体"/>
                <w:color w:val="000000"/>
                <w:kern w:val="0"/>
                <w:sz w:val="32"/>
                <w:szCs w:val="32"/>
              </w:rPr>
            </w:pPr>
          </w:p>
          <w:p>
            <w:pPr>
              <w:widowControl/>
              <w:jc w:val="center"/>
              <w:rPr>
                <w:rFonts w:hint="eastAsia" w:ascii="华文中宋" w:hAnsi="华文中宋" w:eastAsia="华文中宋" w:cs="宋体"/>
                <w:color w:val="000000"/>
                <w:kern w:val="0"/>
                <w:sz w:val="32"/>
                <w:szCs w:val="32"/>
              </w:rPr>
            </w:pPr>
          </w:p>
          <w:p>
            <w:pPr>
              <w:widowControl/>
              <w:jc w:val="center"/>
              <w:rPr>
                <w:rFonts w:hint="eastAsia" w:ascii="华文中宋" w:hAnsi="华文中宋" w:eastAsia="华文中宋" w:cs="宋体"/>
                <w:color w:val="000000"/>
                <w:kern w:val="0"/>
                <w:sz w:val="32"/>
                <w:szCs w:val="32"/>
              </w:rPr>
            </w:pPr>
          </w:p>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8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湘乡市住房和城乡建设局</w:t>
            </w:r>
          </w:p>
        </w:tc>
        <w:tc>
          <w:tcPr>
            <w:tcW w:w="7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8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967"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554"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25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5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57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4839.95</w:t>
            </w:r>
          </w:p>
        </w:tc>
        <w:tc>
          <w:tcPr>
            <w:tcW w:w="25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rPr>
            </w:pPr>
            <w:r>
              <w:rPr>
                <w:rFonts w:hint="eastAsia" w:ascii="宋体" w:hAnsi="宋体" w:eastAsia="宋体" w:cs="宋体"/>
                <w:i w:val="0"/>
                <w:color w:val="000000"/>
                <w:kern w:val="0"/>
                <w:sz w:val="22"/>
                <w:szCs w:val="22"/>
                <w:u w:val="none"/>
                <w:lang w:val="en-US" w:eastAsia="zh-CN" w:bidi="ar"/>
              </w:rPr>
              <w:t>15</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246.01</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246.01</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57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100.00</w:t>
            </w:r>
          </w:p>
        </w:tc>
        <w:tc>
          <w:tcPr>
            <w:tcW w:w="25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110.65</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110.65</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57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25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173.00</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173.00</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57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25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四、城乡社区支出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3847.06</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3797.06</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50.00</w:t>
            </w: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57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25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五、住房保障支出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rPr>
            </w:pPr>
            <w:r>
              <w:rPr>
                <w:rFonts w:hint="eastAsia" w:ascii="宋体" w:hAnsi="宋体" w:eastAsia="宋体" w:cs="宋体"/>
                <w:i w:val="0"/>
                <w:color w:val="000000"/>
                <w:kern w:val="0"/>
                <w:sz w:val="22"/>
                <w:szCs w:val="22"/>
                <w:u w:val="none"/>
                <w:lang w:val="en-US" w:eastAsia="zh-CN" w:bidi="ar"/>
              </w:rPr>
              <w:t>19</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368.35</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368.35</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57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25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六、抗疫特别国债安排的支出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rPr>
            </w:pPr>
            <w:r>
              <w:rPr>
                <w:rFonts w:hint="eastAsia" w:ascii="宋体" w:hAnsi="宋体" w:eastAsia="宋体" w:cs="宋体"/>
                <w:i w:val="0"/>
                <w:color w:val="000000"/>
                <w:kern w:val="0"/>
                <w:sz w:val="22"/>
                <w:szCs w:val="22"/>
                <w:u w:val="none"/>
                <w:lang w:val="en-US" w:eastAsia="zh-CN" w:bidi="ar"/>
              </w:rPr>
              <w:t>20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50.00</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50.00</w:t>
            </w: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57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255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57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255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57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4939.95</w:t>
            </w:r>
          </w:p>
        </w:tc>
        <w:tc>
          <w:tcPr>
            <w:tcW w:w="25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i w:val="0"/>
                <w:color w:val="000000"/>
                <w:kern w:val="0"/>
                <w:sz w:val="22"/>
                <w:szCs w:val="22"/>
                <w:u w:val="none"/>
                <w:lang w:val="en-US" w:eastAsia="zh-CN" w:bidi="ar"/>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rPr>
            </w:pPr>
            <w:r>
              <w:rPr>
                <w:rFonts w:hint="eastAsia" w:ascii="宋体" w:hAnsi="宋体" w:eastAsia="宋体" w:cs="宋体"/>
                <w:i w:val="0"/>
                <w:color w:val="000000"/>
                <w:kern w:val="0"/>
                <w:sz w:val="22"/>
                <w:szCs w:val="22"/>
                <w:u w:val="none"/>
                <w:lang w:val="en-US" w:eastAsia="zh-CN" w:bidi="ar"/>
              </w:rPr>
              <w:t>23</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4795.07</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4695.07</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100.00</w:t>
            </w: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b/>
                <w:bCs/>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57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394.60</w:t>
            </w:r>
          </w:p>
        </w:tc>
        <w:tc>
          <w:tcPr>
            <w:tcW w:w="25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539.48</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539.48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一般公共预算财政拨款</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57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394.60</w:t>
            </w:r>
          </w:p>
        </w:tc>
        <w:tc>
          <w:tcPr>
            <w:tcW w:w="255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政府性基金预算财政拨款</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575"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c>
          <w:tcPr>
            <w:tcW w:w="255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国有资本经营预算财政拨款</w:t>
            </w:r>
          </w:p>
        </w:tc>
        <w:tc>
          <w:tcPr>
            <w:tcW w:w="7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575"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auto"/>
                <w:kern w:val="0"/>
                <w:sz w:val="22"/>
              </w:rPr>
            </w:pPr>
          </w:p>
        </w:tc>
        <w:tc>
          <w:tcPr>
            <w:tcW w:w="255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79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57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5334.54</w:t>
            </w:r>
          </w:p>
        </w:tc>
        <w:tc>
          <w:tcPr>
            <w:tcW w:w="25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5334.54</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color w:val="auto"/>
                <w:kern w:val="0"/>
                <w:sz w:val="22"/>
              </w:rPr>
            </w:pPr>
            <w:r>
              <w:rPr>
                <w:rFonts w:hint="eastAsia" w:ascii="宋体" w:hAnsi="宋体" w:eastAsia="宋体" w:cs="宋体"/>
                <w:i w:val="0"/>
                <w:color w:val="auto"/>
                <w:kern w:val="0"/>
                <w:sz w:val="22"/>
                <w:szCs w:val="22"/>
                <w:u w:val="none"/>
                <w:lang w:val="en-US" w:eastAsia="zh-CN" w:bidi="ar"/>
              </w:rPr>
              <w:t>5234.54</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color w:val="auto"/>
                <w:kern w:val="0"/>
                <w:sz w:val="22"/>
              </w:rPr>
            </w:pPr>
            <w:r>
              <w:rPr>
                <w:rFonts w:hint="eastAsia" w:ascii="宋体" w:hAnsi="宋体" w:eastAsia="宋体" w:cs="宋体"/>
                <w:i w:val="0"/>
                <w:color w:val="auto"/>
                <w:kern w:val="0"/>
                <w:sz w:val="22"/>
                <w:szCs w:val="22"/>
                <w:u w:val="none"/>
                <w:lang w:val="en-US" w:eastAsia="zh-CN" w:bidi="ar"/>
              </w:rPr>
              <w:t>100.00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color w:val="auto"/>
                <w:kern w:val="0"/>
                <w:sz w:val="22"/>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ind w:left="13440" w:leftChars="300" w:hanging="12810" w:hangingChars="6100"/>
        <w:jc w:val="left"/>
        <w:rPr>
          <w:rFonts w:ascii="Times New Roman" w:hAnsi="Times New Roman" w:eastAsia="仿宋_GB2312" w:cs="Times New Roman"/>
          <w:color w:val="000000"/>
          <w:kern w:val="0"/>
          <w:szCs w:val="21"/>
        </w:rPr>
      </w:pPr>
    </w:p>
    <w:p>
      <w:pPr>
        <w:keepNext w:val="0"/>
        <w:keepLines w:val="0"/>
        <w:widowControl/>
        <w:suppressLineNumbers w:val="0"/>
        <w:ind w:firstLine="660" w:firstLineChars="3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部门：湘乡市住房和城乡建设局                                                                                        公开05表</w:t>
      </w:r>
    </w:p>
    <w:p>
      <w:pPr>
        <w:widowControl/>
        <w:ind w:firstLine="13440" w:firstLineChars="6400"/>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单位：万元</w:t>
      </w:r>
    </w:p>
    <w:tbl>
      <w:tblPr>
        <w:tblStyle w:val="7"/>
        <w:tblW w:w="14219" w:type="dxa"/>
        <w:jc w:val="center"/>
        <w:tblLayout w:type="autofit"/>
        <w:tblCellMar>
          <w:top w:w="0" w:type="dxa"/>
          <w:left w:w="108" w:type="dxa"/>
          <w:bottom w:w="0" w:type="dxa"/>
          <w:right w:w="108" w:type="dxa"/>
        </w:tblCellMar>
      </w:tblPr>
      <w:tblGrid>
        <w:gridCol w:w="1200"/>
        <w:gridCol w:w="3968"/>
        <w:gridCol w:w="2559"/>
        <w:gridCol w:w="3492"/>
        <w:gridCol w:w="3000"/>
      </w:tblGrid>
      <w:tr>
        <w:tblPrEx>
          <w:tblCellMar>
            <w:top w:w="0" w:type="dxa"/>
            <w:left w:w="108" w:type="dxa"/>
            <w:bottom w:w="0" w:type="dxa"/>
            <w:right w:w="108" w:type="dxa"/>
          </w:tblCellMar>
        </w:tblPrEx>
        <w:trPr>
          <w:trHeight w:val="405" w:hRule="atLeast"/>
          <w:jc w:val="center"/>
        </w:trPr>
        <w:tc>
          <w:tcPr>
            <w:tcW w:w="5168"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9051"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96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55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968"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5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968"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5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16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栏次</w:t>
            </w:r>
          </w:p>
        </w:tc>
        <w:tc>
          <w:tcPr>
            <w:tcW w:w="2559"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3</w:t>
            </w:r>
          </w:p>
        </w:tc>
      </w:tr>
      <w:tr>
        <w:tblPrEx>
          <w:tblCellMar>
            <w:top w:w="0" w:type="dxa"/>
            <w:left w:w="108" w:type="dxa"/>
            <w:bottom w:w="0" w:type="dxa"/>
            <w:right w:w="108" w:type="dxa"/>
          </w:tblCellMar>
        </w:tblPrEx>
        <w:trPr>
          <w:trHeight w:val="450" w:hRule="atLeast"/>
          <w:jc w:val="center"/>
        </w:trPr>
        <w:tc>
          <w:tcPr>
            <w:tcW w:w="5168"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合计</w:t>
            </w:r>
          </w:p>
        </w:tc>
        <w:tc>
          <w:tcPr>
            <w:tcW w:w="2559"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bCs/>
                <w:color w:val="auto"/>
                <w:kern w:val="0"/>
                <w:szCs w:val="21"/>
              </w:rPr>
            </w:pPr>
            <w:r>
              <w:rPr>
                <w:rFonts w:hint="eastAsia" w:ascii="宋体" w:hAnsi="宋体" w:eastAsia="宋体" w:cs="宋体"/>
                <w:b/>
                <w:bCs/>
                <w:i w:val="0"/>
                <w:color w:val="auto"/>
                <w:kern w:val="0"/>
                <w:sz w:val="22"/>
                <w:szCs w:val="22"/>
                <w:u w:val="none"/>
                <w:lang w:val="en-US" w:eastAsia="zh-CN" w:bidi="ar"/>
              </w:rPr>
              <w:t>4695.07</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bCs/>
                <w:color w:val="auto"/>
                <w:kern w:val="0"/>
                <w:szCs w:val="21"/>
              </w:rPr>
            </w:pPr>
            <w:r>
              <w:rPr>
                <w:rFonts w:hint="eastAsia" w:ascii="宋体" w:hAnsi="宋体" w:eastAsia="宋体" w:cs="宋体"/>
                <w:b/>
                <w:bCs/>
                <w:i w:val="0"/>
                <w:color w:val="auto"/>
                <w:kern w:val="0"/>
                <w:sz w:val="22"/>
                <w:szCs w:val="22"/>
                <w:u w:val="none"/>
                <w:lang w:val="en-US" w:eastAsia="zh-CN" w:bidi="ar"/>
              </w:rPr>
              <w:t>2970.10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bCs/>
                <w:color w:val="auto"/>
                <w:kern w:val="0"/>
                <w:szCs w:val="21"/>
              </w:rPr>
            </w:pPr>
            <w:r>
              <w:rPr>
                <w:rFonts w:hint="eastAsia" w:ascii="宋体" w:hAnsi="宋体" w:eastAsia="宋体" w:cs="宋体"/>
                <w:b/>
                <w:bCs/>
                <w:i w:val="0"/>
                <w:color w:val="auto"/>
                <w:kern w:val="0"/>
                <w:sz w:val="22"/>
                <w:szCs w:val="22"/>
                <w:u w:val="none"/>
                <w:lang w:val="en-US" w:eastAsia="zh-CN" w:bidi="ar"/>
              </w:rPr>
              <w:t>1724.96</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246.01</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246.01</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行政事业单位养老支出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213.16</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213.16</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行政单位离退休</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0.19</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0.19</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2080505</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212.97</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212.97</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20827</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财政对其他社会保险基金的补助</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2.29</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2.29</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2082701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财政对失业保险基金的补助</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1.27</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1.27</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2082702</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财政对工伤保险基金的补助</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1.02</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1.02</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20899</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其他社会保障和就业支出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30.56</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30.56</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2089901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其他社会保障和就业支出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30.56</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30.56</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卫生健康支出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110.65</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110.65</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行政事业单位医疗</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110.65</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110.65</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行政单位医疗</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81.37</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81.37</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2101102</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事业单位医疗</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29.28</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29.28</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21012</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财政对基本医疗保险基金的补助</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2101299</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财政对其他基本医疗保险基金的补助</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节能环保支出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173.00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173.00</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21103</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污染防治</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173.00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173.00</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2110302</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水体</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173.00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173.00</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城乡社区支出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3797.06</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2447.89</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1349.17</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城乡社区管理事务</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2113.12</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1890.95</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222.17</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2120101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行政运行</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1816.42</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1816.42</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2120102</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一般行政管理事务</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79.64</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79.64</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2120103</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机关服务</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50.00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50.00</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2120106</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工程建设管理</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71.33</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12.00</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59.33</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2120109</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住宅建设与房地产市场监管</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57.73</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57.73</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2120199</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其他城乡社区管理事务支出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38.00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12.52</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25.48</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21202</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城乡社区规划与管理</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40.00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40.00</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2120201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城乡社区规划与管理</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40.00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40.00</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21203</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城乡社区公共设施</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1126.99</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1126.99</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2120303</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小城镇基础设施建设</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632.36</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632.36</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2120399</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其他城乡社区公共设施支出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494.63</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494.63</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21206</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建设市场管理与监督</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357.45</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357.45</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2120601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建设市场管理与监督</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357.45</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357.45</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21299</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其他城乡社区支出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159.50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159.50</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2129901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其他城乡社区支出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159.50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159.50</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住房保障支出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368.35</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165.56</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202.80</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保障性安居工程支出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248.62</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45.83</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202.80</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2210106</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公共租赁住房</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6.00</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6.00</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2210199</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其他保障性安居工程支出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242.62</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45.83</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196.80</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22102</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住房改革支出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119.73</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119.73</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2210201</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住房公积金</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119.73</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119.73</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22103</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城乡社区住宅</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2210399</w:t>
            </w:r>
          </w:p>
        </w:tc>
        <w:tc>
          <w:tcPr>
            <w:tcW w:w="396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其他城乡社区住宅支出</w:t>
            </w:r>
          </w:p>
        </w:tc>
        <w:tc>
          <w:tcPr>
            <w:tcW w:w="2559"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single" w:color="auto" w:sz="8" w:space="0"/>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7"/>
        <w:tblW w:w="15644" w:type="dxa"/>
        <w:tblInd w:w="0" w:type="dxa"/>
        <w:tblLayout w:type="fixed"/>
        <w:tblCellMar>
          <w:top w:w="0" w:type="dxa"/>
          <w:left w:w="108" w:type="dxa"/>
          <w:bottom w:w="0" w:type="dxa"/>
          <w:right w:w="108" w:type="dxa"/>
        </w:tblCellMar>
      </w:tblPr>
      <w:tblGrid>
        <w:gridCol w:w="1185"/>
        <w:gridCol w:w="2310"/>
        <w:gridCol w:w="2179"/>
        <w:gridCol w:w="1166"/>
        <w:gridCol w:w="2258"/>
        <w:gridCol w:w="874"/>
        <w:gridCol w:w="1173"/>
        <w:gridCol w:w="3375"/>
        <w:gridCol w:w="1124"/>
      </w:tblGrid>
      <w:tr>
        <w:tblPrEx>
          <w:tblCellMar>
            <w:top w:w="0" w:type="dxa"/>
            <w:left w:w="108" w:type="dxa"/>
            <w:bottom w:w="0" w:type="dxa"/>
            <w:right w:w="108" w:type="dxa"/>
          </w:tblCellMar>
        </w:tblPrEx>
        <w:trPr>
          <w:trHeight w:val="113" w:hRule="atLeast"/>
        </w:trPr>
        <w:tc>
          <w:tcPr>
            <w:tcW w:w="1564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b/>
                <w:bCs/>
                <w:color w:val="000000"/>
                <w:kern w:val="0"/>
                <w:sz w:val="28"/>
                <w:szCs w:val="28"/>
              </w:rPr>
            </w:pPr>
            <w:bookmarkStart w:id="2" w:name="RANGE!A1:I34"/>
            <w:r>
              <w:rPr>
                <w:rFonts w:hint="eastAsia" w:ascii="华文中宋" w:hAnsi="华文中宋" w:eastAsia="华文中宋" w:cs="宋体"/>
                <w:b/>
                <w:bCs/>
                <w:color w:val="000000"/>
                <w:kern w:val="0"/>
                <w:sz w:val="28"/>
                <w:szCs w:val="28"/>
              </w:rPr>
              <w:t>一般公共预算财政拨款基本支出决算表</w:t>
            </w:r>
            <w:bookmarkEnd w:id="2"/>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部门：湘乡市住房和城乡建设局                                                                                                                                    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经济分类科目编码</w:t>
            </w:r>
          </w:p>
        </w:tc>
        <w:tc>
          <w:tcPr>
            <w:tcW w:w="23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科目名称</w:t>
            </w:r>
          </w:p>
        </w:tc>
        <w:tc>
          <w:tcPr>
            <w:tcW w:w="217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决算数</w:t>
            </w:r>
          </w:p>
        </w:tc>
        <w:tc>
          <w:tcPr>
            <w:tcW w:w="116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经济分类科目编码</w:t>
            </w:r>
          </w:p>
        </w:tc>
        <w:tc>
          <w:tcPr>
            <w:tcW w:w="225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科目名称</w:t>
            </w:r>
          </w:p>
        </w:tc>
        <w:tc>
          <w:tcPr>
            <w:tcW w:w="87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决算数</w:t>
            </w:r>
          </w:p>
        </w:tc>
        <w:tc>
          <w:tcPr>
            <w:tcW w:w="117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经济分类科目编码</w:t>
            </w:r>
          </w:p>
        </w:tc>
        <w:tc>
          <w:tcPr>
            <w:tcW w:w="33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科目名称</w:t>
            </w:r>
          </w:p>
        </w:tc>
        <w:tc>
          <w:tcPr>
            <w:tcW w:w="112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决算数</w:t>
            </w:r>
          </w:p>
        </w:tc>
      </w:tr>
      <w:tr>
        <w:tblPrEx>
          <w:tblCellMar>
            <w:top w:w="0" w:type="dxa"/>
            <w:left w:w="108" w:type="dxa"/>
            <w:bottom w:w="0" w:type="dxa"/>
            <w:right w:w="108" w:type="dxa"/>
          </w:tblCellMar>
        </w:tblPrEx>
        <w:trPr>
          <w:trHeight w:val="309"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工资福利支出</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2463.59</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商品和服务支出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428.95</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307</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债务利息及费用支出</w:t>
            </w: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30101</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基本工资</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771.08</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30201</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办公费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52.72</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30701</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国内债务付息</w:t>
            </w: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30102</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津贴补贴</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298.11</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30202</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印刷费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1.95</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30702</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国外债务付息</w:t>
            </w: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30103</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奖金</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397.53</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30203</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咨询费</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资本性支出</w:t>
            </w:r>
          </w:p>
        </w:tc>
        <w:tc>
          <w:tcPr>
            <w:tcW w:w="11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10.80</w:t>
            </w: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30106</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伙食补助费</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140.63</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30204</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手续费</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31001</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房屋建筑物购建</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30107</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绩效工资</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131.34</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30205</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水费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1.12</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31002</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办公设备购置</w:t>
            </w:r>
          </w:p>
        </w:tc>
        <w:tc>
          <w:tcPr>
            <w:tcW w:w="11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8.80</w:t>
            </w: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30108</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机关事业单位基本养老保险缴费</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238.48</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30206</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电费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4.16</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31003</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专用设备购置</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30109</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职业年金缴费</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83.13</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30207</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邮电费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3.76</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31005</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基础设施建设</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30110</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职工基本医疗保险缴费</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114.52</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30208</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取暖费</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31006</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大型修缮</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30111</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公务员医疗补助缴费</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32.63</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30209</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物业管理费</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31007</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信息网络及软件购置更新</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30112</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其他社会保障缴费</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16.58</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30211</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差旅费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16.95</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31008</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物资储备</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30113</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住房公积金</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212.76</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30212</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因公出国（境）费用</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31009</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土地补偿</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30114</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医疗费</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30213</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维修（护）费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11.11</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31010</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安置补助</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30199</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其他工资福利支出</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26.79</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30214</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租赁费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0.70</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31011</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地上附着物和青苗补偿</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对个人和家庭的补助</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66.77</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30215</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会议费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1.38</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31012</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拆迁补偿</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30301</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离休费</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30216</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培训费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1.09</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31013</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公务用车购置</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30302</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退休费</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30217</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公务接待费</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31019</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其他交通工具购置</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30303</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退职（役）费</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30218</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专用材料费</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31021</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文物和陈列品购置</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30304</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抚恤金</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18.70</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30224</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被装购置费</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31022</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无形资产购置</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30305</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生活补助</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36.04</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30225</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专用燃料费</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31099</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其他资本性支出</w:t>
            </w:r>
          </w:p>
        </w:tc>
        <w:tc>
          <w:tcPr>
            <w:tcW w:w="11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2.00</w:t>
            </w: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30306</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救济费</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30226</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劳务费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4.49</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399</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其他支出</w:t>
            </w:r>
          </w:p>
        </w:tc>
        <w:tc>
          <w:tcPr>
            <w:tcW w:w="112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30307</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医疗费补助</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30227</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委托业务费</w:t>
            </w:r>
          </w:p>
        </w:tc>
        <w:tc>
          <w:tcPr>
            <w:tcW w:w="874"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39906</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赠与</w:t>
            </w: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30308</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助学金</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30228</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工会经费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99.83</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39907</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国家赔偿费用支出</w:t>
            </w: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30309</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奖励金</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30229</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福利费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32.23</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39908</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对民间非营利组织和群众性自治组织补贴</w:t>
            </w: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30310</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个人农业生产补贴</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30231</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公务用车运行维护费</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2.95</w:t>
            </w:r>
          </w:p>
        </w:tc>
        <w:tc>
          <w:tcPr>
            <w:tcW w:w="11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39999</w:t>
            </w:r>
          </w:p>
        </w:tc>
        <w:tc>
          <w:tcPr>
            <w:tcW w:w="33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其他支出</w:t>
            </w: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30311</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代缴社会保险费</w:t>
            </w:r>
          </w:p>
        </w:tc>
        <w:tc>
          <w:tcPr>
            <w:tcW w:w="2179"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30239</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其他交通费用</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111.00</w:t>
            </w:r>
          </w:p>
        </w:tc>
        <w:tc>
          <w:tcPr>
            <w:tcW w:w="1173"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3375" w:type="dxa"/>
            <w:tcBorders>
              <w:top w:val="nil"/>
              <w:left w:val="nil"/>
              <w:bottom w:val="single" w:color="auto" w:sz="4" w:space="0"/>
              <w:right w:val="single" w:color="auto" w:sz="4" w:space="0"/>
            </w:tcBorders>
            <w:shd w:val="clear" w:color="auto" w:fill="auto"/>
            <w:noWrap/>
            <w:vAlign w:val="center"/>
          </w:tcPr>
          <w:p>
            <w:pPr>
              <w:jc w:val="both"/>
              <w:rPr>
                <w:rFonts w:hint="eastAsia" w:ascii="宋体" w:hAnsi="宋体" w:eastAsia="宋体" w:cs="宋体"/>
                <w:color w:val="000000"/>
                <w:kern w:val="0"/>
                <w:sz w:val="18"/>
                <w:szCs w:val="18"/>
              </w:rPr>
            </w:pP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30399</w:t>
            </w:r>
          </w:p>
        </w:tc>
        <w:tc>
          <w:tcPr>
            <w:tcW w:w="23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其他对个人和家庭的补助</w:t>
            </w:r>
          </w:p>
        </w:tc>
        <w:tc>
          <w:tcPr>
            <w:tcW w:w="21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12.03</w:t>
            </w: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30240</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税金及附加费用</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1.97</w:t>
            </w:r>
          </w:p>
        </w:tc>
        <w:tc>
          <w:tcPr>
            <w:tcW w:w="1173"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3375" w:type="dxa"/>
            <w:tcBorders>
              <w:top w:val="nil"/>
              <w:left w:val="nil"/>
              <w:bottom w:val="single" w:color="auto" w:sz="4" w:space="0"/>
              <w:right w:val="single" w:color="auto" w:sz="4" w:space="0"/>
            </w:tcBorders>
            <w:shd w:val="clear" w:color="auto" w:fill="auto"/>
            <w:noWrap/>
            <w:vAlign w:val="center"/>
          </w:tcPr>
          <w:p>
            <w:pPr>
              <w:jc w:val="left"/>
              <w:rPr>
                <w:rFonts w:hint="eastAsia" w:ascii="宋体" w:hAnsi="宋体" w:eastAsia="宋体" w:cs="宋体"/>
                <w:color w:val="000000"/>
                <w:kern w:val="0"/>
                <w:sz w:val="18"/>
                <w:szCs w:val="18"/>
              </w:rPr>
            </w:pP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11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17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p>
        </w:tc>
        <w:tc>
          <w:tcPr>
            <w:tcW w:w="11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30299</w:t>
            </w:r>
          </w:p>
        </w:tc>
        <w:tc>
          <w:tcPr>
            <w:tcW w:w="225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其他商品和服务支出</w:t>
            </w:r>
          </w:p>
        </w:tc>
        <w:tc>
          <w:tcPr>
            <w:tcW w:w="8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color w:val="000000"/>
                <w:kern w:val="0"/>
                <w:sz w:val="18"/>
                <w:szCs w:val="18"/>
                <w:u w:val="none"/>
                <w:lang w:val="en-US" w:eastAsia="zh-CN" w:bidi="ar"/>
              </w:rPr>
              <w:t>81.54</w:t>
            </w:r>
          </w:p>
        </w:tc>
        <w:tc>
          <w:tcPr>
            <w:tcW w:w="1173"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kern w:val="0"/>
                <w:sz w:val="18"/>
                <w:szCs w:val="18"/>
              </w:rPr>
            </w:pPr>
          </w:p>
        </w:tc>
        <w:tc>
          <w:tcPr>
            <w:tcW w:w="3375" w:type="dxa"/>
            <w:tcBorders>
              <w:top w:val="nil"/>
              <w:left w:val="nil"/>
              <w:bottom w:val="single" w:color="auto" w:sz="4" w:space="0"/>
              <w:right w:val="single" w:color="auto" w:sz="4" w:space="0"/>
            </w:tcBorders>
            <w:shd w:val="clear" w:color="auto" w:fill="auto"/>
            <w:noWrap/>
            <w:vAlign w:val="center"/>
          </w:tcPr>
          <w:p>
            <w:pPr>
              <w:jc w:val="left"/>
              <w:rPr>
                <w:rFonts w:hint="eastAsia" w:ascii="宋体" w:hAnsi="宋体" w:eastAsia="宋体" w:cs="宋体"/>
                <w:color w:val="000000"/>
                <w:kern w:val="0"/>
                <w:sz w:val="18"/>
                <w:szCs w:val="18"/>
              </w:rPr>
            </w:pPr>
          </w:p>
        </w:tc>
        <w:tc>
          <w:tcPr>
            <w:tcW w:w="112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284" w:hRule="exact"/>
        </w:trPr>
        <w:tc>
          <w:tcPr>
            <w:tcW w:w="34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人员经费合计</w:t>
            </w:r>
          </w:p>
        </w:tc>
        <w:tc>
          <w:tcPr>
            <w:tcW w:w="217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2530.36</w:t>
            </w:r>
          </w:p>
        </w:tc>
        <w:tc>
          <w:tcPr>
            <w:tcW w:w="8846"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公用经费合计</w:t>
            </w:r>
          </w:p>
        </w:tc>
        <w:tc>
          <w:tcPr>
            <w:tcW w:w="112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439.75</w:t>
            </w:r>
          </w:p>
        </w:tc>
      </w:tr>
      <w:tr>
        <w:tblPrEx>
          <w:tblCellMar>
            <w:top w:w="0" w:type="dxa"/>
            <w:left w:w="108" w:type="dxa"/>
            <w:bottom w:w="0" w:type="dxa"/>
            <w:right w:w="108" w:type="dxa"/>
          </w:tblCellMar>
        </w:tblPrEx>
        <w:trPr>
          <w:trHeight w:val="284" w:hRule="exact"/>
        </w:trPr>
        <w:tc>
          <w:tcPr>
            <w:tcW w:w="1564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i w:val="0"/>
                <w:color w:val="000000"/>
                <w:kern w:val="0"/>
                <w:sz w:val="18"/>
                <w:szCs w:val="18"/>
                <w:u w:val="none"/>
                <w:lang w:val="en-US" w:eastAsia="zh-CN" w:bidi="ar"/>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：湘乡市住房和城乡建设局</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5000" w:type="pct"/>
        <w:jc w:val="center"/>
        <w:tblLayout w:type="autofit"/>
        <w:tblCellMar>
          <w:top w:w="0" w:type="dxa"/>
          <w:left w:w="108" w:type="dxa"/>
          <w:bottom w:w="0" w:type="dxa"/>
          <w:right w:w="108" w:type="dxa"/>
        </w:tblCellMar>
      </w:tblPr>
      <w:tblGrid>
        <w:gridCol w:w="1299"/>
        <w:gridCol w:w="1299"/>
        <w:gridCol w:w="1299"/>
        <w:gridCol w:w="1299"/>
        <w:gridCol w:w="1302"/>
        <w:gridCol w:w="1312"/>
        <w:gridCol w:w="1299"/>
        <w:gridCol w:w="1299"/>
        <w:gridCol w:w="1299"/>
        <w:gridCol w:w="1299"/>
        <w:gridCol w:w="1302"/>
        <w:gridCol w:w="1306"/>
      </w:tblGrid>
      <w:tr>
        <w:tblPrEx>
          <w:tblCellMar>
            <w:top w:w="0" w:type="dxa"/>
            <w:left w:w="108" w:type="dxa"/>
            <w:bottom w:w="0" w:type="dxa"/>
            <w:right w:w="108" w:type="dxa"/>
          </w:tblCellMar>
        </w:tblPrEx>
        <w:trPr>
          <w:trHeight w:val="647" w:hRule="atLeast"/>
          <w:jc w:val="center"/>
        </w:trPr>
        <w:tc>
          <w:tcPr>
            <w:tcW w:w="2500" w:type="pct"/>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2500" w:type="pct"/>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547" w:hRule="atLeast"/>
          <w:jc w:val="center"/>
        </w:trPr>
        <w:tc>
          <w:tcPr>
            <w:tcW w:w="416" w:type="pct"/>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416"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1249" w:type="pct"/>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416"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416" w:type="pct"/>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416"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1249" w:type="pct"/>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416" w:type="pct"/>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416" w:type="pct"/>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16"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416"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16" w:type="pct"/>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16"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416" w:type="pct"/>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2" w:hRule="atLeast"/>
          <w:jc w:val="center"/>
        </w:trPr>
        <w:tc>
          <w:tcPr>
            <w:tcW w:w="416" w:type="pc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416"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416" w:type="pct"/>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892" w:hRule="atLeast"/>
          <w:jc w:val="center"/>
        </w:trPr>
        <w:tc>
          <w:tcPr>
            <w:tcW w:w="416" w:type="pct"/>
            <w:tcBorders>
              <w:top w:val="nil"/>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70</w:t>
            </w:r>
          </w:p>
        </w:tc>
        <w:tc>
          <w:tcPr>
            <w:tcW w:w="416" w:type="pct"/>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p>
        </w:tc>
        <w:tc>
          <w:tcPr>
            <w:tcW w:w="416" w:type="pct"/>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21.5</w:t>
            </w:r>
          </w:p>
        </w:tc>
        <w:tc>
          <w:tcPr>
            <w:tcW w:w="416" w:type="pct"/>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p>
        </w:tc>
        <w:tc>
          <w:tcPr>
            <w:tcW w:w="416" w:type="pct"/>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21.5</w:t>
            </w:r>
          </w:p>
        </w:tc>
        <w:tc>
          <w:tcPr>
            <w:tcW w:w="416" w:type="pct"/>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eastAsia" w:ascii="Times New Roman" w:hAnsi="Times New Roman" w:eastAsia="仿宋_GB2312" w:cs="Times New Roman"/>
                <w:kern w:val="0"/>
                <w:szCs w:val="21"/>
                <w:lang w:val="en-US" w:eastAsia="zh-CN"/>
              </w:rPr>
              <w:t>48.5</w:t>
            </w:r>
          </w:p>
        </w:tc>
        <w:tc>
          <w:tcPr>
            <w:tcW w:w="416" w:type="pct"/>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3.47</w:t>
            </w:r>
          </w:p>
        </w:tc>
        <w:tc>
          <w:tcPr>
            <w:tcW w:w="416" w:type="pct"/>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p>
        </w:tc>
        <w:tc>
          <w:tcPr>
            <w:tcW w:w="416" w:type="pct"/>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2.95</w:t>
            </w:r>
          </w:p>
        </w:tc>
        <w:tc>
          <w:tcPr>
            <w:tcW w:w="416" w:type="pct"/>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p>
        </w:tc>
        <w:tc>
          <w:tcPr>
            <w:tcW w:w="416" w:type="pct"/>
            <w:tcBorders>
              <w:top w:val="nil"/>
              <w:left w:val="nil"/>
              <w:bottom w:val="single" w:color="auto" w:sz="8"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2.95</w:t>
            </w:r>
          </w:p>
        </w:tc>
        <w:tc>
          <w:tcPr>
            <w:tcW w:w="416" w:type="pct"/>
            <w:tcBorders>
              <w:top w:val="nil"/>
              <w:left w:val="single" w:color="auto" w:sz="4"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hint="eastAsia" w:ascii="Times New Roman" w:hAnsi="Times New Roman" w:eastAsia="仿宋_GB2312" w:cs="Times New Roman"/>
                <w:kern w:val="0"/>
                <w:szCs w:val="21"/>
                <w:lang w:val="en-US" w:eastAsia="zh-CN"/>
              </w:rPr>
              <w:t>0.52</w:t>
            </w:r>
          </w:p>
        </w:tc>
      </w:tr>
    </w:tbl>
    <w:p>
      <w:pPr>
        <w:widowControl/>
        <w:jc w:val="left"/>
        <w:rPr>
          <w:rFonts w:hint="eastAsia" w:ascii="宋体" w:eastAsia="宋体" w:cs="宋体"/>
          <w:kern w:val="0"/>
          <w:sz w:val="24"/>
          <w:szCs w:val="24"/>
        </w:rPr>
      </w:pPr>
    </w:p>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ind w:left="13650" w:leftChars="200" w:hanging="13230" w:hangingChars="6300"/>
        <w:jc w:val="left"/>
        <w:rPr>
          <w:rFonts w:hint="eastAsia" w:ascii="Times New Roman" w:hAnsi="Times New Roman" w:eastAsia="仿宋_GB2312" w:cs="Times New Roman"/>
          <w:color w:val="000000"/>
          <w:kern w:val="0"/>
          <w:szCs w:val="21"/>
          <w:lang w:val="en-US" w:eastAsia="zh-CN"/>
        </w:rPr>
      </w:pPr>
    </w:p>
    <w:p>
      <w:pPr>
        <w:widowControl/>
        <w:ind w:left="13650" w:leftChars="200" w:hanging="13230" w:hangingChars="630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部门：  湘乡市住房和城乡建设局                                                                                              </w:t>
      </w:r>
      <w:r>
        <w:rPr>
          <w:rFonts w:ascii="Times New Roman" w:hAnsi="Times New Roman" w:eastAsia="仿宋_GB2312" w:cs="Times New Roman"/>
          <w:color w:val="000000"/>
          <w:kern w:val="0"/>
          <w:szCs w:val="21"/>
        </w:rPr>
        <w:t>公开08表</w:t>
      </w:r>
    </w:p>
    <w:p>
      <w:pPr>
        <w:widowControl/>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3363"/>
        <w:gridCol w:w="1920"/>
        <w:gridCol w:w="1230"/>
        <w:gridCol w:w="1335"/>
        <w:gridCol w:w="1440"/>
        <w:gridCol w:w="1605"/>
        <w:gridCol w:w="242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483"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9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23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438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427"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363"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920" w:type="dxa"/>
            <w:vMerge w:val="continue"/>
            <w:vAlign w:val="center"/>
          </w:tcPr>
          <w:p>
            <w:pPr>
              <w:widowControl/>
              <w:jc w:val="left"/>
              <w:rPr>
                <w:rFonts w:ascii="Times New Roman" w:hAnsi="Times New Roman" w:eastAsia="仿宋_GB2312" w:cs="Times New Roman"/>
                <w:b/>
                <w:kern w:val="0"/>
                <w:szCs w:val="21"/>
              </w:rPr>
            </w:pPr>
          </w:p>
        </w:tc>
        <w:tc>
          <w:tcPr>
            <w:tcW w:w="1230" w:type="dxa"/>
            <w:vMerge w:val="continue"/>
            <w:vAlign w:val="center"/>
          </w:tcPr>
          <w:p>
            <w:pPr>
              <w:widowControl/>
              <w:jc w:val="left"/>
              <w:rPr>
                <w:rFonts w:ascii="Times New Roman" w:hAnsi="Times New Roman" w:eastAsia="仿宋_GB2312" w:cs="Times New Roman"/>
                <w:b/>
                <w:kern w:val="0"/>
                <w:szCs w:val="21"/>
              </w:rPr>
            </w:pPr>
          </w:p>
        </w:tc>
        <w:tc>
          <w:tcPr>
            <w:tcW w:w="133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1440" w:type="dxa"/>
            <w:vMerge w:val="restart"/>
            <w:shd w:val="clear" w:color="auto" w:fill="auto"/>
            <w:vAlign w:val="center"/>
          </w:tcPr>
          <w:p>
            <w:pPr>
              <w:widowControl/>
              <w:jc w:val="center"/>
              <w:rPr>
                <w:rFonts w:hint="eastAsia" w:ascii="Times New Roman" w:hAnsi="Times New Roman" w:eastAsia="仿宋_GB2312" w:cs="Times New Roman"/>
                <w:b/>
                <w:kern w:val="0"/>
                <w:szCs w:val="21"/>
                <w:lang w:eastAsia="zh-CN"/>
              </w:rPr>
            </w:pPr>
            <w:r>
              <w:rPr>
                <w:rFonts w:ascii="Times New Roman" w:hAnsi="Times New Roman" w:eastAsia="仿宋_GB2312" w:cs="Times New Roman"/>
                <w:b/>
                <w:kern w:val="0"/>
                <w:szCs w:val="21"/>
              </w:rPr>
              <w:t>基本支出</w:t>
            </w:r>
          </w:p>
        </w:tc>
        <w:tc>
          <w:tcPr>
            <w:tcW w:w="160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427"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363" w:type="dxa"/>
            <w:vMerge w:val="continue"/>
            <w:vAlign w:val="center"/>
          </w:tcPr>
          <w:p>
            <w:pPr>
              <w:widowControl/>
              <w:jc w:val="left"/>
              <w:rPr>
                <w:rFonts w:ascii="Times New Roman" w:hAnsi="Times New Roman" w:eastAsia="仿宋_GB2312" w:cs="Times New Roman"/>
                <w:kern w:val="0"/>
                <w:szCs w:val="21"/>
              </w:rPr>
            </w:pPr>
          </w:p>
        </w:tc>
        <w:tc>
          <w:tcPr>
            <w:tcW w:w="1920" w:type="dxa"/>
            <w:vMerge w:val="continue"/>
            <w:vAlign w:val="center"/>
          </w:tcPr>
          <w:p>
            <w:pPr>
              <w:widowControl/>
              <w:jc w:val="left"/>
              <w:rPr>
                <w:rFonts w:ascii="Times New Roman" w:hAnsi="Times New Roman" w:eastAsia="仿宋_GB2312" w:cs="Times New Roman"/>
                <w:kern w:val="0"/>
                <w:szCs w:val="21"/>
              </w:rPr>
            </w:pPr>
          </w:p>
        </w:tc>
        <w:tc>
          <w:tcPr>
            <w:tcW w:w="1230" w:type="dxa"/>
            <w:vMerge w:val="continue"/>
            <w:vAlign w:val="center"/>
          </w:tcPr>
          <w:p>
            <w:pPr>
              <w:widowControl/>
              <w:jc w:val="left"/>
              <w:rPr>
                <w:rFonts w:ascii="Times New Roman" w:hAnsi="Times New Roman" w:eastAsia="仿宋_GB2312" w:cs="Times New Roman"/>
                <w:kern w:val="0"/>
                <w:szCs w:val="21"/>
              </w:rPr>
            </w:pPr>
          </w:p>
        </w:tc>
        <w:tc>
          <w:tcPr>
            <w:tcW w:w="1335" w:type="dxa"/>
            <w:vMerge w:val="continue"/>
            <w:vAlign w:val="center"/>
          </w:tcPr>
          <w:p>
            <w:pPr>
              <w:widowControl/>
              <w:jc w:val="left"/>
              <w:rPr>
                <w:rFonts w:ascii="Times New Roman" w:hAnsi="Times New Roman" w:eastAsia="仿宋_GB2312" w:cs="Times New Roman"/>
                <w:kern w:val="0"/>
                <w:szCs w:val="21"/>
              </w:rPr>
            </w:pPr>
          </w:p>
        </w:tc>
        <w:tc>
          <w:tcPr>
            <w:tcW w:w="1440" w:type="dxa"/>
            <w:vMerge w:val="continue"/>
            <w:vAlign w:val="center"/>
          </w:tcPr>
          <w:p>
            <w:pPr>
              <w:widowControl/>
              <w:jc w:val="left"/>
              <w:rPr>
                <w:rFonts w:ascii="Times New Roman" w:hAnsi="Times New Roman" w:eastAsia="仿宋_GB2312" w:cs="Times New Roman"/>
                <w:kern w:val="0"/>
                <w:szCs w:val="21"/>
              </w:rPr>
            </w:pPr>
          </w:p>
        </w:tc>
        <w:tc>
          <w:tcPr>
            <w:tcW w:w="1605" w:type="dxa"/>
            <w:vMerge w:val="continue"/>
            <w:vAlign w:val="center"/>
          </w:tcPr>
          <w:p>
            <w:pPr>
              <w:widowControl/>
              <w:jc w:val="left"/>
              <w:rPr>
                <w:rFonts w:ascii="Times New Roman" w:hAnsi="Times New Roman" w:eastAsia="仿宋_GB2312" w:cs="Times New Roman"/>
                <w:kern w:val="0"/>
                <w:szCs w:val="21"/>
              </w:rPr>
            </w:pPr>
          </w:p>
        </w:tc>
        <w:tc>
          <w:tcPr>
            <w:tcW w:w="2427"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363" w:type="dxa"/>
            <w:vMerge w:val="continue"/>
            <w:vAlign w:val="center"/>
          </w:tcPr>
          <w:p>
            <w:pPr>
              <w:widowControl/>
              <w:jc w:val="left"/>
              <w:rPr>
                <w:rFonts w:ascii="Times New Roman" w:hAnsi="Times New Roman" w:eastAsia="仿宋_GB2312" w:cs="Times New Roman"/>
                <w:kern w:val="0"/>
                <w:szCs w:val="21"/>
              </w:rPr>
            </w:pPr>
          </w:p>
        </w:tc>
        <w:tc>
          <w:tcPr>
            <w:tcW w:w="1920" w:type="dxa"/>
            <w:vMerge w:val="continue"/>
            <w:vAlign w:val="center"/>
          </w:tcPr>
          <w:p>
            <w:pPr>
              <w:widowControl/>
              <w:jc w:val="left"/>
              <w:rPr>
                <w:rFonts w:ascii="Times New Roman" w:hAnsi="Times New Roman" w:eastAsia="仿宋_GB2312" w:cs="Times New Roman"/>
                <w:kern w:val="0"/>
                <w:szCs w:val="21"/>
              </w:rPr>
            </w:pPr>
          </w:p>
        </w:tc>
        <w:tc>
          <w:tcPr>
            <w:tcW w:w="1230" w:type="dxa"/>
            <w:vMerge w:val="continue"/>
            <w:vAlign w:val="center"/>
          </w:tcPr>
          <w:p>
            <w:pPr>
              <w:widowControl/>
              <w:jc w:val="left"/>
              <w:rPr>
                <w:rFonts w:ascii="Times New Roman" w:hAnsi="Times New Roman" w:eastAsia="仿宋_GB2312" w:cs="Times New Roman"/>
                <w:kern w:val="0"/>
                <w:szCs w:val="21"/>
              </w:rPr>
            </w:pPr>
          </w:p>
        </w:tc>
        <w:tc>
          <w:tcPr>
            <w:tcW w:w="1335" w:type="dxa"/>
            <w:vMerge w:val="continue"/>
            <w:vAlign w:val="center"/>
          </w:tcPr>
          <w:p>
            <w:pPr>
              <w:widowControl/>
              <w:jc w:val="left"/>
              <w:rPr>
                <w:rFonts w:ascii="Times New Roman" w:hAnsi="Times New Roman" w:eastAsia="仿宋_GB2312" w:cs="Times New Roman"/>
                <w:kern w:val="0"/>
                <w:szCs w:val="21"/>
              </w:rPr>
            </w:pPr>
          </w:p>
        </w:tc>
        <w:tc>
          <w:tcPr>
            <w:tcW w:w="1440" w:type="dxa"/>
            <w:vMerge w:val="continue"/>
            <w:vAlign w:val="center"/>
          </w:tcPr>
          <w:p>
            <w:pPr>
              <w:widowControl/>
              <w:jc w:val="left"/>
              <w:rPr>
                <w:rFonts w:ascii="Times New Roman" w:hAnsi="Times New Roman" w:eastAsia="仿宋_GB2312" w:cs="Times New Roman"/>
                <w:kern w:val="0"/>
                <w:szCs w:val="21"/>
              </w:rPr>
            </w:pPr>
          </w:p>
        </w:tc>
        <w:tc>
          <w:tcPr>
            <w:tcW w:w="1605" w:type="dxa"/>
            <w:vMerge w:val="continue"/>
            <w:vAlign w:val="center"/>
          </w:tcPr>
          <w:p>
            <w:pPr>
              <w:widowControl/>
              <w:jc w:val="left"/>
              <w:rPr>
                <w:rFonts w:ascii="Times New Roman" w:hAnsi="Times New Roman" w:eastAsia="仿宋_GB2312" w:cs="Times New Roman"/>
                <w:kern w:val="0"/>
                <w:szCs w:val="21"/>
              </w:rPr>
            </w:pPr>
          </w:p>
        </w:tc>
        <w:tc>
          <w:tcPr>
            <w:tcW w:w="2427"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483"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9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33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44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60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427"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483"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9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3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100.00</w:t>
            </w:r>
          </w:p>
        </w:tc>
        <w:tc>
          <w:tcPr>
            <w:tcW w:w="133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100.00</w:t>
            </w:r>
          </w:p>
        </w:tc>
        <w:tc>
          <w:tcPr>
            <w:tcW w:w="144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05" w:type="dxa"/>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100.00</w:t>
            </w:r>
          </w:p>
        </w:tc>
        <w:tc>
          <w:tcPr>
            <w:tcW w:w="2427"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w:t>
            </w:r>
          </w:p>
        </w:tc>
        <w:tc>
          <w:tcPr>
            <w:tcW w:w="3363"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城乡社区支出</w:t>
            </w:r>
          </w:p>
        </w:tc>
        <w:tc>
          <w:tcPr>
            <w:tcW w:w="19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30" w:type="dxa"/>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50.00</w:t>
            </w:r>
          </w:p>
        </w:tc>
        <w:tc>
          <w:tcPr>
            <w:tcW w:w="1335" w:type="dxa"/>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50.00</w:t>
            </w:r>
          </w:p>
        </w:tc>
        <w:tc>
          <w:tcPr>
            <w:tcW w:w="14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05" w:type="dxa"/>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50.00</w:t>
            </w:r>
          </w:p>
        </w:tc>
        <w:tc>
          <w:tcPr>
            <w:tcW w:w="242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21213</w:t>
            </w:r>
          </w:p>
        </w:tc>
        <w:tc>
          <w:tcPr>
            <w:tcW w:w="3363"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城市基础设施配套费安排的支出</w:t>
            </w:r>
          </w:p>
        </w:tc>
        <w:tc>
          <w:tcPr>
            <w:tcW w:w="19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3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33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4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0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242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2121302</w:t>
            </w:r>
          </w:p>
        </w:tc>
        <w:tc>
          <w:tcPr>
            <w:tcW w:w="3363"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城市环境卫生</w:t>
            </w:r>
          </w:p>
        </w:tc>
        <w:tc>
          <w:tcPr>
            <w:tcW w:w="19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3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33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4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0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242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234</w:t>
            </w:r>
          </w:p>
        </w:tc>
        <w:tc>
          <w:tcPr>
            <w:tcW w:w="3363"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抗疫特别国债安排的支出</w:t>
            </w:r>
          </w:p>
        </w:tc>
        <w:tc>
          <w:tcPr>
            <w:tcW w:w="19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3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33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4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0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242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23401</w:t>
            </w:r>
          </w:p>
        </w:tc>
        <w:tc>
          <w:tcPr>
            <w:tcW w:w="3363"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基础设施建设</w:t>
            </w:r>
          </w:p>
        </w:tc>
        <w:tc>
          <w:tcPr>
            <w:tcW w:w="19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3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33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4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0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242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2340102</w:t>
            </w:r>
          </w:p>
        </w:tc>
        <w:tc>
          <w:tcPr>
            <w:tcW w:w="3363"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重大疫情防控救治体系建设</w:t>
            </w:r>
          </w:p>
        </w:tc>
        <w:tc>
          <w:tcPr>
            <w:tcW w:w="19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3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33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14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0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50.00</w:t>
            </w:r>
          </w:p>
        </w:tc>
        <w:tc>
          <w:tcPr>
            <w:tcW w:w="242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ind w:firstLine="420" w:firstLineChars="200"/>
        <w:jc w:val="left"/>
        <w:rPr>
          <w:rFonts w:ascii="Times New Roman" w:hAnsi="Times New Roman" w:eastAsia="仿宋_GB2312" w:cs="Times New Roman"/>
          <w:kern w:val="0"/>
          <w:szCs w:val="21"/>
        </w:rPr>
      </w:pPr>
    </w:p>
    <w:p>
      <w:pPr>
        <w:widowControl/>
        <w:ind w:firstLine="420" w:firstLineChars="2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ind w:firstLine="420" w:firstLineChars="2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7"/>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0"/>
                <w:szCs w:val="20"/>
              </w:rPr>
            </w:pPr>
          </w:p>
          <w:p>
            <w:pPr>
              <w:widowControl/>
              <w:jc w:val="right"/>
              <w:rPr>
                <w:rFonts w:hint="eastAsia" w:ascii="宋体" w:hAnsi="宋体" w:eastAsia="宋体" w:cs="宋体"/>
                <w:color w:val="000000"/>
                <w:kern w:val="0"/>
                <w:sz w:val="20"/>
                <w:szCs w:val="20"/>
              </w:rPr>
            </w:pPr>
          </w:p>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 xml:space="preserve">                                   </w:t>
            </w: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湘乡市住房和城乡建设局</w:t>
            </w:r>
          </w:p>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ind w:firstLine="4000" w:firstLineChars="20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基本支出</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1"/>
        <w:rPr>
          <w:sz w:val="72"/>
          <w:szCs w:val="72"/>
        </w:rPr>
        <w:sectPr>
          <w:pgSz w:w="16838" w:h="11906" w:orient="landscape"/>
          <w:pgMar w:top="607" w:right="720" w:bottom="720" w:left="720" w:header="851" w:footer="992" w:gutter="0"/>
          <w:pgBorders>
            <w:top w:val="none" w:sz="0" w:space="0"/>
            <w:left w:val="none" w:sz="0" w:space="0"/>
            <w:bottom w:val="none" w:sz="0" w:space="0"/>
            <w:right w:val="none" w:sz="0" w:space="0"/>
          </w:pgBorders>
          <w:cols w:space="0" w:num="1"/>
          <w:rtlGutter w:val="0"/>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Theme="minorEastAsia" w:hAnsiTheme="minorEastAsia" w:eastAsiaTheme="minorEastAsia"/>
          <w:sz w:val="32"/>
          <w:szCs w:val="32"/>
        </w:rPr>
      </w:pP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2020年度收</w:t>
      </w:r>
      <w:r>
        <w:rPr>
          <w:rFonts w:hint="eastAsia" w:asciiTheme="minorEastAsia" w:hAnsiTheme="minorEastAsia" w:eastAsiaTheme="minorEastAsia"/>
          <w:sz w:val="32"/>
          <w:szCs w:val="32"/>
          <w:lang w:eastAsia="zh-CN"/>
        </w:rPr>
        <w:t>支</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6071.57万元，本年收入合计5164.28</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，年初结余结转</w:t>
      </w:r>
      <w:r>
        <w:rPr>
          <w:rFonts w:hint="eastAsia" w:asciiTheme="minorEastAsia" w:hAnsiTheme="minorEastAsia" w:eastAsiaTheme="minorEastAsia"/>
          <w:sz w:val="32"/>
          <w:szCs w:val="32"/>
          <w:lang w:val="en-US" w:eastAsia="zh-CN"/>
        </w:rPr>
        <w:t>907.28万元；本年支出合计5007.14万元，</w:t>
      </w:r>
      <w:r>
        <w:rPr>
          <w:rFonts w:hint="eastAsia" w:asciiTheme="minorEastAsia" w:hAnsiTheme="minorEastAsia" w:eastAsiaTheme="minorEastAsia"/>
          <w:sz w:val="32"/>
          <w:szCs w:val="32"/>
          <w:lang w:eastAsia="zh-CN"/>
        </w:rPr>
        <w:t>年末结余结转</w:t>
      </w:r>
      <w:r>
        <w:rPr>
          <w:rFonts w:hint="eastAsia" w:asciiTheme="minorEastAsia" w:hAnsiTheme="minorEastAsia" w:eastAsiaTheme="minorEastAsia"/>
          <w:sz w:val="32"/>
          <w:szCs w:val="32"/>
          <w:lang w:val="en-US" w:eastAsia="zh-CN"/>
        </w:rPr>
        <w:t>1127.42万元，</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990.04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14.02</w:t>
      </w:r>
      <w:r>
        <w:rPr>
          <w:rFonts w:hint="eastAsia" w:asciiTheme="minorEastAsia" w:hAnsiTheme="minorEastAsia" w:eastAsiaTheme="minorEastAsia"/>
          <w:sz w:val="32"/>
          <w:szCs w:val="32"/>
        </w:rPr>
        <w:t>%，主要因为一是</w:t>
      </w:r>
      <w:r>
        <w:rPr>
          <w:rFonts w:hint="eastAsia" w:asciiTheme="minorEastAsia" w:hAnsiTheme="minorEastAsia" w:eastAsiaTheme="minorEastAsia"/>
          <w:sz w:val="32"/>
          <w:szCs w:val="32"/>
          <w:lang w:eastAsia="zh-CN"/>
        </w:rPr>
        <w:t>机构合并调整</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原属于房产局机关预算人员全部纳入住房保障中心预算，相应人员经费支出减少；二是年底往年结余结转清理</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故年初结转和结余资金减少</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5164.28</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4939.95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95.66</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194.33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3.76</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30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0.58</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4944.14</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3119.18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63.09</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1824.96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36.91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rPr>
          <w:rFonts w:hAnsi="黑体"/>
          <w:b/>
          <w:sz w:val="32"/>
          <w:szCs w:val="32"/>
        </w:rPr>
      </w:pPr>
      <w:r>
        <w:rPr>
          <w:rFonts w:hint="eastAsia" w:hAnsi="黑体"/>
          <w:b/>
          <w:sz w:val="32"/>
          <w:szCs w:val="32"/>
        </w:rPr>
        <w:t>四、财政拨款收入支出决算总体情况说明</w:t>
      </w:r>
    </w:p>
    <w:p>
      <w:pPr>
        <w:pStyle w:val="11"/>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2020年度财政拨款收、支总计</w:t>
      </w:r>
      <w:r>
        <w:rPr>
          <w:rFonts w:hint="eastAsia" w:asciiTheme="minorEastAsia" w:hAnsiTheme="minorEastAsia" w:eastAsiaTheme="minorEastAsia"/>
          <w:sz w:val="32"/>
          <w:szCs w:val="32"/>
          <w:lang w:val="en-US" w:eastAsia="zh-CN"/>
        </w:rPr>
        <w:t>5334.54</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1092.11</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16.99</w:t>
      </w:r>
      <w:r>
        <w:rPr>
          <w:rFonts w:hint="eastAsia" w:asciiTheme="minorEastAsia" w:hAnsiTheme="minorEastAsia" w:eastAsiaTheme="minorEastAsia"/>
          <w:sz w:val="32"/>
          <w:szCs w:val="32"/>
        </w:rPr>
        <w:t>%，主要因</w:t>
      </w:r>
      <w:r>
        <w:rPr>
          <w:rFonts w:hint="eastAsia" w:asciiTheme="minorEastAsia" w:hAnsiTheme="minorEastAsia" w:eastAsiaTheme="minorEastAsia"/>
          <w:sz w:val="32"/>
          <w:szCs w:val="32"/>
          <w:lang w:val="en-US" w:eastAsia="zh-CN"/>
        </w:rPr>
        <w:t>为一是无墙改基金收入，二是年底往年结余结转清理，故年初结转和结余资金减少。</w:t>
      </w:r>
    </w:p>
    <w:p>
      <w:pPr>
        <w:pStyle w:val="11"/>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widowControl/>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4695.07</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94.96</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159.79</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3.52</w:t>
      </w:r>
      <w:r>
        <w:rPr>
          <w:rFonts w:hint="eastAsia" w:asciiTheme="minorEastAsia" w:hAnsiTheme="minorEastAsia" w:eastAsiaTheme="minorEastAsia"/>
          <w:sz w:val="32"/>
          <w:szCs w:val="32"/>
        </w:rPr>
        <w:t>%，主要是因为</w:t>
      </w:r>
      <w:r>
        <w:rPr>
          <w:rFonts w:hint="eastAsia" w:asciiTheme="minorEastAsia" w:hAnsiTheme="minorEastAsia" w:cstheme="minorEastAsia"/>
          <w:kern w:val="0"/>
          <w:sz w:val="32"/>
          <w:szCs w:val="32"/>
          <w:lang w:eastAsia="zh-CN"/>
        </w:rPr>
        <w:t>墙改基金返退</w:t>
      </w:r>
      <w:r>
        <w:rPr>
          <w:rFonts w:hint="eastAsia" w:asciiTheme="minorEastAsia" w:hAnsiTheme="minorEastAsia" w:eastAsiaTheme="minorEastAsia" w:cstheme="minorEastAsia"/>
          <w:kern w:val="0"/>
          <w:sz w:val="32"/>
          <w:szCs w:val="32"/>
        </w:rPr>
        <w:t>，故出现了此现象。</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1"/>
        <w:ind w:firstLine="640" w:firstLineChars="200"/>
        <w:jc w:val="both"/>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4795.07</w:t>
      </w:r>
      <w:r>
        <w:rPr>
          <w:rFonts w:hint="eastAsia" w:asciiTheme="minorEastAsia" w:hAnsiTheme="minorEastAsia" w:eastAsiaTheme="minorEastAsia"/>
          <w:sz w:val="32"/>
          <w:szCs w:val="32"/>
        </w:rPr>
        <w:t>万元，主要用于以下方面：社会保障和就业支出支出</w:t>
      </w:r>
      <w:r>
        <w:rPr>
          <w:rFonts w:hint="eastAsia" w:asciiTheme="minorEastAsia" w:hAnsiTheme="minorEastAsia" w:eastAsiaTheme="minorEastAsia"/>
          <w:sz w:val="32"/>
          <w:szCs w:val="32"/>
          <w:lang w:val="en-US" w:eastAsia="zh-CN"/>
        </w:rPr>
        <w:t>246.01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5.13</w:t>
      </w:r>
      <w:r>
        <w:rPr>
          <w:rFonts w:hint="eastAsia" w:asciiTheme="minorEastAsia" w:hAnsiTheme="minorEastAsia" w:eastAsiaTheme="minorEastAsia"/>
          <w:sz w:val="32"/>
          <w:szCs w:val="32"/>
        </w:rPr>
        <w:t>%；卫生健康支出</w:t>
      </w:r>
      <w:r>
        <w:rPr>
          <w:rFonts w:hint="eastAsia" w:asciiTheme="minorEastAsia" w:hAnsiTheme="minorEastAsia" w:eastAsiaTheme="minorEastAsia"/>
          <w:sz w:val="32"/>
          <w:szCs w:val="32"/>
          <w:lang w:val="en-US" w:eastAsia="zh-CN"/>
        </w:rPr>
        <w:t>110.65万元，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2.3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节能环保支出173万元，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3.6</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城乡社区支出3847.06万元，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80.23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住房保障支出368.35万元，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7.68</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抗疫特别国债安排的支出50万元，占1.04%。</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2751.92</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4795.07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174.24</w:t>
      </w:r>
      <w:r>
        <w:rPr>
          <w:rFonts w:hint="eastAsia" w:asciiTheme="minorEastAsia" w:hAnsiTheme="minorEastAsia" w:eastAsiaTheme="minorEastAsia"/>
          <w:sz w:val="32"/>
          <w:szCs w:val="32"/>
        </w:rPr>
        <w:t>%，其中：</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1、社会保障和就业支出。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214.53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246.01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114.67</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每年工资调增，导致社会保障和就业支出相应增加。</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2、卫生健康支出。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91.46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110.65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120.98</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每年工资调增以及文明卫生单位创建导致健康卫生支出相应增加。</w:t>
      </w:r>
    </w:p>
    <w:p>
      <w:pPr>
        <w:pStyle w:val="11"/>
        <w:numPr>
          <w:ilvl w:val="0"/>
          <w:numId w:val="0"/>
        </w:numPr>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3、节能环保支出。</w:t>
      </w:r>
    </w:p>
    <w:p>
      <w:pPr>
        <w:pStyle w:val="11"/>
        <w:numPr>
          <w:ilvl w:val="0"/>
          <w:numId w:val="0"/>
        </w:numPr>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173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年中追加环保督</w:t>
      </w:r>
      <w:r>
        <w:rPr>
          <w:rFonts w:hint="eastAsia" w:asciiTheme="minorEastAsia" w:hAnsiTheme="minorEastAsia" w:eastAsiaTheme="minorEastAsia"/>
          <w:sz w:val="32"/>
          <w:szCs w:val="32"/>
          <w:lang w:val="en-US" w:eastAsia="zh-CN"/>
        </w:rPr>
        <w:t>察</w:t>
      </w:r>
      <w:r>
        <w:rPr>
          <w:rFonts w:hint="eastAsia" w:asciiTheme="minorEastAsia" w:hAnsiTheme="minorEastAsia" w:eastAsiaTheme="minorEastAsia"/>
          <w:sz w:val="32"/>
          <w:szCs w:val="32"/>
          <w:lang w:eastAsia="zh-CN"/>
        </w:rPr>
        <w:t>项目整治工作，导致该项开支增加。</w:t>
      </w:r>
    </w:p>
    <w:p>
      <w:pPr>
        <w:pStyle w:val="11"/>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4、城乡社区支出。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2298.28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3847.06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167.39</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城乡社区专项未纳入部门预算支出，年中追加城乡社区专项项目，导致该项开支增加。</w:t>
      </w:r>
    </w:p>
    <w:p>
      <w:pPr>
        <w:pStyle w:val="11"/>
        <w:numPr>
          <w:ilvl w:val="0"/>
          <w:numId w:val="0"/>
        </w:numPr>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5、住房保障支出。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147.66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368.35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249.46</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每年工资调增，导致住房保障支出相应增加。</w:t>
      </w:r>
    </w:p>
    <w:p>
      <w:pPr>
        <w:pStyle w:val="11"/>
        <w:numPr>
          <w:ilvl w:val="0"/>
          <w:numId w:val="2"/>
        </w:numPr>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抗疫特别国债安排的支出。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年中工作安排任务，导致相应开支增加。</w:t>
      </w:r>
    </w:p>
    <w:p>
      <w:pPr>
        <w:pStyle w:val="11"/>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2970.11</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2530.36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85.2</w:t>
      </w:r>
      <w:r>
        <w:rPr>
          <w:rFonts w:hint="eastAsia" w:asciiTheme="minorEastAsia" w:hAnsiTheme="minorEastAsia" w:eastAsiaTheme="minorEastAsia"/>
          <w:sz w:val="32"/>
          <w:szCs w:val="32"/>
        </w:rPr>
        <w:t>%,主要包括基本工资、津贴补贴、奖金、伙食补助费</w:t>
      </w:r>
      <w:r>
        <w:rPr>
          <w:rFonts w:asciiTheme="minorEastAsia" w:hAnsiTheme="minorEastAsia" w:eastAsiaTheme="minorEastAsia"/>
          <w:sz w:val="32"/>
          <w:szCs w:val="32"/>
        </w:rPr>
        <w:t>……</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439.75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14.8</w:t>
      </w:r>
      <w:r>
        <w:rPr>
          <w:rFonts w:hint="eastAsia" w:asciiTheme="minorEastAsia" w:hAnsiTheme="minorEastAsia" w:eastAsiaTheme="minorEastAsia"/>
          <w:sz w:val="32"/>
          <w:szCs w:val="32"/>
        </w:rPr>
        <w:t>%，主要包括办公费、印刷费、咨询费、手续费</w:t>
      </w:r>
      <w:r>
        <w:rPr>
          <w:rFonts w:asciiTheme="minorEastAsia" w:hAnsiTheme="minorEastAsia" w:eastAsiaTheme="minorEastAsia"/>
          <w:sz w:val="32"/>
          <w:szCs w:val="32"/>
        </w:rPr>
        <w:t>……</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70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3.47</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4.95</w:t>
      </w:r>
      <w:r>
        <w:rPr>
          <w:rFonts w:hint="eastAsia" w:asciiTheme="minorEastAsia" w:hAnsiTheme="minorEastAsia" w:eastAsiaTheme="minorEastAsia"/>
          <w:sz w:val="32"/>
          <w:szCs w:val="32"/>
        </w:rPr>
        <w:t>%，其中：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与上年持平</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48.5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0.52</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1.07</w:t>
      </w:r>
      <w:r>
        <w:rPr>
          <w:rFonts w:hint="eastAsia" w:asciiTheme="minorEastAsia" w:hAnsiTheme="minorEastAsia" w:eastAsiaTheme="minorEastAsia"/>
          <w:sz w:val="32"/>
          <w:szCs w:val="32"/>
        </w:rPr>
        <w:t>%，决算数小于预算数的主要原因是我局严格遵守中央八项规定，制订完善相关制度，厉行节约，严格控制三公经费支出，故三公经费开支大幅缩减。</w:t>
      </w:r>
    </w:p>
    <w:p>
      <w:pPr>
        <w:pStyle w:val="11"/>
        <w:ind w:firstLine="800" w:firstLineChars="250"/>
        <w:rPr>
          <w:rFonts w:ascii="宋体" w:hAnsi="宋体" w:eastAsia="宋体" w:cs="Times New Roman"/>
          <w:sz w:val="28"/>
          <w:szCs w:val="28"/>
        </w:rPr>
      </w:pP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5.94</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91.95</w:t>
      </w:r>
      <w:r>
        <w:rPr>
          <w:rFonts w:hint="eastAsia" w:asciiTheme="minorEastAsia" w:hAnsiTheme="minorEastAsia" w:eastAsiaTheme="minorEastAsia"/>
          <w:sz w:val="32"/>
          <w:szCs w:val="32"/>
        </w:rPr>
        <w:t>%,减少的主要原因</w:t>
      </w:r>
      <w:r>
        <w:rPr>
          <w:rFonts w:hint="eastAsia" w:ascii="宋体" w:hAnsi="宋体" w:eastAsia="宋体" w:cs="宋体"/>
          <w:sz w:val="28"/>
          <w:szCs w:val="28"/>
        </w:rPr>
        <w:t>厉行节约，严格控制了公务接待费用。</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21.5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2.95</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13.72</w:t>
      </w:r>
      <w:r>
        <w:rPr>
          <w:rFonts w:hint="eastAsia" w:asciiTheme="minorEastAsia" w:hAnsiTheme="minorEastAsia" w:eastAsiaTheme="minorEastAsia"/>
          <w:sz w:val="32"/>
          <w:szCs w:val="32"/>
        </w:rPr>
        <w:t>%，决算数小于预算数的主要原因一是公车改革后未新增车辆购置，压缩原有公车开支；</w:t>
      </w:r>
      <w:r>
        <w:rPr>
          <w:rFonts w:hint="eastAsia" w:asciiTheme="minorEastAsia" w:hAnsiTheme="minorEastAsia" w:eastAsiaTheme="minorEastAsia"/>
          <w:sz w:val="32"/>
          <w:szCs w:val="32"/>
          <w:lang w:eastAsia="zh-CN"/>
        </w:rPr>
        <w:t>二</w:t>
      </w:r>
      <w:r>
        <w:rPr>
          <w:rFonts w:hint="eastAsia" w:asciiTheme="minorEastAsia" w:hAnsiTheme="minorEastAsia" w:eastAsiaTheme="minorEastAsia"/>
          <w:sz w:val="32"/>
          <w:szCs w:val="32"/>
        </w:rPr>
        <w:t>是我局严格遵守中央八项规定，制订完善相关制度，厉行节约，严格控制三公经费支出，故三公经费开支大幅缩减。</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3.06</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50.92</w:t>
      </w:r>
      <w:r>
        <w:rPr>
          <w:rFonts w:hint="eastAsia" w:asciiTheme="minorEastAsia" w:hAnsiTheme="minorEastAsia" w:eastAsiaTheme="minorEastAsia"/>
          <w:sz w:val="32"/>
          <w:szCs w:val="32"/>
        </w:rPr>
        <w:t>%,减少（增长）的主要原因一是公车改革后未新增车辆购置，压缩原有公车开支；</w:t>
      </w:r>
      <w:r>
        <w:rPr>
          <w:rFonts w:hint="eastAsia" w:asciiTheme="minorEastAsia" w:hAnsiTheme="minorEastAsia" w:eastAsiaTheme="minorEastAsia"/>
          <w:sz w:val="32"/>
          <w:szCs w:val="32"/>
          <w:lang w:eastAsia="zh-CN"/>
        </w:rPr>
        <w:t>二</w:t>
      </w:r>
      <w:r>
        <w:rPr>
          <w:rFonts w:hint="eastAsia" w:asciiTheme="minorEastAsia" w:hAnsiTheme="minorEastAsia" w:eastAsiaTheme="minorEastAsia"/>
          <w:sz w:val="32"/>
          <w:szCs w:val="32"/>
        </w:rPr>
        <w:t>是我局严格遵守中央八项规定，制订完善相关制度，厉行节约，严格控制三公经费支出，故三公经费开支大幅缩减。</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0.52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14.99</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2.95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85.01</w:t>
      </w:r>
      <w:r>
        <w:rPr>
          <w:rFonts w:hint="eastAsia" w:asciiTheme="minorEastAsia" w:hAnsiTheme="minorEastAsia" w:eastAsiaTheme="minorEastAsia"/>
          <w:sz w:val="32"/>
          <w:szCs w:val="32"/>
        </w:rPr>
        <w:t>%。其中：</w:t>
      </w:r>
    </w:p>
    <w:p>
      <w:pPr>
        <w:pStyle w:val="11"/>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0.52</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78</w:t>
      </w:r>
      <w:r>
        <w:rPr>
          <w:rFonts w:hint="eastAsia" w:asciiTheme="minorEastAsia" w:hAnsiTheme="minorEastAsia" w:eastAsiaTheme="minorEastAsia"/>
          <w:sz w:val="32"/>
          <w:szCs w:val="32"/>
        </w:rPr>
        <w:t>人次，主要是是</w:t>
      </w:r>
      <w:r>
        <w:rPr>
          <w:rFonts w:hint="eastAsia" w:asciiTheme="minorEastAsia" w:hAnsiTheme="minorEastAsia" w:eastAsiaTheme="minorEastAsia"/>
          <w:sz w:val="32"/>
          <w:szCs w:val="32"/>
          <w:lang w:eastAsia="zh-CN"/>
        </w:rPr>
        <w:t>农村危房改造迎检、创省级文明卫生城市、环保督</w:t>
      </w:r>
      <w:r>
        <w:rPr>
          <w:rFonts w:hint="eastAsia" w:asciiTheme="minorEastAsia" w:hAnsiTheme="minorEastAsia" w:eastAsiaTheme="minorEastAsia"/>
          <w:sz w:val="32"/>
          <w:szCs w:val="32"/>
          <w:lang w:val="en-US" w:eastAsia="zh-CN"/>
        </w:rPr>
        <w:t>察</w:t>
      </w:r>
      <w:bookmarkStart w:id="3" w:name="_GoBack"/>
      <w:bookmarkEnd w:id="3"/>
      <w:r>
        <w:rPr>
          <w:rFonts w:hint="eastAsia" w:asciiTheme="minorEastAsia" w:hAnsiTheme="minorEastAsia" w:eastAsiaTheme="minorEastAsia"/>
          <w:sz w:val="32"/>
          <w:szCs w:val="32"/>
          <w:lang w:eastAsia="zh-CN"/>
        </w:rPr>
        <w:t>迎检、</w:t>
      </w:r>
      <w:r>
        <w:rPr>
          <w:rFonts w:hint="eastAsia" w:asciiTheme="minorEastAsia" w:hAnsiTheme="minorEastAsia" w:eastAsiaTheme="minorEastAsia"/>
          <w:sz w:val="32"/>
          <w:szCs w:val="32"/>
        </w:rPr>
        <w:t>住房工作检查发生的接待支出。</w:t>
      </w:r>
    </w:p>
    <w:p>
      <w:pPr>
        <w:ind w:firstLine="640" w:firstLineChars="20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2.95</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万元，公务用车运行维护费</w:t>
      </w:r>
      <w:r>
        <w:rPr>
          <w:rFonts w:hint="eastAsia" w:asciiTheme="minorEastAsia" w:hAnsiTheme="minorEastAsia"/>
          <w:sz w:val="32"/>
          <w:szCs w:val="32"/>
          <w:lang w:val="en-US" w:eastAsia="zh-CN"/>
        </w:rPr>
        <w:t>2.95</w:t>
      </w:r>
      <w:r>
        <w:rPr>
          <w:rFonts w:hint="eastAsia" w:asciiTheme="minorEastAsia" w:hAnsiTheme="minorEastAsia"/>
          <w:sz w:val="32"/>
          <w:szCs w:val="32"/>
        </w:rPr>
        <w:t>万元，主要是</w:t>
      </w:r>
      <w:r>
        <w:rPr>
          <w:rFonts w:hint="eastAsia" w:asciiTheme="minorEastAsia" w:hAnsiTheme="minorEastAsia"/>
          <w:sz w:val="32"/>
          <w:szCs w:val="32"/>
          <w:lang w:eastAsia="zh-CN"/>
        </w:rPr>
        <w:t>公车运行维护</w:t>
      </w:r>
      <w:r>
        <w:rPr>
          <w:rFonts w:hint="eastAsia" w:asciiTheme="minorEastAsia" w:hAnsiTheme="minorEastAsia"/>
          <w:sz w:val="32"/>
          <w:szCs w:val="32"/>
        </w:rPr>
        <w:t>支出，截止2020年12月31日，我单位开支财政拨款的公务用车保有量为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p>
    <w:p>
      <w:pPr>
        <w:pStyle w:val="11"/>
        <w:rPr>
          <w:rFonts w:hAnsi="黑体"/>
          <w:b/>
          <w:sz w:val="32"/>
          <w:szCs w:val="32"/>
        </w:rPr>
      </w:pPr>
      <w:r>
        <w:rPr>
          <w:rFonts w:hint="eastAsia" w:hAnsi="黑体"/>
          <w:b/>
          <w:sz w:val="32"/>
          <w:szCs w:val="32"/>
        </w:rPr>
        <w:t>八、政府性基金预算收入支出决算情况</w:t>
      </w:r>
    </w:p>
    <w:p>
      <w:pPr>
        <w:pStyle w:val="11"/>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2020年度政府性基金预算财政拨款收入</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1"/>
        <w:rPr>
          <w:rFonts w:hAnsi="黑体"/>
          <w:b/>
          <w:sz w:val="32"/>
          <w:szCs w:val="32"/>
        </w:rPr>
      </w:pPr>
      <w:r>
        <w:rPr>
          <w:rFonts w:hint="eastAsia" w:hAnsi="黑体"/>
          <w:b/>
          <w:sz w:val="32"/>
          <w:szCs w:val="32"/>
        </w:rPr>
        <w:t>九、关于机关运行经费支出说明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439.75</w:t>
      </w:r>
      <w:r>
        <w:rPr>
          <w:rFonts w:hint="eastAsia" w:asciiTheme="minorEastAsia" w:hAnsiTheme="minorEastAsia" w:eastAsiaTheme="minorEastAsia"/>
          <w:sz w:val="32"/>
          <w:szCs w:val="32"/>
        </w:rPr>
        <w:t>万元，比上年决算数增加</w:t>
      </w:r>
      <w:r>
        <w:rPr>
          <w:rFonts w:hint="eastAsia" w:asciiTheme="minorEastAsia" w:hAnsiTheme="minorEastAsia" w:eastAsiaTheme="minorEastAsia"/>
          <w:sz w:val="32"/>
          <w:szCs w:val="32"/>
          <w:lang w:val="en-US" w:eastAsia="zh-CN"/>
        </w:rPr>
        <w:t>21.37</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5.1</w:t>
      </w:r>
      <w:r>
        <w:rPr>
          <w:rFonts w:hint="eastAsia" w:asciiTheme="minorEastAsia" w:hAnsiTheme="minorEastAsia" w:eastAsiaTheme="minorEastAsia"/>
          <w:sz w:val="32"/>
          <w:szCs w:val="32"/>
        </w:rPr>
        <w:t>%。主要原因是：主要原因是</w:t>
      </w:r>
      <w:r>
        <w:rPr>
          <w:rFonts w:hint="eastAsia" w:asciiTheme="minorEastAsia" w:hAnsiTheme="minorEastAsia" w:eastAsiaTheme="minorEastAsia"/>
          <w:sz w:val="32"/>
          <w:szCs w:val="32"/>
          <w:lang w:eastAsia="zh-CN"/>
        </w:rPr>
        <w:t>社会成本增加</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十、一般性支出情况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15.23</w:t>
      </w:r>
      <w:r>
        <w:rPr>
          <w:rFonts w:hint="eastAsia" w:asciiTheme="minorEastAsia" w:hAnsiTheme="minorEastAsia" w:eastAsiaTheme="minorEastAsia"/>
          <w:sz w:val="32"/>
          <w:szCs w:val="32"/>
        </w:rPr>
        <w:t>万元，用于召开</w:t>
      </w:r>
      <w:r>
        <w:rPr>
          <w:rFonts w:hint="eastAsia" w:asciiTheme="minorEastAsia" w:hAnsiTheme="minorEastAsia" w:eastAsiaTheme="minorEastAsia"/>
          <w:sz w:val="32"/>
          <w:szCs w:val="32"/>
          <w:lang w:eastAsia="zh-CN"/>
        </w:rPr>
        <w:t>农村危改</w:t>
      </w:r>
      <w:r>
        <w:rPr>
          <w:rFonts w:hint="eastAsia" w:asciiTheme="minorEastAsia" w:hAnsiTheme="minorEastAsia" w:eastAsiaTheme="minorEastAsia"/>
          <w:sz w:val="32"/>
          <w:szCs w:val="32"/>
        </w:rPr>
        <w:t>会议</w:t>
      </w:r>
      <w:r>
        <w:rPr>
          <w:rFonts w:hint="eastAsia" w:asciiTheme="minorEastAsia" w:hAnsiTheme="minorEastAsia" w:eastAsiaTheme="minorEastAsia"/>
          <w:sz w:val="32"/>
          <w:szCs w:val="32"/>
          <w:lang w:eastAsia="zh-CN"/>
        </w:rPr>
        <w:t>、建筑行业年会、党建、消防、质安等工作会议</w:t>
      </w:r>
      <w:r>
        <w:rPr>
          <w:rFonts w:hint="eastAsia" w:asciiTheme="minorEastAsia" w:hAnsiTheme="minorEastAsia" w:eastAsiaTheme="minorEastAsia"/>
          <w:sz w:val="32"/>
          <w:szCs w:val="32"/>
        </w:rPr>
        <w:t>，人数</w:t>
      </w:r>
      <w:r>
        <w:rPr>
          <w:rFonts w:hint="eastAsia" w:asciiTheme="minorEastAsia" w:hAnsiTheme="minorEastAsia" w:eastAsiaTheme="minorEastAsia"/>
          <w:sz w:val="32"/>
          <w:szCs w:val="32"/>
          <w:lang w:val="en-US" w:eastAsia="zh-CN"/>
        </w:rPr>
        <w:t>2269</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农村危改、建筑行业年度总结会议、党建会议</w:t>
      </w:r>
      <w:r>
        <w:rPr>
          <w:rFonts w:hint="eastAsia" w:asciiTheme="minorEastAsia" w:hAnsiTheme="minorEastAsia" w:eastAsiaTheme="minorEastAsia"/>
          <w:sz w:val="32"/>
          <w:szCs w:val="32"/>
        </w:rPr>
        <w:t>；开支培训费</w:t>
      </w:r>
      <w:r>
        <w:rPr>
          <w:rFonts w:hint="eastAsia" w:asciiTheme="minorEastAsia" w:hAnsiTheme="minorEastAsia" w:eastAsiaTheme="minorEastAsia"/>
          <w:sz w:val="32"/>
          <w:szCs w:val="32"/>
          <w:lang w:val="en-US" w:eastAsia="zh-CN"/>
        </w:rPr>
        <w:t>9.163</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eastAsia="zh-CN"/>
        </w:rPr>
        <w:t>农村建筑工匠、消防、质量安全等</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554</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建筑工匠技能、消防、质量安全培训</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十一、关于政府采购支出说明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p>
    <w:p>
      <w:pPr>
        <w:pStyle w:val="11"/>
        <w:rPr>
          <w:rFonts w:hint="eastAsia" w:hAnsi="黑体"/>
          <w:b/>
          <w:sz w:val="32"/>
          <w:szCs w:val="32"/>
        </w:rPr>
      </w:pPr>
      <w:r>
        <w:rPr>
          <w:rFonts w:hint="eastAsia" w:hAnsi="黑体"/>
          <w:b/>
          <w:sz w:val="32"/>
          <w:szCs w:val="32"/>
        </w:rPr>
        <w:t>十二、关于国有资产占用情况说明</w:t>
      </w:r>
    </w:p>
    <w:p>
      <w:pPr>
        <w:pStyle w:val="11"/>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辆，其中，执法执勤用车</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w:t>
      </w:r>
      <w:r>
        <w:rPr>
          <w:rFonts w:hint="eastAsia" w:asciiTheme="minorEastAsia" w:hAnsiTheme="minorEastAsia" w:eastAsiaTheme="minorEastAsia"/>
          <w:sz w:val="32"/>
          <w:szCs w:val="32"/>
          <w:lang w:val="en-US" w:eastAsia="zh-CN"/>
        </w:rPr>
        <w:t>其他按照规定配备的公务用车1辆；</w:t>
      </w:r>
      <w:r>
        <w:rPr>
          <w:rFonts w:hint="eastAsia" w:asciiTheme="minorEastAsia" w:hAnsiTheme="minorEastAsia" w:eastAsiaTheme="minorEastAsia"/>
          <w:sz w:val="32"/>
          <w:szCs w:val="32"/>
        </w:rPr>
        <w:t>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1"/>
        <w:rPr>
          <w:rFonts w:hAnsi="黑体"/>
          <w:b/>
          <w:sz w:val="32"/>
          <w:szCs w:val="32"/>
        </w:rPr>
      </w:pPr>
      <w:r>
        <w:rPr>
          <w:rFonts w:hint="eastAsia" w:hAnsi="黑体"/>
          <w:b/>
          <w:sz w:val="32"/>
          <w:szCs w:val="32"/>
        </w:rPr>
        <w:t>十三、关于2020年度预算绩效情况的说明</w:t>
      </w:r>
    </w:p>
    <w:p>
      <w:pPr>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本系统秉持“编制有目标，执行有监控、完成有评价、评价有反馈、反馈有运用”全过程预算绩效管理模式的要求，对绩效管理的职责、目标、指标、绩效预算编制、绩效预算执行、绩效预算评价、绩效预算监督、绩效评价结果应用等方面做出了明确的规定，整体预算绩效管理工作取得了一定的成效。20</w:t>
      </w:r>
      <w:r>
        <w:rPr>
          <w:rFonts w:hint="eastAsia" w:cs="黑体" w:asciiTheme="minorEastAsia" w:hAnsiTheme="minorEastAsia"/>
          <w:color w:val="000000"/>
          <w:kern w:val="0"/>
          <w:sz w:val="32"/>
          <w:szCs w:val="32"/>
          <w:lang w:val="en-US" w:eastAsia="zh-CN" w:bidi="ar-SA"/>
        </w:rPr>
        <w:t>20</w:t>
      </w:r>
      <w:r>
        <w:rPr>
          <w:rFonts w:hint="eastAsia" w:cs="黑体" w:asciiTheme="minorEastAsia" w:hAnsiTheme="minorEastAsia" w:eastAsiaTheme="minorEastAsia"/>
          <w:color w:val="000000"/>
          <w:kern w:val="0"/>
          <w:sz w:val="32"/>
          <w:szCs w:val="32"/>
          <w:lang w:val="en-US" w:eastAsia="zh-CN" w:bidi="ar-SA"/>
        </w:rPr>
        <w:t>年整体支出绩效目标全部完成，整体评价为良好。</w:t>
      </w:r>
    </w:p>
    <w:p>
      <w:pPr>
        <w:widowControl/>
        <w:numPr>
          <w:ilvl w:val="0"/>
          <w:numId w:val="0"/>
        </w:numPr>
        <w:spacing w:line="600" w:lineRule="exact"/>
        <w:rPr>
          <w:rFonts w:hint="eastAsia" w:ascii="黑体" w:hAnsi="黑体" w:eastAsia="黑体" w:cs="黑体"/>
          <w:kern w:val="0"/>
          <w:sz w:val="32"/>
          <w:szCs w:val="32"/>
        </w:rPr>
      </w:pPr>
      <w:r>
        <w:rPr>
          <w:rFonts w:hint="eastAsia" w:ascii="黑体" w:hAnsi="黑体" w:eastAsia="黑体" w:cs="黑体"/>
          <w:kern w:val="0"/>
          <w:sz w:val="32"/>
          <w:szCs w:val="32"/>
          <w:lang w:eastAsia="zh-CN"/>
        </w:rPr>
        <w:t>十四、</w:t>
      </w:r>
      <w:r>
        <w:rPr>
          <w:rFonts w:hint="eastAsia" w:ascii="黑体" w:hAnsi="黑体" w:eastAsia="黑体" w:cs="黑体"/>
          <w:kern w:val="0"/>
          <w:sz w:val="32"/>
          <w:szCs w:val="32"/>
        </w:rPr>
        <w:t>其他重要事项</w:t>
      </w:r>
    </w:p>
    <w:p>
      <w:pPr>
        <w:pStyle w:val="2"/>
        <w:ind w:left="0" w:firstLine="640" w:firstLineChars="200"/>
        <w:rPr>
          <w:rFonts w:hint="eastAsia" w:ascii="仿宋_GB2312" w:hAnsi="仿宋_GB2312" w:eastAsia="仿宋_GB2312" w:cs="仿宋_GB2312"/>
          <w:sz w:val="32"/>
          <w:szCs w:val="32"/>
        </w:rPr>
      </w:pPr>
      <w:r>
        <w:rPr>
          <w:rFonts w:hint="eastAsia" w:cs="黑体" w:asciiTheme="minorEastAsia" w:hAnsiTheme="minorEastAsia" w:eastAsiaTheme="minorEastAsia"/>
          <w:color w:val="000000"/>
          <w:kern w:val="0"/>
          <w:sz w:val="32"/>
          <w:szCs w:val="32"/>
          <w:lang w:val="en-US" w:eastAsia="zh-CN" w:bidi="ar-SA"/>
        </w:rPr>
        <w:t>以上数据不含人民防空办公室收入支出，因涉及军事秘密不予公示。</w:t>
      </w:r>
    </w:p>
    <w:p>
      <w:pPr>
        <w:pStyle w:val="11"/>
        <w:rPr>
          <w:rFonts w:asciiTheme="minorEastAsia" w:hAnsiTheme="minorEastAsia" w:eastAsiaTheme="minorEastAsia"/>
          <w:sz w:val="32"/>
          <w:szCs w:val="32"/>
        </w:rPr>
      </w:pPr>
    </w:p>
    <w:p>
      <w:pPr>
        <w:pStyle w:val="11"/>
        <w:rPr>
          <w:rFonts w:hAnsi="黑体"/>
          <w:b/>
          <w:sz w:val="32"/>
          <w:szCs w:val="3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一、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w:t>
      </w:r>
    </w:p>
    <w:p>
      <w:pPr>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二、“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spacing w:line="800" w:lineRule="exact"/>
        <w:jc w:val="center"/>
        <w:rPr>
          <w:rFonts w:hint="eastAsia" w:ascii="方正小标宋简体" w:hAnsi="仿宋" w:eastAsia="方正小标宋简体"/>
          <w:bCs/>
          <w:w w:val="90"/>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湘乡市住房和城乡建设局部门整体支出绩效</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自评报告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一、部门概况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（一）机构设置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湘乡市住房和城乡建设局现设机构有办公室、法规股、审批服务股、住房保障股、城市排水管理股、建筑工程管理股、房产综合开发管理股、质量安全管理股、城市村镇建设管理股、城建档案馆、人防工程建设管理股、指挥通信股、物业管理股、建设工程招标投标管理股、科技设计管理股（造价管理站）、财务股、党建办公室、人事股；局下辖湘乡市建设工程质量安全监督站、湘乡市住房保障服务中心、湘乡市墙体材料改革办公室(湘乡市散装水泥管理办公室)三个独立核算二级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（二）人员情况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至本年末，机关在职编制人数109人，实有人数109人，另退休人员100人，共计209人。本年因机构合并，城建综合开发公司、湘房公司（棚户公司）、信源物业公司于今年3月划归城乡集团管理。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(三）职能职责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1.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2.加快建立全市多主体供给、多渠道保障、租购并举的住房制度，拟订全市住房建设规划并指导实施，培育和完善房产市场。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8.承担全市建设工程勘察设计、建筑设计市场管理的工作。负责全市建设工程勘察、设计及建筑装饰设计等行业资质管理工作；负责各类建设项目初步设计审批；指导、检查全市勘察设计行业的工作。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11.承担推进全市建筑节能与建设科技进步的工作。拟订全市建筑节能政策建议及组织实施；制定建设行业科技发展规划；组织重大科技项目攻关和新技术开发利用；管理行业科技成果。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12.负责指导全市城建档案的管理指导监督、管理全市建设工程竣工档案工作；审查、认证、验收工程竣工档案，负责城市建设档案的收集、整理及城建档案信息的开发、利用。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15.负责全市墙体材料、散装水泥的推广应用工作，编制我市推广应用新墙材、散装水泥的中长期规划和年度计划并监督实施；负责墙体改革和散装水泥推广应用方面的信息交流、职工培训、宣传教育和统计工作。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16.贯彻执行国家、省、湘潭市关于人民防空工作的方针政策和法律法规，组织拟订全市人民防空工作的基本战备方案，组织编制全市人民防空建设中长期发展规划和年度工作计划，经批准后组织实施。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17.制定和组织实施城市防空袭方案和各项保障方案、群众防空组织（人民防空专业队）建设和训练、防空防灾演习演练、疏散体系建设，协助军事部门组织指导城市防卫建设。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18.战时组织开展城市人民防空袭斗争，组织指挥人民防空疏散和隐蔽，依法组织实施灯火管制和发放防空袭警报，配合要地防空和城市防卫作战，组织有关部门恢复生产和生活秩序，消除空袭后果。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19.组织管理人民防空通信警报和信息化建设。对人民防空通信警报网和信息化建设实施计划、技术和质量管理，负责保障全市人民防空通信警报畅通。负责对全市人民防空无线电进行管理。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20.会同有关部门组织开展人民防空宣传教育工作，普及人民防空知识和技能。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21.管理人民防空经费和资产，负责编制市本级人民防空经费预决算，并对使用情况实施监督检查。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22.承担市人民政府赋予的应急救援任务，利用人防设施和人民防空专业队伍为应急救援服务。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23.指导相关行业协会的工作。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24.负责国有土地上房屋征收管理行政职能。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25.负责全市建设工程消防设计审查验收工作。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26.负责全市在建工程项目起重机械设备监管工作。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27.承办上级交办的其他事项。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二、部门整体支出管理及使用情况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1、年初预算情况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我局机关财政部门预算收入为2022.07万元，其中经费拨款收入1988.77万元，纳入公共财政预算管理的非税收入33.3万元。2020年我局机关财政部门预算支出2022.07为万元。其中：基本支出预算1613.47万元；项目支出预算408.6万元。</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年中追加和调减预算情况。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color w:val="auto"/>
          <w:lang w:val="en-US" w:eastAsia="zh-CN"/>
        </w:rPr>
      </w:pPr>
      <w:r>
        <w:rPr>
          <w:rFonts w:hint="eastAsia" w:ascii="仿宋" w:hAnsi="仿宋" w:eastAsia="仿宋" w:cs="仿宋"/>
          <w:color w:val="auto"/>
          <w:sz w:val="32"/>
          <w:szCs w:val="32"/>
          <w:lang w:val="en-US" w:eastAsia="zh-CN"/>
        </w:rPr>
        <w:t>2020年追加与调减相抵后全年共计增加预算859.01万元。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因政府工作安排，全</w:t>
      </w:r>
      <w:r>
        <w:rPr>
          <w:rFonts w:hint="eastAsia" w:ascii="仿宋" w:hAnsi="仿宋" w:eastAsia="仿宋" w:cs="仿宋"/>
          <w:sz w:val="32"/>
          <w:szCs w:val="32"/>
          <w:lang w:val="en-US" w:eastAsia="zh-CN"/>
        </w:rPr>
        <w:t>年共追加预算2283.03万元，具体为：（1）增加城乡社区事务建设维护专项支出预算1246.91万元，排水管网及信息平台建设50万元、新型城镇化地区奖补资金50万元、城市精细化管理解决危改工作经费50万元、城市黑臭水整治273.6万元、中央隔离带设施建设123.65万元、施工图审服务费87.78万元、小区物业管理费用105万元、洙津渡饮用水源地保护建设234.84万元、污水主干管建设19.54万元、建筑工匠培训10万元、乡镇污水处理厂建设35万元、历史房屋等遗留问题4.5万元、欧家港污水整治173万元、城建线项目申报、答辩、评估、验收等30万元；（2）增加基本支出290.12万元，2018年度全市科技领导班子绩效考核良好单位136.34万元、解决房博会相关费用75万元、解决协助工作经费18.37万元、解决非税超收收入奖励经费10万元、解决2019.10.1-2020.6.30日人员异动、事业人员公车补贴、职务职级并行费用49.31万元、解决2019年科级领导班子绩效考核奖励1.1万元；（3）增加人防开支80万元；（4）上级安排工作增加支出666万元，新增国债支出600万元，新增农村双改奖补资金16万元，下达2020年抗疫特别国债资金50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70C0"/>
          <w:sz w:val="32"/>
          <w:szCs w:val="32"/>
          <w:lang w:val="en-US" w:eastAsia="zh-CN"/>
        </w:rPr>
      </w:pPr>
      <w:r>
        <w:rPr>
          <w:rFonts w:hint="eastAsia" w:ascii="仿宋" w:hAnsi="仿宋" w:eastAsia="仿宋" w:cs="仿宋"/>
          <w:sz w:val="32"/>
          <w:szCs w:val="32"/>
          <w:lang w:val="en-US" w:eastAsia="zh-CN"/>
        </w:rPr>
        <w:t>2020年全年调减预算指标1424.02万元，具体为：（1）解决2019年群众工作奖惩，公众安全感测评排名靠后单位减指标2万元；（2）指标扣回16万元；（3）解决窗口单位工作人员岗位津贴代扣5.76万元；（4）2020年工会经费代扣3.26万元；（5）扣减2019年度城市黑臭水整治上级已安排资金173万元；（6）2020年度结余结转资金清理1240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全年总预算情况。全年总预算2881.08万元。其中：2020年财政部门预算2022.07万元，年中增加城乡社区专项预算支出1246.91万元，增加基本支出290.12万元，增加人防开支80万元，上级安排工作增加支出666万元，全年调减1424.02万元。</w:t>
      </w:r>
    </w:p>
    <w:p>
      <w:pPr>
        <w:pStyle w:val="2"/>
        <w:numPr>
          <w:ilvl w:val="0"/>
          <w:numId w:val="0"/>
        </w:numPr>
        <w:rPr>
          <w:rFonts w:hint="eastAsia" w:ascii="仿宋" w:hAnsi="仿宋" w:eastAsia="仿宋" w:cs="仿宋"/>
          <w:color w:val="auto"/>
          <w:kern w:val="2"/>
          <w:sz w:val="32"/>
          <w:szCs w:val="32"/>
          <w:lang w:val="en-US" w:eastAsia="zh-CN" w:bidi="ar-SA"/>
        </w:rPr>
      </w:pPr>
      <w:r>
        <w:rPr>
          <w:rFonts w:hint="eastAsia"/>
          <w:lang w:val="en-US" w:eastAsia="zh-CN"/>
        </w:rPr>
        <w:t xml:space="preserve"> </w:t>
      </w:r>
      <w:r>
        <w:rPr>
          <w:rFonts w:hint="eastAsia" w:ascii="仿宋" w:hAnsi="仿宋" w:eastAsia="仿宋" w:cs="仿宋"/>
          <w:color w:val="auto"/>
          <w:kern w:val="2"/>
          <w:sz w:val="32"/>
          <w:szCs w:val="32"/>
          <w:lang w:val="en-US" w:eastAsia="zh-CN" w:bidi="ar-SA"/>
        </w:rPr>
        <w:t xml:space="preserve">   4、2020年年初结转结余为1634.78万元，年末结余结转为770.21万元。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2020年我局机关实际总支出为4098.14万元。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1.基本支出执行情况。基本支出2412.97万元，其中人员支出1896.63万元，商品和服务支出441.40万元，对个人和家庭的补助支出约64.14万元，其他资本性支出10.8万元。</w:t>
      </w:r>
    </w:p>
    <w:p>
      <w:pPr>
        <w:snapToGrid w:val="0"/>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2.业务性专项执行情况。业务性专项支出212.14万元，主要为：农村危房改造工作经费82.79万元，人防开支90.68万元，住建项目前期工作经费38.67（含小城镇建设、新农村建设、新型城镇化建设等）。</w:t>
      </w:r>
    </w:p>
    <w:p>
      <w:pPr>
        <w:snapToGrid w:val="0"/>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性专项执行情况。项目性专项支出1473.03万元，主要为：城市地下管线普查41.91万元，城市地下管线信息平台建设40万元，施工图审费115.73万元，壶天镇传统村落保护建设150万元，洙津渡饮用水源地保护建设243.84万元，建筑工匠培训10万元，乡镇污水处理厂建设243.87万元，黑臭水整治191.88万元，物业精细化管理67.95万元，住房信息构建及维护及纠纷调解6.34万元，政务大楼运行64.18元，白蚁防灭治成本62.6万元，城市精细化管理道路中央隔离设施建设181.41万元，疫情防控53.32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三、部门整体支出绩效情况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lang w:val="en-US" w:eastAsia="zh-CN"/>
        </w:rPr>
      </w:pPr>
      <w:r>
        <w:rPr>
          <w:rFonts w:hint="eastAsia" w:ascii="仿宋" w:hAnsi="仿宋" w:eastAsia="仿宋" w:cs="仿宋"/>
          <w:sz w:val="32"/>
          <w:szCs w:val="32"/>
          <w:lang w:val="en-US" w:eastAsia="zh-CN"/>
        </w:rPr>
        <w:t>2020年我市住房和城乡建设工作坚持以习近平新时代中国特色社会主义思想为指引，坚决落实市委、市政府决策部署，科学应对各种风险挑战，围绕行业发展、民生保障、社会治理、生态改善持续发力，在湘潭市2020年度住建领域单项工作评比中，我市10项工作名列榜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（一）建筑行业综合实力有新提升。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kern w:val="0"/>
          <w:sz w:val="32"/>
          <w:szCs w:val="32"/>
          <w:lang w:val="en-US" w:eastAsia="zh-CN" w:bidi="ar"/>
        </w:rPr>
        <w:t>坚持疫情防控与产业发展两手抓、两不误，有序推动复工复产，各项指标实现逆势增长。全年完成建筑业总产值118.5亿元，同比增长16.6%。建筑业本地实缴税收5.24亿元，同比增长18.4%，占全市税收收入的28.13%，比上年提高4.1个百分点。新迁入湖南鉴仪、中锋建设等企业9家，新审批企业20家，全市建筑业企业从139家增加到168家（其中一级企业7家，二级企业47家），资质等级和结构体系进一步优化。建筑业企业中产值过5亿元的企业8家，过亿元的企业达到35家。创本地税收1000万元以上的企业</w:t>
      </w:r>
      <w:r>
        <w:rPr>
          <w:rFonts w:hint="eastAsia" w:ascii="仿宋" w:hAnsi="仿宋" w:eastAsia="仿宋" w:cs="仿宋"/>
          <w:sz w:val="32"/>
          <w:szCs w:val="32"/>
          <w:lang w:val="en-US" w:eastAsia="zh-CN"/>
        </w:rPr>
        <w:t>有11家，其中</w:t>
      </w:r>
      <w:r>
        <w:rPr>
          <w:rFonts w:hint="eastAsia" w:ascii="仿宋" w:hAnsi="仿宋" w:eastAsia="仿宋" w:cs="仿宋"/>
          <w:kern w:val="0"/>
          <w:sz w:val="32"/>
          <w:szCs w:val="32"/>
          <w:lang w:val="en-US" w:eastAsia="zh-CN" w:bidi="ar"/>
        </w:rPr>
        <w:t>湘乡市电力建设、湖南腾达电力2家企业本地税收超过3000万元，湖南鸿安、湘棋送变电、湘福建筑、龙飞电力4家企业本地税收在2000万元以上。</w:t>
      </w:r>
      <w:r>
        <w:rPr>
          <w:rFonts w:hint="eastAsia" w:ascii="仿宋" w:hAnsi="仿宋" w:eastAsia="仿宋" w:cs="仿宋"/>
          <w:sz w:val="32"/>
          <w:szCs w:val="32"/>
          <w:lang w:val="en-US" w:eastAsia="zh-CN"/>
        </w:rPr>
        <w:t>10万“建筑湘军”遍布各地，</w:t>
      </w:r>
      <w:r>
        <w:rPr>
          <w:rStyle w:val="14"/>
          <w:rFonts w:hint="eastAsia" w:ascii="仿宋" w:hAnsi="仿宋" w:eastAsia="仿宋" w:cs="仿宋"/>
          <w:kern w:val="2"/>
          <w:sz w:val="32"/>
          <w:szCs w:val="32"/>
          <w:lang w:val="en-US" w:eastAsia="zh-CN" w:bidi="ar-SA"/>
        </w:rPr>
        <w:t>建筑业成为我市名副其实的支柱产业</w:t>
      </w:r>
      <w:r>
        <w:rPr>
          <w:rFonts w:hint="eastAsia" w:ascii="仿宋" w:hAnsi="仿宋" w:eastAsia="仿宋" w:cs="仿宋"/>
          <w:sz w:val="32"/>
          <w:szCs w:val="32"/>
          <w:lang w:val="en-US" w:eastAsia="zh-CN"/>
        </w:rPr>
        <w:t>。全年获评省优质工程4个，湘莲奖7个，湘潭市优质工程10个，品牌效应进一步凸显。加大工程建设领域招投标专项整治和标后稽查，市场秩序进一步规范。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（二）住房保障住有所居有新成效。</w:t>
      </w:r>
    </w:p>
    <w:p>
      <w:pPr>
        <w:pStyle w:val="3"/>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房地产市场稳中有进。全年完成房地产投资26.44亿元；商品房销售面积70.02万㎡，销售金额35.63亿元，实现税收2.62亿元。如燕兴房地产、裕源东山置业年度上缴税收达1.26亿元，成为全市房地产标志性企业。今年1月18日至2月9日举办的网上房博会，累计成交额近17亿元，销售房产3120套近32万㎡，有效提振了市场信心。</w:t>
      </w:r>
    </w:p>
    <w:p>
      <w:pPr>
        <w:pStyle w:val="3"/>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以办好民生实事为重要抓手，对全市危改对象普查复核做到“不漏一户、户户可查”。完成农村危房改造446户，拨付危改资金1241.15万元。完成骄阳小区、涟滨小区二期、三建大厦等24个老旧小区改造，惠及2090户小区居民，完成棚户区改造改扩翻1158户，得到群众一致好评。</w:t>
      </w:r>
    </w:p>
    <w:p>
      <w:pPr>
        <w:pStyle w:val="3"/>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（三）推进新型城镇建设有新进展。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0"/>
          <w:sz w:val="32"/>
          <w:szCs w:val="32"/>
          <w:lang w:val="en-US" w:eastAsia="zh-CN" w:bidi="ar"/>
        </w:rPr>
        <w:t>持续推进以人为核心的新型城镇化，城市框架进一步拓展，城乡面貌显著改善，全市常住人口城镇化率达53%。积极推进黑臭水体治理，启动欧家港渠道底泥整治工程，完成龙洞镇大家塘、栗山镇西山村大塘2处乡镇黑臭水体治理。着力农村人居环境改善，12处非正规垃圾堆放点全面销号清零，建成乡镇垃圾中转站16处，拆除国省干道旁敞口垃圾池435个，形成“户分类、村收集、乡（镇）转运、市处理”的垃圾处理体系。推进泉塘、东郊、毛田3个污水处理厂建设，</w:t>
      </w:r>
      <w:r>
        <w:rPr>
          <w:rFonts w:hint="eastAsia" w:ascii="仿宋" w:hAnsi="仿宋" w:eastAsia="仿宋" w:cs="仿宋"/>
          <w:color w:val="auto"/>
          <w:kern w:val="2"/>
          <w:sz w:val="32"/>
          <w:szCs w:val="32"/>
          <w:lang w:val="en-US" w:eastAsia="zh-CN" w:bidi="ar-SA"/>
        </w:rPr>
        <w:t>投入运行。</w:t>
      </w:r>
    </w:p>
    <w:p>
      <w:pPr>
        <w:pStyle w:val="3"/>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（四）促进优质安全发展有新亮点。</w:t>
      </w:r>
    </w:p>
    <w:p>
      <w:pPr>
        <w:pStyle w:val="3"/>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深化风险隐患“大排查大管控大整治”行动，扎实开展建设领域“强执法防事故”“打非治违”等专项行动。全年对62个在建项目开展季度质量安全检查、重大危险源专项排查、安全生产与质量管理标准化考评等工作，覆盖建筑面积158.52万㎡。共下工地监督检查1272次，发现并处理一般质量安全问题597起，实现受监工地连续78个月零亡人记录，全市建筑行业安全形势保持平稳可控。</w:t>
      </w:r>
      <w:r>
        <w:rPr>
          <w:rFonts w:hint="eastAsia" w:ascii="仿宋" w:hAnsi="仿宋" w:eastAsia="仿宋" w:cs="仿宋"/>
          <w:sz w:val="32"/>
          <w:szCs w:val="32"/>
        </w:rPr>
        <w:t>全面完成用作经营的农村自建房安全隐患排查</w:t>
      </w:r>
      <w:r>
        <w:rPr>
          <w:rFonts w:hint="eastAsia" w:ascii="仿宋" w:hAnsi="仿宋" w:eastAsia="仿宋" w:cs="仿宋"/>
          <w:sz w:val="32"/>
          <w:szCs w:val="32"/>
          <w:lang w:eastAsia="zh-CN"/>
        </w:rPr>
        <w:t>。</w:t>
      </w:r>
      <w:r>
        <w:rPr>
          <w:rFonts w:hint="eastAsia" w:ascii="仿宋" w:hAnsi="仿宋" w:eastAsia="仿宋" w:cs="仿宋"/>
          <w:color w:val="auto"/>
          <w:kern w:val="0"/>
          <w:sz w:val="32"/>
          <w:szCs w:val="32"/>
          <w:lang w:val="en-US" w:eastAsia="zh-CN" w:bidi="ar"/>
        </w:rPr>
        <w:t>培训农村建筑工匠600余人。积极开展人防宣传教育，强化人防实战演练，提高人防通信指挥能力。定期组织人防工程安全巡查。</w:t>
      </w:r>
    </w:p>
    <w:p>
      <w:pPr>
        <w:pStyle w:val="3"/>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（五）行业管理工作作风有新转变。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加速推进工程建设项目审批制度改革。全面落实“四个统一”改革要求，实行线上审批。精简审批事项和流程，将全市原有104个审批事项缩减为47个，对其中36个审批事项实行并联审批。推行告知承诺制、“多图联审”、“多测合一”、区域评估、联合验收。政府、社会、工业投资项目审批总时限压减到65、55、50个工作日以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绿色建筑管理进一步加强。推广大型绿色建筑项目3个，新建绿色建筑执行绿色建筑标准达76.1%，建筑节能强制性标准实施综合达到100%。城区在建工程项目新墙材应用率保持100%。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themeColor="text1"/>
          <w:spacing w:val="0"/>
          <w:kern w:val="2"/>
          <w:sz w:val="32"/>
          <w:szCs w:val="32"/>
          <w:lang w:val="en-US" w:eastAsia="zh-CN" w:bidi="ar-SA"/>
          <w14:textFill>
            <w14:solidFill>
              <w14:schemeClr w14:val="tx1"/>
            </w14:solidFill>
          </w14:textFill>
        </w:rPr>
      </w:pPr>
      <w:r>
        <w:rPr>
          <w:rFonts w:hint="eastAsia" w:ascii="仿宋" w:hAnsi="仿宋" w:eastAsia="仿宋" w:cs="仿宋"/>
          <w:sz w:val="32"/>
          <w:szCs w:val="32"/>
          <w:lang w:val="en-US" w:eastAsia="zh-CN"/>
        </w:rPr>
        <w:t>物业服务行业管理水平进一步提升。</w:t>
      </w:r>
      <w:r>
        <w:rPr>
          <w:rFonts w:hint="eastAsia" w:ascii="仿宋" w:hAnsi="仿宋" w:eastAsia="仿宋" w:cs="仿宋"/>
          <w:color w:val="000000" w:themeColor="text1"/>
          <w:spacing w:val="0"/>
          <w:kern w:val="2"/>
          <w:sz w:val="32"/>
          <w:szCs w:val="32"/>
          <w:lang w:val="en-US" w:eastAsia="zh-CN" w:bidi="ar-SA"/>
          <w14:textFill>
            <w14:solidFill>
              <w14:schemeClr w14:val="tx1"/>
            </w14:solidFill>
          </w14:textFill>
        </w:rPr>
        <w:t>培训小区业主委员会、物业从业人员1500余人次，发放宣传资料5000余册。</w:t>
      </w:r>
      <w:r>
        <w:rPr>
          <w:rFonts w:hint="eastAsia" w:ascii="仿宋" w:hAnsi="仿宋" w:eastAsia="仿宋" w:cs="仿宋"/>
          <w:sz w:val="32"/>
          <w:szCs w:val="32"/>
          <w:lang w:val="en-US" w:eastAsia="zh-CN"/>
        </w:rPr>
        <w:t>制定物业管理联席会议制度，畅通住宅小区矛盾纠纷排解渠道。滨江壹号、燕兴华城三期、缇香尊邸等5个项目获湖南省五星级物业服务项目称号，湘房三期、尊城水岸获省三星级物业服务项目称号。</w:t>
      </w:r>
      <w:r>
        <w:rPr>
          <w:rFonts w:hint="eastAsia" w:ascii="仿宋" w:hAnsi="仿宋" w:eastAsia="仿宋" w:cs="仿宋"/>
          <w:color w:val="000000" w:themeColor="text1"/>
          <w:spacing w:val="0"/>
          <w:kern w:val="2"/>
          <w:sz w:val="32"/>
          <w:szCs w:val="32"/>
          <w:lang w:val="en-US" w:eastAsia="zh-CN" w:bidi="ar-SA"/>
          <w14:textFill>
            <w14:solidFill>
              <w14:schemeClr w14:val="tx1"/>
            </w14:solidFill>
          </w14:textFill>
        </w:rPr>
        <w:t>疫情防控期间，全市43家物业企业2000余名从业人员与所在社区工作者日夜坚守岗位，筑牢小区“防护墙”。湘乡住建获湘潭市抗击新冠肺炎疫情先进单位。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四、存在的主要问题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（一）部门预算年初考虑欠缺全面性，致使年中增加预算。同时，中心工作并未在年初时一并考虑，故年中收支预算增加。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（二）财政拨款不能及时到位，造成年终账面结余资金虚高。因政府财力紧张，拨款不能及时到位，单位各项资金不能及时支付，到年底时结存指标较多，但实际却应付未付，造成结余数与实际数相差较大。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五、改进措施和有关建议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（一）及时拨付相关费用，减少年终结余结转资金量，保障各项工作顺利进行。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（二）建议进一步增加公用经费标准。2021年局机关公用经费标准虽已从上年的7200元/人.年提升至10000元/人.年,住房公积金已从10%提升到12%缴纳，但与实际开支相比，缺口仍然很大。</w:t>
      </w:r>
      <w:r>
        <w:rPr>
          <w:rFonts w:hint="eastAsia" w:ascii="仿宋" w:hAnsi="仿宋" w:eastAsia="仿宋" w:cs="仿宋"/>
          <w:color w:val="auto"/>
          <w:sz w:val="32"/>
          <w:szCs w:val="32"/>
          <w:lang w:val="en-US" w:eastAsia="zh-CN"/>
        </w:rPr>
        <w:t>主要因有些支出有政策文件依据必须支出，但预算并未安排，如残疾人就业基金、大防控经费、伙食费、党建经费、退休人员慰问等等。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六、绩效目标自评结论及报告附表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2020年住建局的各项工作按期优质完成，取得了较好的经济及社会效益，各界反响良好，对湘乡经济社会发展作出了较大贡献。各项年初绩效目标全部实现，其中绝大部份指标超额完成，自评计分</w:t>
      </w:r>
      <w:r>
        <w:rPr>
          <w:rFonts w:hint="eastAsia" w:ascii="仿宋" w:hAnsi="仿宋" w:eastAsia="仿宋" w:cs="仿宋"/>
          <w:color w:val="auto"/>
          <w:sz w:val="32"/>
          <w:szCs w:val="32"/>
          <w:lang w:val="en-US" w:eastAsia="zh-CN"/>
        </w:rPr>
        <w:t>95</w:t>
      </w:r>
      <w:r>
        <w:rPr>
          <w:rFonts w:hint="eastAsia" w:ascii="仿宋" w:hAnsi="仿宋" w:eastAsia="仿宋" w:cs="仿宋"/>
          <w:sz w:val="32"/>
          <w:szCs w:val="32"/>
          <w:lang w:val="en-US" w:eastAsia="zh-CN"/>
        </w:rPr>
        <w:t>分，评定等级为优秀。</w:t>
      </w:r>
    </w:p>
    <w:p>
      <w:pPr>
        <w:keepNext w:val="0"/>
        <w:keepLines w:val="0"/>
        <w:pageBreakBefore w:val="0"/>
        <w:widowControl w:val="0"/>
        <w:kinsoku/>
        <w:wordWrap/>
        <w:overflowPunct/>
        <w:topLinePunct w:val="0"/>
        <w:autoSpaceDE/>
        <w:autoSpaceDN/>
        <w:bidi w:val="0"/>
        <w:adjustRightInd/>
        <w:snapToGrid/>
        <w:spacing w:line="600" w:lineRule="exact"/>
        <w:ind w:firstLine="5760" w:firstLineChars="18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5760" w:firstLineChars="1800"/>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5760" w:firstLineChars="1800"/>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5760" w:firstLineChars="18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湘乡市住房和城乡建设局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2021年8月15日</w:t>
      </w:r>
    </w:p>
    <w:p>
      <w:pPr>
        <w:ind w:firstLine="640" w:firstLineChars="200"/>
        <w:jc w:val="left"/>
        <w:rPr>
          <w:rFonts w:cs="黑体" w:asciiTheme="minorEastAsia" w:hAnsiTheme="minorEastAsia"/>
          <w:color w:val="000000"/>
          <w:kern w:val="0"/>
          <w:sz w:val="32"/>
          <w:szCs w:val="32"/>
        </w:rPr>
      </w:pPr>
    </w:p>
    <w:sectPr>
      <w:headerReference r:id="rId3" w:type="default"/>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3E4859"/>
    <w:multiLevelType w:val="singleLevel"/>
    <w:tmpl w:val="C73E4859"/>
    <w:lvl w:ilvl="0" w:tentative="0">
      <w:start w:val="2"/>
      <w:numFmt w:val="decimal"/>
      <w:suff w:val="nothing"/>
      <w:lvlText w:val="%1、"/>
      <w:lvlJc w:val="left"/>
    </w:lvl>
  </w:abstractNum>
  <w:abstractNum w:abstractNumId="1">
    <w:nsid w:val="C74D7E52"/>
    <w:multiLevelType w:val="singleLevel"/>
    <w:tmpl w:val="C74D7E52"/>
    <w:lvl w:ilvl="0" w:tentative="0">
      <w:start w:val="6"/>
      <w:numFmt w:val="decimal"/>
      <w:suff w:val="nothing"/>
      <w:lvlText w:val="%1、"/>
      <w:lvlJc w:val="left"/>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ZTI1OTQxNDA3MzIzMDUxNzljZWY4OTVjM2ZiZTUifQ=="/>
  </w:docVars>
  <w:rsids>
    <w:rsidRoot w:val="00172A27"/>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D7C5045"/>
    <w:rsid w:val="108E196C"/>
    <w:rsid w:val="13285ED1"/>
    <w:rsid w:val="1C1022F1"/>
    <w:rsid w:val="24B90244"/>
    <w:rsid w:val="28EC51BF"/>
    <w:rsid w:val="2BDD0516"/>
    <w:rsid w:val="3E9D02CC"/>
    <w:rsid w:val="4303139E"/>
    <w:rsid w:val="5B2B5B55"/>
    <w:rsid w:val="79CF26E5"/>
    <w:rsid w:val="7A347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4"/>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 w:type="paragraph" w:styleId="3">
    <w:name w:val="Normal Indent"/>
    <w:basedOn w:val="1"/>
    <w:qFormat/>
    <w:uiPriority w:val="0"/>
    <w:pPr>
      <w:ind w:firstLine="200" w:firstLineChars="200"/>
    </w:pPr>
    <w:rPr>
      <w:rFonts w:ascii="Times New Roman" w:hAnsi="Times New Roman" w:eastAsia="宋体" w:cs="Times New Roman"/>
    </w:rPr>
  </w:style>
  <w:style w:type="paragraph" w:styleId="4">
    <w:name w:val="Balloon Text"/>
    <w:basedOn w:val="1"/>
    <w:link w:val="13"/>
    <w:semiHidden/>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4"/>
    <w:semiHidden/>
    <w:qFormat/>
    <w:uiPriority w:val="99"/>
    <w:rPr>
      <w:sz w:val="18"/>
      <w:szCs w:val="18"/>
    </w:rPr>
  </w:style>
  <w:style w:type="character" w:customStyle="1" w:styleId="14">
    <w:name w:val="NormalCharacter"/>
    <w:link w:val="1"/>
    <w:semiHidden/>
    <w:qFormat/>
    <w:uiPriority w:val="0"/>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45</Pages>
  <Words>17119</Words>
  <Characters>21029</Characters>
  <Lines>62</Lines>
  <Paragraphs>17</Paragraphs>
  <TotalTime>31</TotalTime>
  <ScaleCrop>false</ScaleCrop>
  <LinksUpToDate>false</LinksUpToDate>
  <CharactersWithSpaces>21808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WPS_1687165778</cp:lastModifiedBy>
  <cp:lastPrinted>2021-07-28T00:12:00Z</cp:lastPrinted>
  <dcterms:modified xsi:type="dcterms:W3CDTF">2024-11-14T02:51:05Z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SaveFontToCloudKey">
    <vt:lpwstr>304723863_btnclosed</vt:lpwstr>
  </property>
  <property fmtid="{D5CDD505-2E9C-101B-9397-08002B2CF9AE}" pid="4" name="ICV">
    <vt:lpwstr>90E50AC9BA674E3895F30C505BAD1CDE</vt:lpwstr>
  </property>
</Properties>
</file>