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sz w:val="56"/>
          <w:szCs w:val="56"/>
        </w:rPr>
      </w:pPr>
    </w:p>
    <w:p>
      <w:pPr>
        <w:pStyle w:val="12"/>
        <w:jc w:val="center"/>
        <w:rPr>
          <w:sz w:val="56"/>
          <w:szCs w:val="56"/>
        </w:rPr>
      </w:pPr>
    </w:p>
    <w:p>
      <w:pPr>
        <w:pStyle w:val="12"/>
        <w:jc w:val="center"/>
        <w:rPr>
          <w:sz w:val="84"/>
          <w:szCs w:val="84"/>
        </w:rPr>
      </w:pPr>
    </w:p>
    <w:p>
      <w:pPr>
        <w:pStyle w:val="12"/>
        <w:jc w:val="center"/>
        <w:rPr>
          <w:sz w:val="84"/>
          <w:szCs w:val="84"/>
        </w:rPr>
      </w:pPr>
    </w:p>
    <w:p>
      <w:pPr>
        <w:pStyle w:val="12"/>
        <w:jc w:val="center"/>
        <w:rPr>
          <w:sz w:val="84"/>
          <w:szCs w:val="84"/>
        </w:rPr>
      </w:pPr>
      <w:r>
        <w:rPr>
          <w:rFonts w:hint="eastAsia"/>
          <w:sz w:val="84"/>
          <w:szCs w:val="84"/>
        </w:rPr>
        <w:t>2019年度</w:t>
      </w:r>
    </w:p>
    <w:p>
      <w:pPr>
        <w:pStyle w:val="12"/>
        <w:jc w:val="center"/>
        <w:rPr>
          <w:sz w:val="84"/>
          <w:szCs w:val="84"/>
        </w:rPr>
      </w:pPr>
      <w:r>
        <w:rPr>
          <w:rFonts w:hint="eastAsia"/>
          <w:sz w:val="84"/>
          <w:szCs w:val="84"/>
        </w:rPr>
        <w:t>湘乡市水利局（本级）部门决算</w:t>
      </w: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spacing w:line="540" w:lineRule="exact"/>
        <w:jc w:val="center"/>
        <w:rPr>
          <w:sz w:val="56"/>
          <w:szCs w:val="56"/>
        </w:rPr>
      </w:pPr>
    </w:p>
    <w:p>
      <w:pPr>
        <w:pStyle w:val="12"/>
        <w:spacing w:line="520" w:lineRule="exact"/>
        <w:jc w:val="center"/>
        <w:rPr>
          <w:sz w:val="56"/>
          <w:szCs w:val="56"/>
        </w:rPr>
      </w:pPr>
      <w:r>
        <w:rPr>
          <w:rFonts w:hint="eastAsia"/>
          <w:sz w:val="56"/>
          <w:szCs w:val="56"/>
        </w:rPr>
        <w:t>目录</w:t>
      </w:r>
    </w:p>
    <w:p>
      <w:pPr>
        <w:pStyle w:val="12"/>
        <w:spacing w:line="520" w:lineRule="exact"/>
        <w:rPr>
          <w:rFonts w:ascii="仿宋_GB2312" w:hAnsi="仿宋_GB2312" w:cs="仿宋_GB2312"/>
          <w:b/>
          <w:sz w:val="28"/>
          <w:szCs w:val="28"/>
        </w:rPr>
      </w:pPr>
      <w:r>
        <w:rPr>
          <w:rFonts w:hint="eastAsia"/>
          <w:b/>
          <w:sz w:val="28"/>
          <w:szCs w:val="28"/>
        </w:rPr>
        <w:t>第一部分 湘乡市水利局概况</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520" w:lineRule="exact"/>
        <w:rPr>
          <w:rFonts w:ascii="仿宋_GB2312" w:hAnsi="仿宋_GB2312" w:cs="仿宋_GB2312"/>
          <w:b/>
          <w:sz w:val="28"/>
          <w:szCs w:val="28"/>
        </w:rPr>
      </w:pPr>
      <w:r>
        <w:rPr>
          <w:rFonts w:hint="eastAsia" w:hAnsi="仿宋_GB2312"/>
          <w:b/>
          <w:sz w:val="28"/>
          <w:szCs w:val="28"/>
        </w:rPr>
        <w:t xml:space="preserve">第二部分 </w:t>
      </w:r>
      <w:r>
        <w:rPr>
          <w:rFonts w:hAnsi="仿宋_GB2312"/>
          <w:b/>
          <w:sz w:val="28"/>
          <w:szCs w:val="28"/>
        </w:rPr>
        <w:t>2019</w:t>
      </w:r>
      <w:r>
        <w:rPr>
          <w:rFonts w:hint="eastAsia" w:hAnsi="仿宋_GB2312"/>
          <w:b/>
          <w:sz w:val="28"/>
          <w:szCs w:val="28"/>
        </w:rPr>
        <w:t>年度部门决算表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2"/>
        <w:spacing w:line="520" w:lineRule="exact"/>
        <w:rPr>
          <w:rFonts w:ascii="仿宋_GB2312" w:hAnsi="仿宋_GB2312" w:cs="仿宋_GB2312"/>
          <w:b/>
          <w:sz w:val="28"/>
          <w:szCs w:val="28"/>
        </w:rPr>
      </w:pPr>
      <w:r>
        <w:rPr>
          <w:rFonts w:hint="eastAsia" w:hAnsi="仿宋_GB2312"/>
          <w:b/>
          <w:sz w:val="28"/>
          <w:szCs w:val="28"/>
        </w:rPr>
        <w:t xml:space="preserve">第三部分 </w:t>
      </w:r>
      <w:r>
        <w:rPr>
          <w:rFonts w:hAnsi="仿宋_GB2312"/>
          <w:b/>
          <w:sz w:val="28"/>
          <w:szCs w:val="28"/>
        </w:rPr>
        <w:t>2019</w:t>
      </w:r>
      <w:r>
        <w:rPr>
          <w:rFonts w:hint="eastAsia" w:hAnsi="仿宋_GB2312"/>
          <w:b/>
          <w:sz w:val="28"/>
          <w:szCs w:val="28"/>
        </w:rPr>
        <w:t>年度部门决算情况说明</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rPr>
        <w:t xml:space="preserve"> </w:t>
      </w:r>
      <w:r>
        <w:rPr>
          <w:rFonts w:ascii="黑体" w:hAnsi="黑体" w:eastAsia="黑体" w:cs="黑体"/>
          <w:b/>
          <w:color w:val="000000"/>
          <w:kern w:val="0"/>
          <w:sz w:val="28"/>
          <w:szCs w:val="28"/>
        </w:rPr>
        <w:t>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w:t>
      </w:r>
      <w:r>
        <w:rPr>
          <w:rFonts w:hint="eastAsia" w:ascii="黑体" w:hAnsi="黑体" w:eastAsia="黑体" w:cs="黑体"/>
          <w:b/>
          <w:color w:val="000000"/>
          <w:kern w:val="0"/>
          <w:sz w:val="28"/>
          <w:szCs w:val="28"/>
        </w:rPr>
        <w:t xml:space="preserve"> </w:t>
      </w:r>
      <w:r>
        <w:rPr>
          <w:rFonts w:ascii="黑体" w:hAnsi="黑体" w:eastAsia="黑体" w:cs="黑体"/>
          <w:b/>
          <w:color w:val="000000"/>
          <w:kern w:val="0"/>
          <w:sz w:val="28"/>
          <w:szCs w:val="28"/>
        </w:rPr>
        <w:t>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2"/>
        <w:jc w:val="center"/>
        <w:rPr>
          <w:sz w:val="84"/>
          <w:szCs w:val="84"/>
        </w:rPr>
      </w:pPr>
      <w:r>
        <w:rPr>
          <w:rFonts w:hint="eastAsia"/>
          <w:sz w:val="84"/>
          <w:szCs w:val="84"/>
        </w:rPr>
        <w:t>第一部分</w:t>
      </w:r>
      <w:r>
        <w:rPr>
          <w:sz w:val="84"/>
          <w:szCs w:val="84"/>
        </w:rPr>
        <w:t xml:space="preserve"> </w:t>
      </w:r>
    </w:p>
    <w:p>
      <w:pPr>
        <w:pStyle w:val="12"/>
        <w:jc w:val="center"/>
        <w:rPr>
          <w:sz w:val="84"/>
          <w:szCs w:val="84"/>
        </w:rPr>
      </w:pPr>
    </w:p>
    <w:p>
      <w:pPr>
        <w:pStyle w:val="12"/>
        <w:jc w:val="center"/>
        <w:rPr>
          <w:sz w:val="84"/>
          <w:szCs w:val="84"/>
        </w:rPr>
      </w:pPr>
      <w:r>
        <w:rPr>
          <w:rFonts w:hint="eastAsia"/>
          <w:sz w:val="84"/>
          <w:szCs w:val="84"/>
        </w:rPr>
        <w:t>湘乡市水利局单位概况</w:t>
      </w:r>
    </w:p>
    <w:p>
      <w:pPr>
        <w:rPr>
          <w:sz w:val="72"/>
          <w:szCs w:val="72"/>
        </w:rPr>
      </w:pPr>
    </w:p>
    <w:p>
      <w:pPr>
        <w:pStyle w:val="13"/>
        <w:ind w:left="720" w:firstLine="0" w:firstLineChars="0"/>
        <w:jc w:val="left"/>
        <w:rPr>
          <w:rFonts w:ascii="黑体" w:hAnsi="黑体" w:eastAsia="黑体"/>
          <w:sz w:val="32"/>
          <w:szCs w:val="32"/>
        </w:rPr>
      </w:pPr>
    </w:p>
    <w:p>
      <w:pPr>
        <w:pStyle w:val="13"/>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贯彻执行国家、省有关涉水行政工作的法律、法规、规章和方针政策;研究拟订全市水利工作的方针政策、发展战略、中长期规划和年度计划。负责保障全市水资源的合理开发和利用;按规定制定水利工程建设有关制度并组织实施;负责提出水利固定资产投资规模、方向和政府财政性资金安排的建议;按规定权限审批、核准全市规划内和年度计划内水利固定资产投资项目，提出全市水利建设投资安排建议并组织实施。</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（2）组织、指导水政监察和水行政执法;协调县、市、区和协调并仲裁部门、乡、镇间的水事纠纷，维护稳定水事秩序。</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3）拟定水利行业的经济调节措施;负责水利行业的国有资产保值增值的监管，对水利资金的使用进行宏观调节和监管;指导水利行业的供水、水利及多种经营工作;研究提出有关水利的价格、税收、信贷、财务等经济调解意见，按政策法律规定加强水利经费的征收管理。</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（4）负责全市水利建设与管理工作。按管理权限组织编制和负责审查水利基建项目和可行性报告;组织水利科学研究和技术推广;监督实施水利行业技术质量标准和水利工程的规程、规范。</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5）组织、指导水利设施、水域及其岸线的管理与保护;组织指导江河、湖泊、水库、河口滩涂的治理和开发;组织建设和指导管理具有控制型的或跨县、市、区或乡、镇的重要水利工程;组织、指导水库、水电站大坝等水利设施的安全监管。</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（6）负责防治水旱灾害。承担市防汛抗旱指挥部的日常工作，组织、协调、监督、指导全市防汛抗旱工作，对主要河流及重要水利工程实施防汛抗旱调度。</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（7）负责管理、规范全市河道采砂;组织实施采砂许可制度和采砂费征收管理制度;确保河道水流域畅通。</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8）负责统一管理水资源(含空中水、地表水、地下水);组织拟订全市和跨县、市、区长期供求计划、水量分配方案并监督实施;组织有关国民经济总体规划、城市规划及重大建设项目的水资源和防洪的论证工作;组织实施取水许可证制度和水资源费征收制度;拟定节约用水政策、编制节约用水规划并制定有关标准，组织、指导和监督全市节约用水工作，发布全市水资源信息。</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（9）负责全市水土保持工作。研究制定水土保持工程措施规划并监督实施，组织水土流失的监测和综合防治。</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（10）指导农村水利工作。组织协调农田水利基本建设、农村水电电气化和乡镇供水工作;指导节水灌溉和农村饮水安全工作;对水电建设的选址、库容规划提出意见。</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（11）负责市水利行业的科技教育和对外合作工作;指导全市水利队伍建设。</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（12）负责水资源保护工作。组织编制水资源保护规划，组织拟定重要江河湖泊的水功能区划分并监督实施，核定水域纳污能力，提出限制排污总量建议，负责如何入库排污口设置审批工作。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（13）负责水利安全生产工作。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（14）承办市人民政府交办的其他事项。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snapToGrid w:val="0"/>
        <w:spacing w:line="56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（一）内设机构设置。湘乡市水利局包括办公室、水政股等10个股室以及水资源管理办公室、五座中型水库</w:t>
      </w:r>
      <w:r>
        <w:rPr>
          <w:rFonts w:hint="eastAsia" w:asciiTheme="minorEastAsia" w:hAnsiTheme="minorEastAsia" w:cstheme="minorEastAsia"/>
          <w:sz w:val="32"/>
          <w:szCs w:val="32"/>
        </w:rPr>
        <w:t>(湘乡市长江水库管理所、湘乡市合东水库管理所、湘乡市红日水库管理所、湘乡市桃林水库管理所、湘乡市赤石水库管理所)</w:t>
      </w:r>
      <w:r>
        <w:rPr>
          <w:rFonts w:hint="eastAsia" w:asciiTheme="minorEastAsia" w:hAnsiTheme="minorEastAsia"/>
          <w:bCs/>
          <w:kern w:val="0"/>
          <w:sz w:val="32"/>
          <w:szCs w:val="32"/>
        </w:rPr>
        <w:t>及东山水闸管理所等8个二级机构,当年未有变化。</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（二）决算单位构成：湘乡市水利局单位</w:t>
      </w:r>
      <w:r>
        <w:rPr>
          <w:rFonts w:asciiTheme="minorEastAsia" w:hAnsiTheme="minorEastAsia"/>
          <w:bCs/>
          <w:kern w:val="0"/>
          <w:sz w:val="32"/>
          <w:szCs w:val="32"/>
        </w:rPr>
        <w:t>2019</w:t>
      </w:r>
      <w:r>
        <w:rPr>
          <w:rFonts w:hint="eastAsia" w:asciiTheme="minorEastAsia" w:hAnsiTheme="minorEastAsia"/>
          <w:bCs/>
          <w:kern w:val="0"/>
          <w:sz w:val="32"/>
          <w:szCs w:val="32"/>
        </w:rPr>
        <w:t>年部门决算本级。</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公开单位构成包括：湘乡市水利局单位本级。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jc w:val="center"/>
        <w:rPr>
          <w:rFonts w:ascii="黑体" w:hAnsi="黑体" w:eastAsia="黑体"/>
          <w:sz w:val="36"/>
          <w:szCs w:val="32"/>
        </w:rPr>
      </w:pPr>
      <w:r>
        <w:rPr>
          <w:rFonts w:hint="eastAsia" w:ascii="黑体" w:hAnsi="黑体" w:eastAsia="黑体"/>
          <w:sz w:val="36"/>
          <w:szCs w:val="32"/>
        </w:rPr>
        <w:t>收入支出决算总表</w:t>
      </w:r>
    </w:p>
    <w:p>
      <w:pPr>
        <w:widowControl/>
        <w:spacing w:line="320" w:lineRule="exact"/>
        <w:ind w:right="198"/>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部门：湘乡市水利局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w:t>
      </w:r>
      <w:r>
        <w:rPr>
          <w:rFonts w:ascii="Times New Roman" w:hAnsi="Times New Roman" w:eastAsia="仿宋_GB2312" w:cs="Times New Roman"/>
          <w:color w:val="000000"/>
          <w:kern w:val="0"/>
          <w:szCs w:val="21"/>
        </w:rPr>
        <w:t>01</w:t>
      </w:r>
      <w:r>
        <w:rPr>
          <w:rFonts w:hint="eastAsia" w:ascii="Times New Roman" w:hAnsi="Times New Roman" w:eastAsia="仿宋_GB2312" w:cs="Times New Roman"/>
          <w:color w:val="000000"/>
          <w:kern w:val="0"/>
          <w:szCs w:val="21"/>
        </w:rPr>
        <w:t>表</w:t>
      </w:r>
    </w:p>
    <w:p>
      <w:pPr>
        <w:widowControl/>
        <w:spacing w:line="320" w:lineRule="exact"/>
        <w:ind w:right="198"/>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单位：万元</w:t>
      </w:r>
    </w:p>
    <w:tbl>
      <w:tblPr>
        <w:tblStyle w:val="8"/>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支出</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224"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次</w:t>
            </w:r>
          </w:p>
        </w:tc>
        <w:tc>
          <w:tcPr>
            <w:tcW w:w="702" w:type="dxa"/>
            <w:tcBorders>
              <w:top w:val="nil"/>
              <w:left w:val="nil"/>
              <w:bottom w:val="single" w:color="auto" w:sz="4" w:space="0"/>
              <w:right w:val="single" w:color="auto" w:sz="4" w:space="0"/>
            </w:tcBorders>
            <w:noWrap/>
            <w:vAlign w:val="center"/>
          </w:tcPr>
          <w:p>
            <w:pP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8741.29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一、一般公共服务支出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二、外交支出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三、上级补助收入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三、国防支出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31</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四、事业收入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四、公共安全支出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32</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五、经营收入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五、教育支出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33</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六、附属单位上缴收入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六、科学技术支出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七、其他收入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七、文化旅游体育与传媒支出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八、社会保障和就业支出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36</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341.06</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九、卫生健康支出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十、节能环保支出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十一、城乡社区支出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39</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十二、农林水支出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40</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11264.78</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十三、交通运输支出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41</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十四、资源勘探信息等支出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十五、商业服务业等支出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十六、金融支出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44</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十七、援助其他地区支出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45</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十八、自然资源海洋气象等支出</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46</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十九、住房保障支出</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47</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二十、粮油物资储备支出</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二十一、灾害防治及应急管理支出</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49</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二十二、其他支出</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51</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本年收入合计</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8745.57　</w:t>
            </w: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本年支出合计</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52</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　11750.14</w:t>
            </w: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用事业基金弥补收支差额</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25</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结余分配</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53</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年初结转和结余</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26</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15334.18　</w:t>
            </w: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年末结转和结余</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54</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12329.62</w:t>
            </w: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27</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55</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28</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b/>
                <w:bCs/>
                <w:kern w:val="0"/>
                <w:szCs w:val="21"/>
              </w:rPr>
              <w:t>24079.75</w:t>
            </w:r>
            <w:r>
              <w:rPr>
                <w:rFonts w:hint="eastAsia" w:ascii="Times New Roman" w:hAnsi="Times New Roman" w:eastAsia="仿宋_GB2312" w:cs="Times New Roman"/>
                <w:kern w:val="0"/>
                <w:szCs w:val="21"/>
              </w:rPr>
              <w:t>　</w:t>
            </w:r>
          </w:p>
        </w:tc>
        <w:tc>
          <w:tcPr>
            <w:tcW w:w="48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56</w:t>
            </w:r>
          </w:p>
        </w:tc>
        <w:tc>
          <w:tcPr>
            <w:tcW w:w="1681"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　24079.75</w:t>
            </w:r>
          </w:p>
        </w:tc>
      </w:tr>
    </w:tbl>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注：本表反映部门本年度的总收支和年末结转结余情况。</w:t>
      </w:r>
    </w:p>
    <w:p>
      <w:pPr>
        <w:widowControl/>
        <w:jc w:val="left"/>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r>
        <w:rPr>
          <w:rFonts w:ascii="Times New Roman" w:hAnsi="Times New Roman" w:eastAsia="黑体" w:cs="Times New Roman"/>
          <w:bCs/>
          <w:kern w:val="0"/>
          <w:sz w:val="32"/>
          <w:szCs w:val="32"/>
        </w:rPr>
        <w:br w:type="page"/>
      </w: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收入决算表</w:t>
      </w:r>
    </w:p>
    <w:p>
      <w:pPr>
        <w:widowControl/>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湘乡市水利局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公开02表</w:t>
      </w:r>
    </w:p>
    <w:p>
      <w:pPr>
        <w:widowControl/>
        <w:ind w:right="63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368" w:type="dxa"/>
        <w:jc w:val="center"/>
        <w:tblLayout w:type="fixed"/>
        <w:tblCellMar>
          <w:top w:w="0" w:type="dxa"/>
          <w:left w:w="108" w:type="dxa"/>
          <w:bottom w:w="0" w:type="dxa"/>
          <w:right w:w="108" w:type="dxa"/>
        </w:tblCellMar>
      </w:tblPr>
      <w:tblGrid>
        <w:gridCol w:w="1197"/>
        <w:gridCol w:w="3640"/>
        <w:gridCol w:w="1065"/>
        <w:gridCol w:w="1455"/>
        <w:gridCol w:w="1110"/>
        <w:gridCol w:w="1170"/>
        <w:gridCol w:w="1260"/>
        <w:gridCol w:w="1860"/>
        <w:gridCol w:w="1056"/>
        <w:gridCol w:w="555"/>
      </w:tblGrid>
      <w:tr>
        <w:tblPrEx>
          <w:tblCellMar>
            <w:top w:w="0" w:type="dxa"/>
            <w:left w:w="108" w:type="dxa"/>
            <w:bottom w:w="0" w:type="dxa"/>
            <w:right w:w="108" w:type="dxa"/>
          </w:tblCellMar>
        </w:tblPrEx>
        <w:trPr>
          <w:trHeight w:val="450" w:hRule="atLeast"/>
          <w:jc w:val="center"/>
        </w:trPr>
        <w:tc>
          <w:tcPr>
            <w:tcW w:w="4837" w:type="dxa"/>
            <w:gridSpan w:val="2"/>
            <w:tcBorders>
              <w:top w:val="single" w:color="auto" w:sz="8" w:space="0"/>
              <w:left w:val="single" w:color="auto" w:sz="8" w:space="0"/>
              <w:bottom w:val="single" w:color="auto"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065"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本年收入合计</w:t>
            </w:r>
          </w:p>
        </w:tc>
        <w:tc>
          <w:tcPr>
            <w:tcW w:w="1455"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财政拨款收入</w:t>
            </w:r>
          </w:p>
        </w:tc>
        <w:tc>
          <w:tcPr>
            <w:tcW w:w="111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上级补助收入</w:t>
            </w:r>
          </w:p>
        </w:tc>
        <w:tc>
          <w:tcPr>
            <w:tcW w:w="117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事业收入</w:t>
            </w:r>
          </w:p>
        </w:tc>
        <w:tc>
          <w:tcPr>
            <w:tcW w:w="126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经营收入</w:t>
            </w:r>
          </w:p>
        </w:tc>
        <w:tc>
          <w:tcPr>
            <w:tcW w:w="186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附属单位上缴收入</w:t>
            </w:r>
          </w:p>
        </w:tc>
        <w:tc>
          <w:tcPr>
            <w:tcW w:w="1611" w:type="dxa"/>
            <w:gridSpan w:val="2"/>
            <w:vMerge w:val="restart"/>
            <w:tcBorders>
              <w:top w:val="single" w:color="auto" w:sz="8" w:space="0"/>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其他收入</w:t>
            </w:r>
          </w:p>
        </w:tc>
      </w:tr>
      <w:tr>
        <w:tblPrEx>
          <w:tblCellMar>
            <w:top w:w="0" w:type="dxa"/>
            <w:left w:w="108" w:type="dxa"/>
            <w:bottom w:w="0" w:type="dxa"/>
            <w:right w:w="108" w:type="dxa"/>
          </w:tblCellMar>
        </w:tblPrEx>
        <w:trPr>
          <w:trHeight w:val="450" w:hRule="atLeast"/>
          <w:jc w:val="center"/>
        </w:trPr>
        <w:tc>
          <w:tcPr>
            <w:tcW w:w="1197" w:type="dxa"/>
            <w:vMerge w:val="restart"/>
            <w:tcBorders>
              <w:top w:val="single" w:color="auto" w:sz="4" w:space="0"/>
              <w:left w:val="single" w:color="auto" w:sz="8" w:space="0"/>
              <w:bottom w:val="single" w:color="000000"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36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06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45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1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7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6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86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11" w:type="dxa"/>
            <w:gridSpan w:val="2"/>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vMerge w:val="continue"/>
            <w:tcBorders>
              <w:top w:val="single" w:color="auto" w:sz="4" w:space="0"/>
              <w:left w:val="single" w:color="auto" w:sz="8" w:space="0"/>
              <w:bottom w:val="single" w:color="000000" w:sz="4" w:space="0"/>
              <w:right w:val="nil"/>
            </w:tcBorders>
            <w:vAlign w:val="center"/>
          </w:tcPr>
          <w:p>
            <w:pPr>
              <w:widowControl/>
              <w:jc w:val="left"/>
              <w:rPr>
                <w:rFonts w:ascii="Times New Roman" w:hAnsi="Times New Roman" w:eastAsia="仿宋_GB2312" w:cs="Times New Roman"/>
                <w:kern w:val="0"/>
                <w:szCs w:val="21"/>
              </w:rPr>
            </w:pPr>
          </w:p>
        </w:tc>
        <w:tc>
          <w:tcPr>
            <w:tcW w:w="36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6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45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1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7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6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86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11" w:type="dxa"/>
            <w:gridSpan w:val="2"/>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837" w:type="dxa"/>
            <w:gridSpan w:val="2"/>
            <w:tcBorders>
              <w:top w:val="single" w:color="auto" w:sz="4" w:space="0"/>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06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4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11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17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r>
      <w:tr>
        <w:tblPrEx>
          <w:tblCellMar>
            <w:top w:w="0" w:type="dxa"/>
            <w:left w:w="108" w:type="dxa"/>
            <w:bottom w:w="0" w:type="dxa"/>
            <w:right w:w="108" w:type="dxa"/>
          </w:tblCellMar>
        </w:tblPrEx>
        <w:trPr>
          <w:trHeight w:val="450" w:hRule="atLeast"/>
          <w:jc w:val="center"/>
        </w:trPr>
        <w:tc>
          <w:tcPr>
            <w:tcW w:w="4837" w:type="dxa"/>
            <w:gridSpan w:val="2"/>
            <w:tcBorders>
              <w:top w:val="nil"/>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8745.57</w:t>
            </w:r>
            <w:r>
              <w:rPr>
                <w:rFonts w:ascii="Times New Roman" w:hAnsi="Times New Roman" w:eastAsia="仿宋_GB2312" w:cs="Times New Roman"/>
                <w:kern w:val="0"/>
                <w:szCs w:val="21"/>
              </w:rPr>
              <w:t>　</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8741.29</w:t>
            </w:r>
            <w:r>
              <w:rPr>
                <w:rFonts w:ascii="Times New Roman" w:hAnsi="Times New Roman" w:eastAsia="仿宋_GB2312" w:cs="Times New Roman"/>
                <w:kern w:val="0"/>
                <w:szCs w:val="21"/>
              </w:rPr>
              <w:t>　</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社会保障和就业支出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345.21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345.21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行政事业单位离退休</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173.11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173.11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2080501</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归口管理的行政单位离退休</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63.01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63.01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2080505</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机关事业单位基本养老保险缴费支出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20808</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抚恤</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2080801</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死亡抚恤</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财政对其他社会保险基金的补助</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2082701</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财政对失业保险基金的补助</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6.24</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6.24</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2082702</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财政对工伤保险基金的补助</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6.86</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6.86</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20899</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其他社会保障和就业支出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2089901</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其他社会保障和就业支出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卫生健康支出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行政事业单位医疗</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81.66</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81.66</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2101101</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行政单位医疗</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2101102</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事业单位医疗</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57.35</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57.35</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21012</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财政对基本医疗保险基金的补助</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2101299</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财政对其他基本医疗保险基金的补助</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211</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节能环保支出</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21104</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自然生态保护</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2110402</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农村环境保护</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农林水支出</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8254.07</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8249.79</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8015.67</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8011.39</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2130301</w:t>
            </w:r>
          </w:p>
        </w:tc>
        <w:tc>
          <w:tcPr>
            <w:tcW w:w="364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行政运行</w:t>
            </w:r>
          </w:p>
        </w:tc>
        <w:tc>
          <w:tcPr>
            <w:tcW w:w="1065"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1489.92</w:t>
            </w:r>
          </w:p>
        </w:tc>
        <w:tc>
          <w:tcPr>
            <w:tcW w:w="1455"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1485.64</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2130302</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一般行政管理事务</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597.75</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597.75</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2130304</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水利行业业务管理</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2130305</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水利工程建设</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2,459</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2,459</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2130306</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水利工程运行与维护</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127</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127</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2130311</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水资源节约管理与保护</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2130312</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水质监测</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40</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2130314</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防汛</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2130316</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农田水利</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2130334</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水利建设移民支出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2130335</w:t>
            </w:r>
          </w:p>
        </w:tc>
        <w:tc>
          <w:tcPr>
            <w:tcW w:w="36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农村人畜饮水</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1,140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1,140</w:t>
            </w:r>
          </w:p>
        </w:tc>
        <w:tc>
          <w:tcPr>
            <w:tcW w:w="11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2130399</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其他水利支出</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1,528</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1,528</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21305</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扶贫</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88.4</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88.4</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2130504</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农村基础设施建设</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88.4</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88.4</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21399</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其他农林水支出</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2139999</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其他农林水支出</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住房保障支出</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住房改革支出</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2210201</w:t>
            </w:r>
          </w:p>
        </w:tc>
        <w:tc>
          <w:tcPr>
            <w:tcW w:w="3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1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gridAfter w:val="1"/>
          <w:wAfter w:w="555" w:type="dxa"/>
          <w:trHeight w:val="615" w:hRule="atLeast"/>
          <w:jc w:val="center"/>
        </w:trPr>
        <w:tc>
          <w:tcPr>
            <w:tcW w:w="13813" w:type="dxa"/>
            <w:gridSpan w:val="9"/>
            <w:tcBorders>
              <w:top w:val="single" w:color="auto" w:sz="8"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br w:type="page"/>
      </w: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支出决算表</w:t>
      </w:r>
    </w:p>
    <w:p>
      <w:pPr>
        <w:widowControl/>
        <w:spacing w:line="400" w:lineRule="exact"/>
        <w:ind w:firstLine="600" w:firstLineChars="300"/>
        <w:jc w:val="lef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rPr>
        <w:t>湘乡市水利局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（本级）</w:t>
      </w:r>
      <w:r>
        <w:rPr>
          <w:rFonts w:ascii="Times New Roman" w:hAnsi="Times New Roman" w:eastAsia="仿宋_GB2312" w:cs="Times New Roman"/>
          <w:color w:val="000000"/>
          <w:kern w:val="0"/>
          <w:sz w:val="20"/>
          <w:szCs w:val="20"/>
        </w:rPr>
        <w:t xml:space="preserve">                                                                                                       公开03表</w:t>
      </w:r>
    </w:p>
    <w:p>
      <w:pPr>
        <w:widowControl/>
        <w:spacing w:line="400" w:lineRule="exact"/>
        <w:ind w:right="700"/>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单位：万元</w:t>
      </w:r>
    </w:p>
    <w:tbl>
      <w:tblPr>
        <w:tblStyle w:val="8"/>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3626"/>
        <w:gridCol w:w="1350"/>
        <w:gridCol w:w="1635"/>
        <w:gridCol w:w="1410"/>
        <w:gridCol w:w="1575"/>
        <w:gridCol w:w="1590"/>
        <w:gridCol w:w="18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4728"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350"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本年支出合计</w:t>
            </w:r>
          </w:p>
        </w:tc>
        <w:tc>
          <w:tcPr>
            <w:tcW w:w="163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基本支出</w:t>
            </w:r>
          </w:p>
        </w:tc>
        <w:tc>
          <w:tcPr>
            <w:tcW w:w="1410"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项目支出</w:t>
            </w:r>
          </w:p>
        </w:tc>
        <w:tc>
          <w:tcPr>
            <w:tcW w:w="157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上缴上级支出</w:t>
            </w:r>
          </w:p>
        </w:tc>
        <w:tc>
          <w:tcPr>
            <w:tcW w:w="1590"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经营支出</w:t>
            </w:r>
          </w:p>
        </w:tc>
        <w:tc>
          <w:tcPr>
            <w:tcW w:w="1801"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3626"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35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63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41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57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59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01"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3626"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35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63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41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57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59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01"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4728" w:type="dxa"/>
            <w:gridSpan w:val="2"/>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35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635"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41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575"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59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80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4728" w:type="dxa"/>
            <w:gridSpan w:val="2"/>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11750.14</w:t>
            </w:r>
            <w:r>
              <w:rPr>
                <w:rFonts w:ascii="Times New Roman" w:hAnsi="Times New Roman" w:eastAsia="仿宋_GB2312" w:cs="Times New Roman"/>
                <w:kern w:val="0"/>
                <w:szCs w:val="21"/>
              </w:rPr>
              <w:t>　</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1515.2</w:t>
            </w:r>
            <w:r>
              <w:rPr>
                <w:rFonts w:ascii="Times New Roman" w:hAnsi="Times New Roman" w:eastAsia="仿宋_GB2312" w:cs="Times New Roman"/>
                <w:kern w:val="0"/>
                <w:szCs w:val="21"/>
              </w:rPr>
              <w:t>　</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10234.93</w:t>
            </w:r>
            <w:r>
              <w:rPr>
                <w:rFonts w:ascii="Times New Roman" w:hAnsi="Times New Roman" w:eastAsia="仿宋_GB2312" w:cs="Times New Roman"/>
                <w:kern w:val="0"/>
                <w:szCs w:val="21"/>
              </w:rPr>
              <w:t>　</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社会保障和就业支出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341.06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298.21</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42.85</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行政事业单位离退休</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173.11</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173.11</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归口管理的行政单位离退休</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63.01</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63.01</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2080505</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机关事业单位基本养老保险缴费支出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110.1</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110.1</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20808</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抚恤</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2080801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死亡抚恤</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财政对其他社会保险基金的补助</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2082701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财政对失业保险基金的补助</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6.24</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6.24</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2082702</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财政对工伤保险基金的补助</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6.86</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20899</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其他社会保障和就业支出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107.15</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42.85</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2089901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其他社会保障和就业支出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107.15</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42.85</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卫生健康支出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行政事业单位医疗</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81.66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81.66</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行政单位医疗</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2101102</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事业单位医疗</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57.35</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57.35</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21012</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财政对基本医疗保险基金的补助</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2101299</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财政对其他基本医疗保险基金的补助</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农林水支出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11264.78</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10192.08</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9948.78</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8876.08</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行政运行</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2130302</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一般行政管理事务</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150.13</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150.13</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2130304</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水利行业业务管理</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81.33</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81.33</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2130305</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水利工程建设</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5540.16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5540.16</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2130306</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水利工程运行与维护</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234.61</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234.61</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2130314</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防汛</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199</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199</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2130315</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抗旱</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121.6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121.6</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2130316</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农田水利</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2130334</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水利建设移民支出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2130335</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农村人畜饮水</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2060.75</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2060.75</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2130399</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其他水利支出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64.59</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64.59</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21305</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扶贫</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2130504</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农村基础设施建设</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住房保障支出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住房改革支出</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2210201</w:t>
            </w:r>
          </w:p>
        </w:tc>
        <w:tc>
          <w:tcPr>
            <w:tcW w:w="3626" w:type="dxa"/>
            <w:shd w:val="clear" w:color="auto" w:fill="auto"/>
            <w:noWrap/>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135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63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410" w:type="dxa"/>
            <w:shd w:val="clear" w:color="auto" w:fill="auto"/>
            <w:noWrap/>
            <w:vAlign w:val="center"/>
          </w:tcPr>
          <w:p>
            <w:pPr>
              <w:widowControl/>
              <w:jc w:val="right"/>
              <w:rPr>
                <w:rFonts w:ascii="Times New Roman" w:hAnsi="Times New Roman" w:eastAsia="仿宋_GB2312" w:cs="Times New Roman"/>
                <w:kern w:val="0"/>
                <w:szCs w:val="21"/>
              </w:rPr>
            </w:pPr>
          </w:p>
        </w:tc>
        <w:tc>
          <w:tcPr>
            <w:tcW w:w="1575" w:type="dxa"/>
            <w:shd w:val="clear" w:color="auto" w:fill="auto"/>
            <w:noWrap/>
            <w:vAlign w:val="center"/>
          </w:tcPr>
          <w:p>
            <w:pPr>
              <w:widowControl/>
              <w:jc w:val="right"/>
              <w:rPr>
                <w:rFonts w:ascii="Times New Roman" w:hAnsi="Times New Roman" w:eastAsia="仿宋_GB2312" w:cs="Times New Roman"/>
                <w:kern w:val="0"/>
                <w:szCs w:val="21"/>
              </w:rPr>
            </w:pPr>
          </w:p>
        </w:tc>
        <w:tc>
          <w:tcPr>
            <w:tcW w:w="1590" w:type="dxa"/>
            <w:shd w:val="clear" w:color="auto" w:fill="auto"/>
            <w:noWrap/>
            <w:vAlign w:val="center"/>
          </w:tcPr>
          <w:p>
            <w:pPr>
              <w:widowControl/>
              <w:jc w:val="right"/>
              <w:rPr>
                <w:rFonts w:ascii="Times New Roman" w:hAnsi="Times New Roman" w:eastAsia="仿宋_GB2312" w:cs="Times New Roman"/>
                <w:kern w:val="0"/>
                <w:szCs w:val="21"/>
              </w:rPr>
            </w:pPr>
          </w:p>
        </w:tc>
        <w:tc>
          <w:tcPr>
            <w:tcW w:w="1801" w:type="dxa"/>
            <w:shd w:val="clear" w:color="auto" w:fill="auto"/>
            <w:noWrap/>
            <w:vAlign w:val="center"/>
          </w:tcPr>
          <w:p>
            <w:pPr>
              <w:widowControl/>
              <w:jc w:val="right"/>
              <w:rPr>
                <w:rFonts w:ascii="Times New Roman" w:hAnsi="Times New Roman" w:eastAsia="仿宋_GB2312" w:cs="Times New Roman"/>
                <w:kern w:val="0"/>
                <w:szCs w:val="21"/>
              </w:rPr>
            </w:pPr>
          </w:p>
        </w:tc>
      </w:tr>
    </w:tbl>
    <w:p>
      <w:pPr>
        <w:widowControl/>
        <w:ind w:firstLine="630" w:firstLineChars="3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注：本表反映部门本年度各项支出情况。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ind w:left="93"/>
        <w:jc w:val="center"/>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t>财政拨款收入支出决算总表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公开04表</w:t>
      </w:r>
    </w:p>
    <w:p>
      <w:pPr>
        <w:widowControl/>
        <w:tabs>
          <w:tab w:val="left" w:pos="13725"/>
          <w:tab w:val="left" w:pos="13755"/>
          <w:tab w:val="left" w:pos="13800"/>
        </w:tabs>
        <w:spacing w:line="240" w:lineRule="exact"/>
        <w:ind w:left="91" w:firstLine="315" w:firstLineChars="1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湘乡市水利局</w:t>
      </w:r>
      <w:r>
        <w:rPr>
          <w:rFonts w:ascii="Times New Roman" w:hAnsi="Times New Roman" w:eastAsia="仿宋_GB2312" w:cs="Times New Roman"/>
          <w:color w:val="000000"/>
          <w:kern w:val="0"/>
          <w:sz w:val="20"/>
          <w:szCs w:val="20"/>
        </w:rPr>
        <w:t xml:space="preserve"> </w:t>
      </w:r>
      <w:r>
        <w:rPr>
          <w:rFonts w:hint="eastAsia" w:ascii="Times New Roman" w:hAnsi="Times New Roman" w:eastAsia="仿宋_GB2312" w:cs="Times New Roman"/>
          <w:color w:val="000000"/>
          <w:kern w:val="0"/>
          <w:sz w:val="20"/>
          <w:szCs w:val="20"/>
        </w:rPr>
        <w:t>（本级）</w:t>
      </w:r>
      <w:r>
        <w:rPr>
          <w:rFonts w:ascii="Times New Roman" w:hAnsi="Times New Roman" w:eastAsia="仿宋_GB2312" w:cs="Times New Roman"/>
          <w:color w:val="000000"/>
          <w:kern w:val="0"/>
          <w:szCs w:val="21"/>
        </w:rPr>
        <w:tab/>
      </w:r>
      <w:r>
        <w:rPr>
          <w:rFonts w:ascii="Times New Roman" w:hAnsi="Times New Roman" w:eastAsia="仿宋_GB2312" w:cs="Times New Roman"/>
          <w:color w:val="000000"/>
          <w:kern w:val="0"/>
          <w:szCs w:val="21"/>
        </w:rPr>
        <w:t>单位：万元</w:t>
      </w:r>
    </w:p>
    <w:tbl>
      <w:tblPr>
        <w:tblStyle w:val="8"/>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收入</w:t>
            </w:r>
          </w:p>
        </w:tc>
        <w:tc>
          <w:tcPr>
            <w:tcW w:w="9303" w:type="dxa"/>
            <w:gridSpan w:val="5"/>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金额</w:t>
            </w:r>
          </w:p>
        </w:tc>
        <w:tc>
          <w:tcPr>
            <w:tcW w:w="3761"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3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合计</w:t>
            </w:r>
          </w:p>
        </w:tc>
        <w:tc>
          <w:tcPr>
            <w:tcW w:w="166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一般公共预算财政拨款</w:t>
            </w:r>
          </w:p>
        </w:tc>
        <w:tc>
          <w:tcPr>
            <w:tcW w:w="1572"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572"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一、一般公共预算财政拨款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8741.29</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一、一般公共服务支出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二、政府性基金预算财政拨款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二、外交支出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三、国防支出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四、公共安全支出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五、教育支出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六、科学技术支出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七、文化旅游体育与传媒支出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36</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八、社会保障和就业支出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341.06</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341.06</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九、卫生健康支出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十、节能环保支出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39</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十一、城乡社区支出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40</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十二、农林水支出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11264.78</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11264.78</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十三、交通运输支出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十四、资源勘探信息等支出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十五、商业服务业等支出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44</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十六、金融支出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45</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十七、援助其他地区支出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46</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十八、自然资源海洋气象等支出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47</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十九、住房保障支出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1572" w:type="dxa"/>
            <w:shd w:val="clear" w:color="auto" w:fill="auto"/>
            <w:noWrap/>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二十、粮油物资储备支出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49</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二十一、灾害防治及应急管理支出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二十二、其他支出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51</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w:t>
            </w:r>
          </w:p>
        </w:tc>
        <w:tc>
          <w:tcPr>
            <w:tcW w:w="1880"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52</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本年收入合计</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8741.29</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本年支出合计</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11750.14</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11750.14</w:t>
            </w:r>
          </w:p>
        </w:tc>
        <w:tc>
          <w:tcPr>
            <w:tcW w:w="1572" w:type="dxa"/>
            <w:shd w:val="clear" w:color="auto" w:fill="auto"/>
            <w:noWrap/>
            <w:vAlign w:val="center"/>
          </w:tcPr>
          <w:p>
            <w:pPr>
              <w:widowControl/>
              <w:jc w:val="left"/>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年初财政拨款结转和结余</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25</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15332.53</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年末财政拨款结转和结余</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12323.69</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12323.69</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w:t>
            </w:r>
            <w:r>
              <w:rPr>
                <w:rFonts w:ascii="Times New Roman" w:hAnsi="Times New Roman" w:eastAsia="仿宋_GB2312" w:cs="Times New Roman"/>
                <w:kern w:val="0"/>
                <w:szCs w:val="21"/>
              </w:rPr>
              <w:t>一般公共预算财政拨款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26</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15332.53</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55</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w:t>
            </w:r>
            <w:r>
              <w:rPr>
                <w:rFonts w:ascii="Times New Roman" w:hAnsi="Times New Roman" w:eastAsia="仿宋_GB2312" w:cs="Times New Roman"/>
                <w:kern w:val="0"/>
                <w:szCs w:val="21"/>
              </w:rPr>
              <w:t>政府性基金预算财政拨款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56</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28</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24073.83</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58</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24073.83</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24073.83</w:t>
            </w:r>
          </w:p>
        </w:tc>
        <w:tc>
          <w:tcPr>
            <w:tcW w:w="1572" w:type="dxa"/>
            <w:shd w:val="clear" w:color="auto" w:fill="auto"/>
            <w:noWrap/>
            <w:vAlign w:val="center"/>
          </w:tcPr>
          <w:p>
            <w:pPr>
              <w:widowControl/>
              <w:jc w:val="left"/>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注：本表反映部门本年度一般公共预算财政拨款和政府性基金预算财政拨款的总收支和年末结转结余情况。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br w:type="page"/>
      </w:r>
    </w:p>
    <w:p>
      <w:pPr>
        <w:widowControl/>
        <w:jc w:val="center"/>
        <w:rPr>
          <w:rFonts w:ascii="Times New Roman" w:hAnsi="Times New Roman" w:eastAsia="方正小标宋_GBK" w:cs="Times New Roman"/>
          <w:kern w:val="0"/>
          <w:sz w:val="36"/>
          <w:szCs w:val="36"/>
        </w:rPr>
      </w:pPr>
      <w:bookmarkStart w:id="0" w:name="RANGE!A1:F16"/>
      <w:r>
        <w:rPr>
          <w:rFonts w:ascii="Times New Roman" w:hAnsi="Times New Roman" w:eastAsia="方正小标宋_GBK" w:cs="Times New Roman"/>
          <w:kern w:val="0"/>
          <w:sz w:val="36"/>
          <w:szCs w:val="36"/>
        </w:rPr>
        <w:t>一般公共预算财政拨款支出决算表</w:t>
      </w:r>
      <w:bookmarkEnd w:id="0"/>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湘乡市水利局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985"/>
        <w:gridCol w:w="2850"/>
        <w:gridCol w:w="3184"/>
        <w:gridCol w:w="3000"/>
      </w:tblGrid>
      <w:tr>
        <w:tblPrEx>
          <w:tblCellMar>
            <w:top w:w="0" w:type="dxa"/>
            <w:left w:w="108" w:type="dxa"/>
            <w:bottom w:w="0" w:type="dxa"/>
            <w:right w:w="108" w:type="dxa"/>
          </w:tblCellMar>
        </w:tblPrEx>
        <w:trPr>
          <w:trHeight w:val="405" w:hRule="atLeast"/>
          <w:jc w:val="center"/>
        </w:trPr>
        <w:tc>
          <w:tcPr>
            <w:tcW w:w="5185"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034"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98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85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18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98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85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8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98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85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8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18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85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18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18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11750.14</w:t>
            </w:r>
            <w:r>
              <w:rPr>
                <w:rFonts w:ascii="Times New Roman" w:hAnsi="Times New Roman" w:eastAsia="仿宋_GB2312" w:cs="Times New Roman"/>
                <w:kern w:val="0"/>
                <w:szCs w:val="21"/>
              </w:rPr>
              <w:t>　</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1515.2</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10234.93</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社会保障和就业支出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341.06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298.21</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行政事业单位离退休</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173.11</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173.11</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2080501</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归口管理的行政单位离退休</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63.01</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63.01</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2080505</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机关事业单位基本养老保险缴费支出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110.1</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110.1</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20808</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抚恤</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2080801</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死亡抚恤</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4.86</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财政对其他社会保险基金的补助</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2082701</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财政对失业保险基金的补助</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6.24</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6.24</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2082702</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财政对工伤保险基金的补助</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6.86</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20899</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其他社会保障和就业支出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107.15</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2089901</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其他社会保障和就业支出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107.15</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卫生健康支出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83.66</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行政事业单位医疗</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81.66</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81.66</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2101101</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行政单位医疗</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2101102</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事业单位医疗</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57.35</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57.35</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21012</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财政对基本医疗保险基金的补助</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2101299</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财政对其他基本医疗保险基金的补助</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农林水支出</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11264.78</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10192.08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9948.78</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8876.08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2130301</w:t>
            </w:r>
          </w:p>
        </w:tc>
        <w:tc>
          <w:tcPr>
            <w:tcW w:w="3985" w:type="dxa"/>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行政运行</w:t>
            </w:r>
          </w:p>
        </w:tc>
        <w:tc>
          <w:tcPr>
            <w:tcW w:w="2850" w:type="dxa"/>
            <w:tcBorders>
              <w:top w:val="single" w:color="auto" w:sz="4" w:space="0"/>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3184" w:type="dxa"/>
            <w:tcBorders>
              <w:top w:val="single" w:color="auto" w:sz="4" w:space="0"/>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1072.7</w:t>
            </w:r>
          </w:p>
        </w:tc>
        <w:tc>
          <w:tcPr>
            <w:tcW w:w="3000" w:type="dxa"/>
            <w:tcBorders>
              <w:top w:val="single" w:color="auto" w:sz="4" w:space="0"/>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2130302</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一般行政管理事务</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150.13</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150.13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2130304</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水利行业业务管理</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81.33</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81.33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2130305</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水利工程建设</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5540.16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5540.16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2130306</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水利工程运行与维护</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234.61</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234.61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2130314</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防汛</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199</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2130315</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抗旱</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121.6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2130316</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农田水利</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2130334</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水利建设移民支出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2130335</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农村人畜饮水</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2060.75</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2060.75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2130399</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其他水利支出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64.59</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64.59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21305</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扶贫</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2130504</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农村基础设施建设</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1,316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w:t>
            </w:r>
          </w:p>
        </w:tc>
        <w:tc>
          <w:tcPr>
            <w:tcW w:w="3985"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住房保障支出</w:t>
            </w:r>
          </w:p>
        </w:tc>
        <w:tc>
          <w:tcPr>
            <w:tcW w:w="285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3184"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住房改革支出</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2210201</w:t>
            </w:r>
          </w:p>
        </w:tc>
        <w:tc>
          <w:tcPr>
            <w:tcW w:w="3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3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60.63</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single" w:color="auto" w:sz="4"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center"/>
        <w:rPr>
          <w:rFonts w:ascii="Times New Roman" w:hAnsi="Times New Roman" w:eastAsia="方正小标宋_GBK" w:cs="Times New Roman"/>
          <w:color w:val="000000"/>
          <w:kern w:val="0"/>
          <w:sz w:val="28"/>
          <w:szCs w:val="36"/>
        </w:rPr>
      </w:pPr>
      <w:bookmarkStart w:id="1" w:name="RANGE!A1:I39"/>
      <w:r>
        <w:rPr>
          <w:rFonts w:ascii="Times New Roman" w:hAnsi="Times New Roman" w:eastAsia="方正小标宋_GBK" w:cs="Times New Roman"/>
          <w:color w:val="000000"/>
          <w:kern w:val="0"/>
          <w:sz w:val="28"/>
          <w:szCs w:val="36"/>
        </w:rPr>
        <w:t>一般公共预算财政拨款基本支出决算表</w:t>
      </w:r>
      <w:bookmarkEnd w:id="1"/>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湘乡市水利局（本级）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公开06表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5239" w:type="dxa"/>
        <w:tblInd w:w="93" w:type="dxa"/>
        <w:tblLayout w:type="fixed"/>
        <w:tblCellMar>
          <w:top w:w="0" w:type="dxa"/>
          <w:left w:w="108" w:type="dxa"/>
          <w:bottom w:w="0" w:type="dxa"/>
          <w:right w:w="108" w:type="dxa"/>
        </w:tblCellMar>
      </w:tblPr>
      <w:tblGrid>
        <w:gridCol w:w="1149"/>
        <w:gridCol w:w="3306"/>
        <w:gridCol w:w="856"/>
        <w:gridCol w:w="1110"/>
        <w:gridCol w:w="2297"/>
        <w:gridCol w:w="856"/>
        <w:gridCol w:w="1076"/>
        <w:gridCol w:w="3723"/>
        <w:gridCol w:w="866"/>
      </w:tblGrid>
      <w:tr>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0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1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97"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7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72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6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w:t>
            </w:r>
          </w:p>
        </w:tc>
        <w:tc>
          <w:tcPr>
            <w:tcW w:w="330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1229.94</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211.63</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w:t>
            </w:r>
          </w:p>
        </w:tc>
        <w:tc>
          <w:tcPr>
            <w:tcW w:w="372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基本工资</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374.19</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30201</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45.92</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30701</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国内债务付息</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津贴补贴</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245.34</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30202</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印刷费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0.85</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30702</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国外债务付息</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奖金</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60.96</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30203</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咨询费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w:t>
            </w:r>
          </w:p>
        </w:tc>
        <w:tc>
          <w:tcPr>
            <w:tcW w:w="372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30106</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伙食补助费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2.1</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手续费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31001</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房屋建筑物购建</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30107</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绩效工资</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水费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1.57</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31002</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办公设备购置</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30108</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机关事业单位基本养老保险费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120.91</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电费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6.38</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31003</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专用设备购置</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职业年金缴费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邮电费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2.62</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31005</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基础设施建设</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30110</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职工基本医疗保险缴费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70.45</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取暖费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31006</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大型修缮</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公务员医疗补助缴费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43.84</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30209</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物业管理费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31007</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信息网络及软件购置更新</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其他社会保障缴费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5.9</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30211</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差旅费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15.26</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31008</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物资储备</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住房公积金</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97.71</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30212</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因公出国（境）费用</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31009</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土地补偿</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30114</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30213</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维修（护）费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0.13</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31010</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安置补助</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30199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其他工资福利支出</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208.55</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租赁费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31011</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地上附着物和青苗补偿</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w:t>
            </w:r>
          </w:p>
        </w:tc>
        <w:tc>
          <w:tcPr>
            <w:tcW w:w="330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73.63</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会议费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2.08</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31012</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拆迁补偿</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离休费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6.21</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培训费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31013</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公务用车购置</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退休费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公务接待费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7.13</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31019</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其他交通工具购置</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退职（役）费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专用材料费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31021</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文物和陈列品购置</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30304</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抚恤金</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4.86</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被装购置费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31022</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无形资产购置</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30305</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生活补助</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40.56</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专用燃料费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31099</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其他资本性支出</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30306</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救济费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劳务费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0.7</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w:t>
            </w:r>
          </w:p>
        </w:tc>
        <w:tc>
          <w:tcPr>
            <w:tcW w:w="372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30307</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医疗费补助</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委托业务费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39906</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赠与</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30308</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助学金</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工会经费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59.35</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39907</w:t>
            </w:r>
          </w:p>
        </w:tc>
        <w:tc>
          <w:tcPr>
            <w:tcW w:w="372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国家赔偿费用支出</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奖励金</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1.59</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39908</w:t>
            </w:r>
          </w:p>
        </w:tc>
        <w:tc>
          <w:tcPr>
            <w:tcW w:w="372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30310</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个人农业生产补贴</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30231</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公务用车运行维护费</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10.22</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39999</w:t>
            </w:r>
          </w:p>
        </w:tc>
        <w:tc>
          <w:tcPr>
            <w:tcW w:w="372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其他支出</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3306"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对其他个人和家庭的补助支出</w:t>
            </w:r>
          </w:p>
        </w:tc>
        <w:tc>
          <w:tcPr>
            <w:tcW w:w="856" w:type="dxa"/>
            <w:tcBorders>
              <w:top w:val="single" w:color="auto" w:sz="8" w:space="0"/>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22</w:t>
            </w:r>
          </w:p>
        </w:tc>
        <w:tc>
          <w:tcPr>
            <w:tcW w:w="1110"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856" w:type="dxa"/>
            <w:tcBorders>
              <w:top w:val="single" w:color="auto" w:sz="8" w:space="0"/>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42.99</w:t>
            </w:r>
          </w:p>
        </w:tc>
        <w:tc>
          <w:tcPr>
            <w:tcW w:w="1076"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3723"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66" w:type="dxa"/>
            <w:tcBorders>
              <w:top w:val="single" w:color="auto" w:sz="8" w:space="0"/>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30240</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税金及附加费用</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p>
        </w:tc>
        <w:tc>
          <w:tcPr>
            <w:tcW w:w="372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30299</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其他商品和服务支出</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14.83</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372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6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4455" w:type="dxa"/>
            <w:gridSpan w:val="2"/>
            <w:tcBorders>
              <w:top w:val="nil"/>
              <w:left w:val="single" w:color="auto" w:sz="8" w:space="0"/>
              <w:bottom w:val="single" w:color="auto" w:sz="8" w:space="0"/>
              <w:right w:val="single" w:color="auto" w:sz="8" w:space="0"/>
            </w:tcBorders>
            <w:shd w:val="clear" w:color="auto" w:fill="auto"/>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人员经费合计</w:t>
            </w:r>
          </w:p>
        </w:tc>
        <w:tc>
          <w:tcPr>
            <w:tcW w:w="856"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1303.57</w:t>
            </w:r>
          </w:p>
        </w:tc>
        <w:tc>
          <w:tcPr>
            <w:tcW w:w="9062" w:type="dxa"/>
            <w:gridSpan w:val="5"/>
            <w:tcBorders>
              <w:top w:val="nil"/>
              <w:left w:val="nil"/>
              <w:bottom w:val="single" w:color="auto" w:sz="8" w:space="0"/>
              <w:right w:val="single" w:color="auto" w:sz="8" w:space="0"/>
            </w:tcBorders>
            <w:shd w:val="clear" w:color="auto" w:fill="auto"/>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公用经费合计</w:t>
            </w:r>
          </w:p>
        </w:tc>
        <w:tc>
          <w:tcPr>
            <w:tcW w:w="866" w:type="dxa"/>
            <w:tcBorders>
              <w:top w:val="nil"/>
              <w:left w:val="nil"/>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211.63</w:t>
            </w:r>
          </w:p>
        </w:tc>
      </w:tr>
    </w:tbl>
    <w:p>
      <w:pPr>
        <w:widowControl/>
        <w:jc w:val="left"/>
        <w:rPr>
          <w:rFonts w:ascii="黑体" w:hAnsi="黑体" w:eastAsia="黑体"/>
          <w:szCs w:val="21"/>
        </w:rPr>
      </w:pPr>
      <w:r>
        <w:rPr>
          <w:rFonts w:hint="eastAsia" w:ascii="黑体" w:hAnsi="黑体" w:eastAsia="黑体"/>
          <w:szCs w:val="21"/>
        </w:rPr>
        <w:t>注：本表反映部门年度一般公共预算财政拨款基本支出明细情况。</w:t>
      </w:r>
      <w:r>
        <w:rPr>
          <w:rFonts w:ascii="黑体" w:hAnsi="黑体" w:eastAsia="黑体"/>
          <w:szCs w:val="21"/>
        </w:rPr>
        <w:br w:type="page"/>
      </w: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湘乡市水利局（本级）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24.73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14.07</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14.07</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10.66</w:t>
            </w:r>
          </w:p>
        </w:tc>
      </w:tr>
    </w:tbl>
    <w:p>
      <w:pPr>
        <w:autoSpaceDE w:val="0"/>
        <w:autoSpaceDN w:val="0"/>
        <w:adjustRightInd w:val="0"/>
        <w:ind w:left="315" w:leftChars="150"/>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eastAsia="宋体" w:cs="宋体"/>
          <w:kern w:val="0"/>
          <w:sz w:val="24"/>
          <w:szCs w:val="24"/>
        </w:rPr>
      </w:pP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湘乡市水利局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（本级）</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本表无数据</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sz w:val="72"/>
          <w:szCs w:val="72"/>
        </w:rPr>
        <w:sectPr>
          <w:pgSz w:w="16838" w:h="11906" w:orient="landscape"/>
          <w:pgMar w:top="720" w:right="720" w:bottom="720" w:left="720" w:header="851" w:footer="992" w:gutter="0"/>
          <w:cols w:space="425" w:num="1"/>
          <w:docGrid w:type="lines" w:linePitch="312" w:charSpace="0"/>
        </w:sect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第三部分</w:t>
      </w:r>
    </w:p>
    <w:p>
      <w:pPr>
        <w:pStyle w:val="12"/>
        <w:jc w:val="center"/>
        <w:rPr>
          <w:sz w:val="70"/>
          <w:szCs w:val="70"/>
        </w:rPr>
      </w:pPr>
    </w:p>
    <w:p>
      <w:pPr>
        <w:pStyle w:val="12"/>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2"/>
        <w:rPr>
          <w:rFonts w:asciiTheme="minorEastAsia" w:hAnsiTheme="minorEastAsia" w:eastAsiaTheme="minorEastAsia"/>
          <w:sz w:val="32"/>
          <w:szCs w:val="32"/>
        </w:rPr>
      </w:pPr>
    </w:p>
    <w:p>
      <w:pPr>
        <w:pStyle w:val="12"/>
        <w:rPr>
          <w:rFonts w:hAnsi="黑体"/>
          <w:b/>
          <w:sz w:val="32"/>
          <w:szCs w:val="32"/>
        </w:rPr>
      </w:pPr>
      <w:r>
        <w:rPr>
          <w:rFonts w:hint="eastAsia" w:hAnsi="黑体"/>
          <w:b/>
          <w:sz w:val="32"/>
          <w:szCs w:val="32"/>
        </w:rPr>
        <w:t>一、收入支出决算总体情况说明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年度收入总计8745.57万元。与2018年相比，减少506.27万元，减少5.47%，主要是因为2019年重点工程2020年支付。</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年度支出总计11750.14万元。与2018年相比，增加3120.69万元，增加36.16%，主要是因为2018年重点工程指标在2019年付款，单位合并，职责职能增加。</w:t>
      </w:r>
    </w:p>
    <w:p>
      <w:pPr>
        <w:pStyle w:val="12"/>
        <w:rPr>
          <w:rFonts w:hAnsi="黑体"/>
          <w:b/>
          <w:sz w:val="32"/>
          <w:szCs w:val="32"/>
        </w:rPr>
      </w:pPr>
      <w:r>
        <w:rPr>
          <w:rFonts w:hint="eastAsia" w:hAnsi="黑体"/>
          <w:b/>
          <w:sz w:val="32"/>
          <w:szCs w:val="32"/>
        </w:rPr>
        <w:t>二、收入决算情况说明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本年收入合计8745.5万元，其中：财政拨款收入8741.29万元，占99.95%；上级补助收入0万元，占0%；事业收入0万元，占0%；经营收入0万元，占0%；附属单位上缴收入0万元，占0%；其他收入4.28万元，占0.05%。</w:t>
      </w:r>
    </w:p>
    <w:p>
      <w:pPr>
        <w:pStyle w:val="12"/>
        <w:rPr>
          <w:rFonts w:hAnsi="黑体"/>
          <w:b/>
          <w:sz w:val="32"/>
          <w:szCs w:val="32"/>
        </w:rPr>
      </w:pPr>
      <w:r>
        <w:rPr>
          <w:rFonts w:hint="eastAsia" w:hAnsi="黑体"/>
          <w:b/>
          <w:sz w:val="32"/>
          <w:szCs w:val="32"/>
        </w:rPr>
        <w:t>三、支出决算情况说明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本年支出合计11750.14万元，其中：基本支出1515.2万元，占12.9%；项目支出10234.93万元，占87.1%；上缴上级支出0万元，占0%；经营支出0万元，占0%；对附属单位补助支出0万元，占0%。</w:t>
      </w:r>
    </w:p>
    <w:p>
      <w:pPr>
        <w:pStyle w:val="12"/>
        <w:rPr>
          <w:rFonts w:hAnsi="黑体"/>
          <w:b/>
          <w:sz w:val="32"/>
          <w:szCs w:val="32"/>
        </w:rPr>
      </w:pPr>
      <w:r>
        <w:rPr>
          <w:rFonts w:hint="eastAsia" w:hAnsi="黑体"/>
          <w:b/>
          <w:sz w:val="32"/>
          <w:szCs w:val="32"/>
        </w:rPr>
        <w:t>四、财政拨款收入支出决算总体情况说明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年度财政拨款收入总计8741.29万元。与2018年相比，减少510.54万元，减少5.52%，主要是因为2019年重点工程2020年支付。</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年度财政拨款支出总计11750.14万元。与2018年相比，增加3120.69万元，增加36.16%，主要是因为2018年重点工程指标在2019年付款，单位合并，职责职能增加。</w:t>
      </w:r>
    </w:p>
    <w:p>
      <w:pPr>
        <w:pStyle w:val="12"/>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年度财政拨款支出总计11750.14万元。与2018年相比，增加3120.69万元，增加36.16%，主要是因为2018年重点工程指标在2019年付款，单位合并，职责职能增加。</w:t>
      </w:r>
    </w:p>
    <w:p>
      <w:pPr>
        <w:pStyle w:val="12"/>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2019年度财政拨款支出11750.14万元，主要用于以下方面：社会保障和就业支出341.06万元，占2.9%；卫生健康支出83.66万元，占0.71%；农林水支出11264.78万元，占95.87%；住房保障支出60.63万元，占0.52%。</w:t>
      </w:r>
    </w:p>
    <w:p>
      <w:pPr>
        <w:pStyle w:val="12"/>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2019年度财政拨款支出年初预算数为11750.14万元，支出决算数为11750.14万元，完成年初预算的100%，其中：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1、社会保障和就业支出（类）行政事业单位离退休（款）归口管理的行政单位离退休（项）。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年初预算为63.01万元，支出决算为63.01万元，完成年初预算的100%。</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2、社会保障和就业支出（类）行政事业单位离退休（款）机关事业单位基本养老保险缴费支出（项）。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年初预算为110.1万元，支出决算为110.1万元，完成年初预算的100%。</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3、社会保障和就业支出（类）抚恤（款）死亡抚恤（项）。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年初预算为4.86万元，支出决算为4.86万元，完成年初预算的100%。</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4、社会保障和就业支出（类）财政对其他社会保险基金的补助（款）财政对失业保险基金的补助（项）。</w:t>
      </w:r>
    </w:p>
    <w:p>
      <w:pPr>
        <w:pStyle w:val="12"/>
        <w:ind w:left="653" w:leftChars="311" w:firstLine="128" w:firstLineChars="4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年初预算为6.24万元，支出决算为6.24万元，完成年初预算的100%。</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5、社会保障和就业支出（类）财政对其他社会保险基金的补助（款） 财政对工伤保险基金的补助（项）。</w:t>
      </w:r>
    </w:p>
    <w:p>
      <w:pPr>
        <w:pStyle w:val="12"/>
        <w:ind w:left="653" w:leftChars="311" w:firstLine="128" w:firstLineChars="4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年初预算为6.86万元，支出决算为6.86万元，完成年初预算的100%。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6、社会保障和就业支出（类）其他社会保障和就业支出（款）其他社会保障和就业支出（项）。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年初预算为150万元，支出决算为150万元，完成年初预算的100%。</w:t>
      </w:r>
    </w:p>
    <w:p>
      <w:pPr>
        <w:pStyle w:val="12"/>
        <w:ind w:left="638" w:leftChars="304" w:firstLine="160" w:firstLineChars="50"/>
        <w:rPr>
          <w:rFonts w:asciiTheme="minorEastAsia" w:hAnsiTheme="minorEastAsia" w:eastAsiaTheme="minorEastAsia"/>
          <w:sz w:val="32"/>
          <w:szCs w:val="32"/>
        </w:rPr>
      </w:pPr>
      <w:r>
        <w:rPr>
          <w:rFonts w:hint="eastAsia" w:asciiTheme="minorEastAsia" w:hAnsiTheme="minorEastAsia" w:eastAsiaTheme="minorEastAsia"/>
          <w:sz w:val="32"/>
          <w:szCs w:val="32"/>
        </w:rPr>
        <w:t>7、卫生健康支出（类）行政事业单位医疗（款）行政单位医疗（项）。</w:t>
      </w:r>
    </w:p>
    <w:p>
      <w:pPr>
        <w:pStyle w:val="12"/>
        <w:ind w:left="638" w:leftChars="304" w:firstLine="160" w:firstLineChars="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年初预算为24.31万元，支出决算为24.31万元，完成年初预算的100%。</w:t>
      </w:r>
    </w:p>
    <w:p>
      <w:pPr>
        <w:pStyle w:val="12"/>
        <w:ind w:left="638" w:leftChars="304" w:firstLine="160" w:firstLineChars="50"/>
        <w:rPr>
          <w:rFonts w:asciiTheme="minorEastAsia" w:hAnsiTheme="minorEastAsia" w:eastAsiaTheme="minorEastAsia"/>
          <w:sz w:val="32"/>
          <w:szCs w:val="32"/>
        </w:rPr>
      </w:pPr>
      <w:r>
        <w:rPr>
          <w:rFonts w:hint="eastAsia" w:asciiTheme="minorEastAsia" w:hAnsiTheme="minorEastAsia" w:eastAsiaTheme="minorEastAsia"/>
          <w:sz w:val="32"/>
          <w:szCs w:val="32"/>
        </w:rPr>
        <w:t>8、卫生健康支出（类）行政事业单位医疗（款）事业单位医疗（项）。</w:t>
      </w:r>
    </w:p>
    <w:p>
      <w:pPr>
        <w:pStyle w:val="12"/>
        <w:ind w:left="638" w:leftChars="304" w:firstLine="160" w:firstLineChars="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年初预算为57.35万元，支出决算为57.35万元，完成年初预算的100%。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9、卫生健康支出（类）财政对基本医疗保险基金的补助（款）财政对其他基本医疗保险基金的补助（项）。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年初预算为2万元，支出决算为2万元，完成年初预算的100%。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10、农林水支出（类）水利（款）行政运行（项）。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年初预算为1072.7万元，支出决算为1072.7万元，完成年初预算的100%。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11、农林水支出（类）水利（款）一般行政管理事务（项）。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年初预算为150.13万元，支出决算为150.13万元，完成年初预算的100%。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12、农林水支出（类）水利（款）水利行业业务管理（项）。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年初预算为81.33万元，支出决算为81.33万元，完成年初预算的100%。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13、农林水支出（类）水利（款）水利工程建设（项）。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年初预算为5540.06万元，支出决算为5540.06万元，完成年初预算的100%。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14、农林水支出（类）水利（款）水利工程运行与维护（项）。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年初预算为234.61万元，支出决算为234.61万元，完成年初预算的100%。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15、农林水支出（类）水利（款）防汛（项）。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年初预算为199万元，支出决算为199万元，完成年初预算的100%。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16、农林水支出（类）水利（款）抗旱（项）。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年初预算为121.6万元，支出决算为121.6万元，完成年初预算的100%。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17、农林水支出（类）水利（款）农田水利（项）。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年初预算为381万元，支出决算为381万元，完成年初预算的100%。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18、农林水支出（类）水利（款）水利建设移民支出（项）。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年初预算为43万元，支出决算为43万元，完成年初预算的100%。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19、农林水支出（类）水利（款）农村人畜饮水（项）。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年初预算为2060.75万元，支出决算为2060.75万元，完成年初预算的100%。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20、农林水支出（类）水利（款） 其他水利支出（项）。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年初预算为64.59万元，支出决算为64.59万元，完成年初预算的100%。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21、农林水支出（类）扶贫（款）农村基础设施建设（项）。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年初预算为1316万元，支出决算为1316万元，完成年初预算的100%。</w:t>
      </w:r>
    </w:p>
    <w:p>
      <w:pPr>
        <w:pStyle w:val="12"/>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rPr>
        <w:t>22、住房保障支出（类）住房改革支出（款） 住房公积金（项）。</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年初预算为60.63万元，支出决算为60.63万元，完成年初预算的100%。</w:t>
      </w:r>
    </w:p>
    <w:p>
      <w:pPr>
        <w:pStyle w:val="12"/>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1515.2万元，其中：人员经费1303.57万元，占基本支出的86.03%,主要包括基本工资、津贴补贴、奖金、伙食补助费、绩效工资、个人和家庭补助等；公用经费211.63万元，占基本支出的13.97%，主要包括办公费、印刷费、咨询费、手续费、水费、电费、公务接待费等。</w:t>
      </w:r>
    </w:p>
    <w:p>
      <w:pPr>
        <w:pStyle w:val="12"/>
        <w:rPr>
          <w:rFonts w:hAnsi="黑体"/>
          <w:b/>
          <w:sz w:val="32"/>
          <w:szCs w:val="32"/>
        </w:rPr>
      </w:pPr>
      <w:r>
        <w:rPr>
          <w:rFonts w:hint="eastAsia" w:hAnsi="黑体"/>
          <w:b/>
          <w:sz w:val="32"/>
          <w:szCs w:val="32"/>
        </w:rPr>
        <w:t>七、一般公共预算财政拨款三公经费支出决算情况说明</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“三公”经费财政拨款支出预算为89.3万元，支出决算为24.73万元，完成预算的27.69%，其中：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公务接待费支出预算为63.3万元，支出决算为10.66万元，完成预算的16.84%，决算数小于年初预算数的主要原因是厉行节约，压缩公务接待费开支，反对铺张浪费。</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26万元，支出决算为14.07万元，完成预算的54.12%，决算数小于年初预算数的主要原因是严格控制公车使用，与上年相比减少增加0.58万元，增长4.3%,增长的主要原因是2019年汽油上涨。</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2019年度“三公”经费财政拨款支出决算中，公务接待费支出决算10.66万元，占43.11%,因公出国（境）费支出决算0万元，占0%,公务用车购置费及运行维护费支出决算14.07万元，占56.89%。其中：</w:t>
      </w:r>
    </w:p>
    <w:p>
      <w:pPr>
        <w:pStyle w:val="12"/>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2、公务接待费支出决算为10.66万元，全年共接待来访团组214个、来宾2101人次，主要是水利项目、防汛抗旱发生的接待支出。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3、公务用车购置费及运行维护费支出决算为14.07万元，其中：公务用车购置费0万元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公务用车运行维护费14.07万元，主要是公务用车维护支出，截止2019年12月31日，我单位开支财政拨款的公务用车保有量为3辆。</w:t>
      </w:r>
    </w:p>
    <w:p>
      <w:pPr>
        <w:pStyle w:val="12"/>
        <w:rPr>
          <w:rFonts w:hAnsi="黑体"/>
          <w:b/>
          <w:sz w:val="32"/>
          <w:szCs w:val="32"/>
        </w:rPr>
      </w:pPr>
      <w:r>
        <w:rPr>
          <w:rFonts w:hint="eastAsia" w:hAnsi="黑体"/>
          <w:b/>
          <w:sz w:val="32"/>
          <w:szCs w:val="32"/>
        </w:rPr>
        <w:t>八、政府性基金预算收入支出决算情况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2019年度我单位无政府性基金预算收入支出。</w:t>
      </w:r>
    </w:p>
    <w:p>
      <w:pPr>
        <w:pStyle w:val="12"/>
        <w:rPr>
          <w:rFonts w:hAnsi="黑体"/>
          <w:b/>
          <w:sz w:val="32"/>
          <w:szCs w:val="32"/>
        </w:rPr>
      </w:pPr>
      <w:r>
        <w:rPr>
          <w:rFonts w:hint="eastAsia" w:hAnsi="黑体"/>
          <w:b/>
          <w:sz w:val="32"/>
          <w:szCs w:val="32"/>
        </w:rPr>
        <w:t>九、关于2019年度预算绩效情况说明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2019年度，我局对整体支出进行了绩效评价，评价结果为良；对水利前期项目、一河一策、水旱灾害等进行了绩效评价，按照年初预算制定的指标实施，评价结果为良。</w:t>
      </w:r>
    </w:p>
    <w:p>
      <w:pPr>
        <w:pStyle w:val="12"/>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本部门2019 年度机关运行经费支出211.63万元，比年初预算数增加58.1万元，增长37.84%。主要原因是机构改革，职责职能增加。</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2019年 本部门开支会议费8.19万元，用于召开各类会议，人数约500人，内容为</w:t>
      </w:r>
      <w:r>
        <w:rPr>
          <w:rFonts w:hint="eastAsia" w:cs="黑体" w:asciiTheme="minorEastAsia" w:hAnsiTheme="minorEastAsia"/>
          <w:color w:val="000000"/>
          <w:kern w:val="0"/>
          <w:sz w:val="32"/>
          <w:szCs w:val="32"/>
        </w:rPr>
        <w:t>安全生产会议、抗汛防汛会议等</w:t>
      </w:r>
      <w:r>
        <w:rPr>
          <w:rFonts w:hint="eastAsia" w:ascii="宋体" w:hAnsi="宋体" w:eastAsia="宋体" w:cs="宋体"/>
          <w:color w:val="000000" w:themeColor="text1"/>
          <w:kern w:val="0"/>
          <w:sz w:val="32"/>
          <w:szCs w:val="32"/>
          <w14:textFill>
            <w14:solidFill>
              <w14:schemeClr w14:val="tx1"/>
            </w14:solidFill>
          </w14:textFill>
        </w:rPr>
        <w:t>；开支培训费0.09万元，用于开展各类业务培训，人数约100人，内容为进行业务安全培训；</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ascii="宋体" w:hAnsi="宋体" w:eastAsia="宋体" w:cs="宋体"/>
          <w:i/>
          <w:color w:val="000000" w:themeColor="text1"/>
          <w:kern w:val="0"/>
          <w:sz w:val="32"/>
          <w:szCs w:val="32"/>
          <w14:textFill>
            <w14:solidFill>
              <w14:schemeClr w14:val="tx1"/>
            </w14:solidFill>
          </w14:textFill>
        </w:rPr>
      </w:pPr>
      <w:r>
        <w:rPr>
          <w:rFonts w:hint="eastAsia" w:cs="黑体" w:asciiTheme="minorEastAsia" w:hAnsiTheme="minorEastAsia"/>
          <w:color w:val="000000"/>
          <w:kern w:val="0"/>
          <w:sz w:val="32"/>
          <w:szCs w:val="32"/>
        </w:rPr>
        <w:t>本部门2019年度政府采购支出总额124.26万元，其中：政府采购货物支出124.26万元、政府采购工程支出0万元、政府采购服务支出0万元。</w:t>
      </w:r>
      <w:r>
        <w:rPr>
          <w:rFonts w:hint="eastAsia" w:ascii="宋体" w:hAnsi="宋体" w:eastAsia="宋体" w:cs="宋体"/>
          <w:color w:val="000000" w:themeColor="text1"/>
          <w:kern w:val="0"/>
          <w:sz w:val="32"/>
          <w:szCs w:val="32"/>
          <w14:textFill>
            <w14:solidFill>
              <w14:schemeClr w14:val="tx1"/>
            </w14:solidFill>
          </w14:textFill>
        </w:rPr>
        <w:t>授予中小企业合同金额124.26万元，占政府采购支出总额的</w:t>
      </w:r>
      <w:r>
        <w:rPr>
          <w:rFonts w:hint="eastAsia" w:ascii="宋体" w:hAnsi="宋体" w:eastAsia="宋体" w:cs="宋体"/>
          <w:color w:val="000000" w:themeColor="text1"/>
          <w:sz w:val="32"/>
          <w:szCs w:val="32"/>
          <w:u w:val="single"/>
          <w14:textFill>
            <w14:solidFill>
              <w14:schemeClr w14:val="tx1"/>
            </w14:solidFill>
          </w14:textFill>
        </w:rPr>
        <w:t xml:space="preserve"> 100  </w:t>
      </w:r>
      <w:r>
        <w:rPr>
          <w:rFonts w:hint="eastAsia" w:ascii="宋体" w:hAnsi="宋体" w:eastAsia="宋体" w:cs="宋体"/>
          <w:color w:val="000000" w:themeColor="text1"/>
          <w:kern w:val="0"/>
          <w:sz w:val="32"/>
          <w:szCs w:val="32"/>
          <w14:textFill>
            <w14:solidFill>
              <w14:schemeClr w14:val="tx1"/>
            </w14:solidFill>
          </w14:textFill>
        </w:rPr>
        <w:t xml:space="preserve"> %，其中：授予小微企业合同金额</w:t>
      </w:r>
      <w:r>
        <w:rPr>
          <w:rFonts w:hint="eastAsia" w:ascii="宋体" w:hAnsi="宋体" w:eastAsia="宋体" w:cs="宋体"/>
          <w:color w:val="000000" w:themeColor="text1"/>
          <w:sz w:val="32"/>
          <w:szCs w:val="32"/>
          <w:u w:val="single"/>
          <w14:textFill>
            <w14:solidFill>
              <w14:schemeClr w14:val="tx1"/>
            </w14:solidFill>
          </w14:textFill>
        </w:rPr>
        <w:t xml:space="preserve"> 124.26  </w:t>
      </w:r>
      <w:r>
        <w:rPr>
          <w:rFonts w:hint="eastAsia" w:ascii="宋体" w:hAnsi="宋体" w:eastAsia="宋体" w:cs="宋体"/>
          <w:color w:val="000000" w:themeColor="text1"/>
          <w:kern w:val="0"/>
          <w:sz w:val="32"/>
          <w:szCs w:val="32"/>
          <w14:textFill>
            <w14:solidFill>
              <w14:schemeClr w14:val="tx1"/>
            </w14:solidFill>
          </w14:textFill>
        </w:rPr>
        <w:t>万元，占政府采购支出总额的</w:t>
      </w:r>
      <w:r>
        <w:rPr>
          <w:rFonts w:hint="eastAsia" w:ascii="宋体" w:hAnsi="宋体" w:eastAsia="宋体" w:cs="宋体"/>
          <w:color w:val="000000" w:themeColor="text1"/>
          <w:sz w:val="32"/>
          <w:szCs w:val="32"/>
          <w:u w:val="single"/>
          <w14:textFill>
            <w14:solidFill>
              <w14:schemeClr w14:val="tx1"/>
            </w14:solidFill>
          </w14:textFill>
        </w:rPr>
        <w:t xml:space="preserve">  100 </w:t>
      </w:r>
      <w:r>
        <w:rPr>
          <w:rFonts w:hint="eastAsia" w:ascii="宋体" w:hAnsi="宋体" w:eastAsia="宋体" w:cs="宋体"/>
          <w:color w:val="000000" w:themeColor="text1"/>
          <w:kern w:val="0"/>
          <w:sz w:val="32"/>
          <w:szCs w:val="32"/>
          <w14:textFill>
            <w14:solidFill>
              <w14:schemeClr w14:val="tx1"/>
            </w14:solidFill>
          </w14:textFill>
        </w:rPr>
        <w:t xml:space="preserve"> %。</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3辆，其中，领导干部用车1辆、机要通信用车0辆、应急保障用车1辆、执法执勤用车0辆、特种专业技术用车0辆、其他用车1辆，其他用车主要是防汛抗旱用车；单位价值50万元以上通用设备0台（套）；单位价值100万元以上专用设备0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jc w:val="left"/>
        <w:rPr>
          <w:rFonts w:cs="黑体" w:asciiTheme="minorEastAsia" w:hAnsiTheme="minorEastAsia"/>
          <w:color w:val="000000"/>
          <w:kern w:val="0"/>
          <w:sz w:val="32"/>
          <w:szCs w:val="32"/>
        </w:rPr>
      </w:pP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一、财政拨款收入：指本年度从本级财政部门取得的财政拨款，包括一般公共预算财政拨款和政府性基金预算财政拨款。</w:t>
      </w: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二、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三、项目支出：指在基本支出之外为完成特定行政任务和事业发展目标所发生的支出。</w:t>
      </w: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四、“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五、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六、工资福利支出(支出经济分类科目类级)：反映单位开支的在职职工和编制外长期聘用人员的各类劳动报酬，以及为上述人员缴纳的各项社会保险费等。</w:t>
      </w: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七、商品和服务支出(支出经济分类科目类级)：反映单位购买商品和服务的支出(不包括用于购置固定资产的支出、战略性和应急储备支出)。</w:t>
      </w:r>
    </w:p>
    <w:p>
      <w:pPr>
        <w:widowControl/>
        <w:spacing w:line="48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八、对个人和家庭的补助(支出经济分类科目类级)：反映用于对个人和家庭的补助支出。</w:t>
      </w:r>
    </w:p>
    <w:p>
      <w:pPr>
        <w:widowControl/>
        <w:jc w:val="left"/>
        <w:rPr>
          <w:rFonts w:asciiTheme="minorEastAsia" w:hAnsiTheme="minorEastAsia"/>
          <w:i/>
          <w:color w:val="FF0000"/>
          <w:sz w:val="32"/>
          <w:szCs w:val="3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2640" w:firstLineChars="600"/>
        <w:rPr>
          <w:rFonts w:ascii="仿宋_GB2312" w:hAnsi="仿宋_GB2312" w:eastAsia="仿宋_GB2312" w:cs="仿宋_GB2312"/>
          <w:b/>
          <w:sz w:val="44"/>
          <w:szCs w:val="44"/>
        </w:rPr>
      </w:pPr>
      <w:r>
        <w:rPr>
          <w:rFonts w:hint="eastAsia" w:ascii="仿宋_GB2312" w:hAnsi="仿宋_GB2312" w:eastAsia="仿宋_GB2312" w:cs="仿宋_GB2312"/>
          <w:b/>
          <w:sz w:val="44"/>
          <w:szCs w:val="44"/>
        </w:rPr>
        <w:t>湘乡市水利局2019年部门整体</w:t>
      </w:r>
    </w:p>
    <w:p>
      <w:pPr>
        <w:ind w:firstLine="1100" w:firstLineChars="250"/>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支出绩效自评报告</w:t>
      </w:r>
    </w:p>
    <w:p>
      <w:pPr>
        <w:jc w:val="center"/>
        <w:rPr>
          <w:rFonts w:asciiTheme="minorEastAsia" w:hAnsiTheme="minorEastAsia" w:cstheme="minorEastAsia"/>
          <w:b/>
          <w:sz w:val="32"/>
          <w:szCs w:val="32"/>
        </w:rPr>
      </w:pPr>
    </w:p>
    <w:p>
      <w:pPr>
        <w:snapToGrid w:val="0"/>
        <w:spacing w:line="58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 xml:space="preserve"> 为切实做好2020年度部门整体支出绩效自评工作，提高财政资金使用效益，根据《中共湖南省委办公厅、湖南省人民政府办公厅关于全面实施预算绩效管理的意见》（湘办发[2019]10号）、《湘潭市财政局关于全面实施预算绩效管理的实施方案》（潭财绩[2019]9号）精神，按照湘乡财绩〔2020〕1号、</w:t>
      </w:r>
      <w:bookmarkStart w:id="2" w:name="_Hlk38979492"/>
      <w:r>
        <w:rPr>
          <w:rFonts w:hint="eastAsia" w:asciiTheme="minorEastAsia" w:hAnsiTheme="minorEastAsia" w:cstheme="minorEastAsia"/>
          <w:sz w:val="32"/>
          <w:szCs w:val="32"/>
        </w:rPr>
        <w:t>湘乡财绩〔2020〕2号</w:t>
      </w:r>
      <w:bookmarkEnd w:id="2"/>
      <w:r>
        <w:rPr>
          <w:rFonts w:hint="eastAsia" w:asciiTheme="minorEastAsia" w:hAnsiTheme="minorEastAsia" w:cstheme="minorEastAsia"/>
          <w:sz w:val="32"/>
          <w:szCs w:val="32"/>
        </w:rPr>
        <w:t>、湘乡财绩〔2020〕3号等文件要求，结合实际，我单位组织成立了绩效评价工作小组，对2019年的部门整体支出执行情况、资金的使用情况及部门整体支出预期效果实现程度进行了客观的绩效自评。现将部门整体支出绩效自评结果报告如下：</w:t>
      </w:r>
    </w:p>
    <w:p>
      <w:pPr>
        <w:numPr>
          <w:ilvl w:val="0"/>
          <w:numId w:val="2"/>
        </w:numPr>
        <w:ind w:firstLine="640" w:firstLineChars="200"/>
        <w:rPr>
          <w:rFonts w:asciiTheme="minorEastAsia" w:hAnsiTheme="minorEastAsia" w:cstheme="minorEastAsia"/>
          <w:sz w:val="32"/>
          <w:szCs w:val="32"/>
        </w:rPr>
      </w:pPr>
      <w:r>
        <w:rPr>
          <w:rFonts w:hint="eastAsia" w:asciiTheme="minorEastAsia" w:hAnsiTheme="minorEastAsia" w:cstheme="minorEastAsia"/>
          <w:b/>
          <w:sz w:val="32"/>
          <w:szCs w:val="32"/>
        </w:rPr>
        <w:t>部门概况</w:t>
      </w:r>
    </w:p>
    <w:p>
      <w:pPr>
        <w:ind w:firstLine="640" w:firstLineChars="200"/>
        <w:rPr>
          <w:rFonts w:asciiTheme="minorEastAsia" w:hAnsiTheme="minorEastAsia" w:cstheme="minorEastAsia"/>
          <w:sz w:val="32"/>
          <w:szCs w:val="32"/>
        </w:rPr>
      </w:pPr>
      <w:r>
        <w:rPr>
          <w:rFonts w:hint="eastAsia" w:asciiTheme="minorEastAsia" w:hAnsiTheme="minorEastAsia" w:cstheme="minorEastAsia"/>
          <w:b/>
          <w:bCs/>
          <w:sz w:val="32"/>
          <w:szCs w:val="32"/>
        </w:rPr>
        <w:t>（一）部门职能</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贯彻执行国家、省有关涉水行政工作的法律、法规、规章和方针政策;研究拟订全市水利工作的方针政策、发展战略、中长期规划和年度计划。负责保障全市水资源的合理开发和利用;按规定制定水利工程建设有关制度并组织实施;负责提出水利固定资产投资规模、方向和政府财政性资金安排的建议;按规定权限审批、核准全市规划内和年度计划内水利固定资产投资项目，提出全市水利建设投资安排建议并组织实施。</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（2）组织、指导水政监察和水行政执法;协调县、市、区和协调并仲裁部门、乡、镇间的水事纠纷，维护稳定水事秩序。</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3）拟定水利行业的经济调节措施;负责水利行业的国有资产保值增值的监管，对水利资金的使用进行宏观调节和监管;指导水利行业的供水、水利及多种经营工作;研究提出有关水利的价格、税收、信贷、财务等经济调解意见，按政策法律规定加强水利经费的征收管理。</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（4）负责全市水利建设与管理工作。按管理权限组织编制和负责审查水利基建项目和可行性报告;组织水利科学研究和技术推广;监督实施水利行业技术质量标准和水利工程的规程、规范。</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5）组织、指导水利设施、水域及其岸线的管理与保护;组织指导江河、湖泊、水库、河口滩涂的治理和开发;组织建设和指导管理具有控制型的或跨县、市、区或乡、镇的重要水利工程;组织、指导水库、水电站大坝等水利设施的安全监管。</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（6）负责防治水旱灾害。承担市防汛抗旱指挥部的日常工作，组织、协调、监督、指导全市防汛抗旱工作，对主要河流及重要水利工程实施防汛抗旱调度。</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（7）负责管理、规范全市河道采砂;组织实施采砂许可制度和采砂费征收管理制度;确保河道水流域畅通。</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8）负责统一管理水资源(含空中水、地表水、地下水);组织拟订全市和跨县、市、区长期供求计划、水量分配方案并监督实施;组织有关国民经济总体规划、城市规划及重大建设项目的水资源和防洪的论证工作;组织实施取水许可证制度和水资源费征收制度;拟定节约用水政策、编制节约用水规划并制定有关标准，组织、指导和监督全市节约用水工作，发布全市水资源信息。</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（9）负责全市水土保持工作。研究制定水土保持工程措施规划并监督实施，组织水土流失的监测和综合防治。</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（10）指导农村水利工作。组织协调农田水利基本建设、农村水电电气化和乡镇供水工作;指导节水灌溉和农村饮水安全工作;对水电建设的选址、库容规划提出意见。</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（11）负责市水利行业的科技教育和对外合作工作;指导全市水利队伍建设。</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（12）负责水资源保护工作。组织编制水资源保护规划，组织拟定重要江河湖泊的水功能区划分并监督实施，核定水域纳污能力，提出限制排污总量建议，负责如何入库排污口设置审批工作。</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（13）负责水利安全生产工作。</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（14）承办市人民政府交办的其他事项。</w:t>
      </w:r>
    </w:p>
    <w:p>
      <w:pPr>
        <w:ind w:left="300" w:firstLine="600"/>
        <w:jc w:val="left"/>
        <w:rPr>
          <w:rFonts w:asciiTheme="minorEastAsia" w:hAnsiTheme="minorEastAsia" w:cstheme="minorEastAsia"/>
          <w:b/>
          <w:bCs/>
          <w:sz w:val="32"/>
          <w:szCs w:val="32"/>
        </w:rPr>
      </w:pPr>
      <w:r>
        <w:rPr>
          <w:rFonts w:hint="eastAsia" w:asciiTheme="minorEastAsia" w:hAnsiTheme="minorEastAsia" w:cstheme="minorEastAsia"/>
          <w:b/>
          <w:bCs/>
          <w:sz w:val="32"/>
          <w:szCs w:val="32"/>
        </w:rPr>
        <w:t>（二）机构、人员情况</w:t>
      </w:r>
    </w:p>
    <w:p>
      <w:pPr>
        <w:ind w:left="300" w:firstLine="600"/>
        <w:jc w:val="left"/>
        <w:rPr>
          <w:rFonts w:asciiTheme="minorEastAsia" w:hAnsiTheme="minorEastAsia" w:cstheme="minorEastAsia"/>
          <w:b/>
          <w:bCs/>
          <w:sz w:val="32"/>
          <w:szCs w:val="32"/>
        </w:rPr>
      </w:pPr>
      <w:r>
        <w:rPr>
          <w:rFonts w:hint="eastAsia" w:asciiTheme="minorEastAsia" w:hAnsiTheme="minorEastAsia" w:cstheme="minorEastAsia"/>
          <w:b/>
          <w:bCs/>
          <w:sz w:val="32"/>
          <w:szCs w:val="32"/>
        </w:rPr>
        <w:t>1、机构和人员编制</w:t>
      </w:r>
    </w:p>
    <w:p>
      <w:pPr>
        <w:ind w:left="300" w:firstLine="600"/>
        <w:jc w:val="left"/>
        <w:rPr>
          <w:rFonts w:asciiTheme="minorEastAsia" w:hAnsiTheme="minorEastAsia" w:cstheme="minorEastAsia"/>
          <w:sz w:val="32"/>
          <w:szCs w:val="32"/>
        </w:rPr>
      </w:pPr>
      <w:r>
        <w:rPr>
          <w:rFonts w:hint="eastAsia" w:asciiTheme="minorEastAsia" w:hAnsiTheme="minorEastAsia" w:cstheme="minorEastAsia"/>
          <w:sz w:val="32"/>
          <w:szCs w:val="32"/>
        </w:rPr>
        <w:t>根据中共湘乡市委办公室、湘乡市人民政府办公室《关于印发&lt;湘乡市水利局职能配置、内设机构和人员编制规定&gt;的通知》行政编制10名，后勤事业1名。编委下达的《关于明确市水利局所属事业单位有关机构编制事项的通知》的通知（湘机编[2020]36号），湘乡市水利局核定事业编制人员共146名，其中湘乡市水旱灾害防御服务中心5名，湘乡市水土保持站16名，湘乡市库区移民事务中心16名，湘乡市河长制工作事务中心6名，湘乡市水利事务中心35名，湘乡市东山水闸工作站8名，湘乡市**水库工作站60名，2019年年末编制人员共157名。</w:t>
      </w:r>
    </w:p>
    <w:p>
      <w:pPr>
        <w:ind w:left="300" w:firstLine="600"/>
        <w:jc w:val="left"/>
        <w:rPr>
          <w:rFonts w:asciiTheme="minorEastAsia" w:hAnsiTheme="minorEastAsia" w:cstheme="minorEastAsia"/>
          <w:b/>
          <w:bCs/>
          <w:sz w:val="32"/>
          <w:szCs w:val="32"/>
        </w:rPr>
      </w:pPr>
      <w:r>
        <w:rPr>
          <w:rFonts w:hint="eastAsia" w:asciiTheme="minorEastAsia" w:hAnsiTheme="minorEastAsia" w:cstheme="minorEastAsia"/>
          <w:b/>
          <w:bCs/>
          <w:sz w:val="32"/>
          <w:szCs w:val="32"/>
        </w:rPr>
        <w:t>2、实有人数</w:t>
      </w:r>
    </w:p>
    <w:p>
      <w:pPr>
        <w:ind w:left="300" w:firstLine="600"/>
        <w:jc w:val="left"/>
        <w:rPr>
          <w:rFonts w:asciiTheme="minorEastAsia" w:hAnsiTheme="minorEastAsia" w:cstheme="minorEastAsia"/>
          <w:sz w:val="32"/>
          <w:szCs w:val="32"/>
        </w:rPr>
      </w:pPr>
      <w:r>
        <w:rPr>
          <w:rFonts w:hint="eastAsia" w:asciiTheme="minorEastAsia" w:hAnsiTheme="minorEastAsia" w:cstheme="minorEastAsia"/>
          <w:sz w:val="32"/>
          <w:szCs w:val="32"/>
        </w:rPr>
        <w:t>2019年年末实有在职人员136名，离休人员1名，退休51名。</w:t>
      </w:r>
    </w:p>
    <w:p>
      <w:pPr>
        <w:numPr>
          <w:ilvl w:val="0"/>
          <w:numId w:val="3"/>
        </w:numPr>
        <w:ind w:left="300" w:leftChars="143" w:firstLine="640" w:firstLineChars="200"/>
        <w:jc w:val="left"/>
        <w:rPr>
          <w:rFonts w:asciiTheme="minorEastAsia" w:hAnsiTheme="minorEastAsia" w:cstheme="minorEastAsia"/>
          <w:b/>
          <w:sz w:val="32"/>
          <w:szCs w:val="32"/>
        </w:rPr>
      </w:pPr>
      <w:r>
        <w:rPr>
          <w:rFonts w:hint="eastAsia" w:asciiTheme="minorEastAsia" w:hAnsiTheme="minorEastAsia" w:cstheme="minorEastAsia"/>
          <w:b/>
          <w:sz w:val="32"/>
          <w:szCs w:val="32"/>
        </w:rPr>
        <w:t>部门整体支出管理及使用情况</w:t>
      </w:r>
    </w:p>
    <w:p>
      <w:pPr>
        <w:numPr>
          <w:ilvl w:val="0"/>
          <w:numId w:val="4"/>
        </w:numPr>
        <w:ind w:firstLine="640" w:firstLineChars="200"/>
        <w:jc w:val="left"/>
        <w:rPr>
          <w:rFonts w:asciiTheme="minorEastAsia" w:hAnsiTheme="minorEastAsia" w:cstheme="minorEastAsia"/>
          <w:b/>
          <w:bCs/>
          <w:sz w:val="32"/>
          <w:szCs w:val="32"/>
        </w:rPr>
      </w:pPr>
      <w:r>
        <w:rPr>
          <w:rFonts w:hint="eastAsia" w:asciiTheme="minorEastAsia" w:hAnsiTheme="minorEastAsia" w:cstheme="minorEastAsia"/>
          <w:b/>
          <w:bCs/>
          <w:sz w:val="32"/>
          <w:szCs w:val="32"/>
        </w:rPr>
        <w:t>预算情况</w:t>
      </w:r>
    </w:p>
    <w:p>
      <w:pPr>
        <w:ind w:firstLine="960" w:firstLineChars="300"/>
        <w:jc w:val="left"/>
        <w:rPr>
          <w:rFonts w:asciiTheme="minorEastAsia" w:hAnsiTheme="minorEastAsia" w:cstheme="minorEastAsia"/>
          <w:b/>
          <w:bCs/>
          <w:sz w:val="32"/>
          <w:szCs w:val="32"/>
        </w:rPr>
      </w:pPr>
      <w:r>
        <w:rPr>
          <w:rFonts w:hint="eastAsia" w:asciiTheme="minorEastAsia" w:hAnsiTheme="minorEastAsia" w:cstheme="minorEastAsia"/>
          <w:b/>
          <w:bCs/>
          <w:sz w:val="32"/>
          <w:szCs w:val="32"/>
        </w:rPr>
        <w:t>1、年初预算情况</w:t>
      </w:r>
    </w:p>
    <w:p>
      <w:pPr>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本年年初预算（含移民局）安排财政拨款收入2394.92万元，财政拨款预算支出2394.92万元，其中基本支出1634.16万元，项目支出760.75万元。</w:t>
      </w:r>
    </w:p>
    <w:p>
      <w:pPr>
        <w:ind w:left="420" w:leftChars="200" w:firstLine="320" w:firstLineChars="100"/>
        <w:jc w:val="left"/>
        <w:rPr>
          <w:rFonts w:asciiTheme="minorEastAsia" w:hAnsiTheme="minorEastAsia" w:cstheme="minorEastAsia"/>
          <w:b/>
          <w:bCs/>
          <w:sz w:val="32"/>
          <w:szCs w:val="32"/>
        </w:rPr>
      </w:pPr>
      <w:r>
        <w:rPr>
          <w:rFonts w:hint="eastAsia" w:asciiTheme="minorEastAsia" w:hAnsiTheme="minorEastAsia" w:cstheme="minorEastAsia"/>
          <w:b/>
          <w:bCs/>
          <w:sz w:val="32"/>
          <w:szCs w:val="32"/>
        </w:rPr>
        <w:t>2、年中追加和调减预算情况</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年初总预算收入为2394.92万元，全年调整后的预算收入为8741.29万元，较年初增加6346.97万元。项目支出追加指标6259.4万元，其中(本级)追加指标为农村饮水项目88.4万元，（本级）水质核查登记40万元，(上级)中央第一批水利发展资金1076万元，(上级)农村人畜饮水安全1140万元，（本级）解决办公楼加固维修150万元，(上级)上年结转资金1572万元，(上级)中小河流治理700万元，(上级)中央第二批救灾资金222万元，（本级）返还五座中型水库非税21万,(上级)水利建设资金1250万元,基本支出追加指标87.57万元均为调整薪资或者单位合并而产生的。全年调减预算指标15.51万元，其中：基本支出15.51万元（人员经费14.25万元，代扣2019年工会经费1.26万元）。</w:t>
      </w:r>
    </w:p>
    <w:p>
      <w:pPr>
        <w:ind w:firstLine="640" w:firstLineChars="200"/>
        <w:jc w:val="left"/>
        <w:rPr>
          <w:rFonts w:asciiTheme="minorEastAsia" w:hAnsiTheme="minorEastAsia" w:cstheme="minorEastAsia"/>
          <w:b/>
          <w:bCs/>
          <w:sz w:val="32"/>
          <w:szCs w:val="32"/>
        </w:rPr>
      </w:pPr>
      <w:r>
        <w:rPr>
          <w:rFonts w:hint="eastAsia" w:asciiTheme="minorEastAsia" w:hAnsiTheme="minorEastAsia" w:cstheme="minorEastAsia"/>
          <w:b/>
          <w:bCs/>
          <w:sz w:val="32"/>
          <w:szCs w:val="32"/>
        </w:rPr>
        <w:t>3、全年总预算情况</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本年收入8741.29万元，财政拨款收入8741.29万元，占本年收入100%。上年收入9251.84万元，本年比上年减少510.55万元，原因是2019年重点工程按进度结转至下年度拨付。</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本年支出11750.13万元，财政拨款支出11750.13万元，占本年支出100%。按支出性质 ：（一）基本支出1515.20万元，其中人员经费1303.57万元，日常公用经费21.16万元；（二）项目支出万10234.93元，其中基本建设类项目支出6856.06万元，行政事业类项目支出3378.87万元。2019年支出数为8629.45万元，本年比上年增加3120.68万元，原因是2019年重点工程按进度拨付。</w:t>
      </w:r>
    </w:p>
    <w:p>
      <w:pPr>
        <w:snapToGrid w:val="0"/>
        <w:spacing w:line="560" w:lineRule="exact"/>
        <w:rPr>
          <w:rFonts w:asciiTheme="minorEastAsia" w:hAnsiTheme="minorEastAsia" w:cstheme="minorEastAsia"/>
          <w:b/>
          <w:bCs/>
          <w:sz w:val="32"/>
          <w:szCs w:val="32"/>
        </w:rPr>
      </w:pPr>
      <w:r>
        <w:rPr>
          <w:rFonts w:hint="eastAsia" w:asciiTheme="minorEastAsia" w:hAnsiTheme="minorEastAsia" w:cstheme="minorEastAsia"/>
          <w:b/>
          <w:bCs/>
          <w:sz w:val="32"/>
          <w:szCs w:val="32"/>
        </w:rPr>
        <w:t>（二）预算执行情况</w:t>
      </w:r>
    </w:p>
    <w:p>
      <w:pPr>
        <w:snapToGrid w:val="0"/>
        <w:spacing w:line="560" w:lineRule="exact"/>
        <w:rPr>
          <w:rFonts w:asciiTheme="minorEastAsia" w:hAnsiTheme="minorEastAsia" w:cstheme="minorEastAsia"/>
          <w:b/>
          <w:bCs/>
          <w:sz w:val="32"/>
          <w:szCs w:val="32"/>
        </w:rPr>
      </w:pPr>
      <w:r>
        <w:rPr>
          <w:rFonts w:hint="eastAsia" w:asciiTheme="minorEastAsia" w:hAnsiTheme="minorEastAsia" w:cstheme="minorEastAsia"/>
          <w:b/>
          <w:bCs/>
          <w:sz w:val="32"/>
          <w:szCs w:val="32"/>
        </w:rPr>
        <w:t xml:space="preserve">     1、收入支出与预算对比分析</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年初总预算收入为2394.92万元，本年收入为8741.29万元，较年初增加6346.97万元。其中上级追加指标为农村饮水项目88.4万，水质核查登记40万，中央第一批水利发展资金1076万元，农村人畜饮水安全1140万元，解决办公楼加固维修150万元，上年结转资金1572万元，中小河流治理700万元，中央第二批救灾资金222万元，返还五座中型水库非税21万,水利建设资金1250万元,其他追加资金87.57均为调整薪资或者单位合并而产生的。全年调减预算指标15.51元，其中：基本支出15.51元元（人员经费14.25元，代扣2019年工会经费1.26元）。</w:t>
      </w:r>
    </w:p>
    <w:p>
      <w:pPr>
        <w:snapToGrid w:val="0"/>
        <w:spacing w:line="560" w:lineRule="exact"/>
        <w:ind w:firstLine="640" w:firstLineChars="200"/>
        <w:rPr>
          <w:rFonts w:asciiTheme="minorEastAsia" w:hAnsiTheme="minorEastAsia" w:cstheme="minorEastAsia"/>
          <w:sz w:val="32"/>
          <w:szCs w:val="32"/>
        </w:rPr>
      </w:pPr>
    </w:p>
    <w:p>
      <w:pPr>
        <w:snapToGrid w:val="0"/>
        <w:spacing w:line="560" w:lineRule="exact"/>
        <w:ind w:firstLine="640" w:firstLineChars="200"/>
        <w:rPr>
          <w:rFonts w:asciiTheme="minorEastAsia" w:hAnsiTheme="minorEastAsia" w:cstheme="minorEastAsia"/>
          <w:b/>
          <w:bCs/>
          <w:sz w:val="32"/>
          <w:szCs w:val="32"/>
        </w:rPr>
      </w:pPr>
      <w:r>
        <w:rPr>
          <w:rFonts w:hint="eastAsia" w:asciiTheme="minorEastAsia" w:hAnsiTheme="minorEastAsia" w:cstheme="minorEastAsia"/>
          <w:sz w:val="32"/>
          <w:szCs w:val="32"/>
        </w:rPr>
        <w:t>预算调整率=（预算调整数/预算数）×100%=（8741.29-2394.91-88.4-40-1076-1140-150-1572-700-222-1357.98）/2394.91*100%=0%。</w:t>
      </w:r>
    </w:p>
    <w:p>
      <w:pPr>
        <w:numPr>
          <w:ilvl w:val="0"/>
          <w:numId w:val="5"/>
        </w:numPr>
        <w:spacing w:line="560" w:lineRule="exact"/>
        <w:ind w:firstLine="640" w:firstLineChars="200"/>
        <w:rPr>
          <w:rFonts w:asciiTheme="minorEastAsia" w:hAnsiTheme="minorEastAsia" w:cstheme="minorEastAsia"/>
          <w:b/>
          <w:bCs/>
          <w:sz w:val="32"/>
          <w:szCs w:val="32"/>
        </w:rPr>
      </w:pPr>
      <w:r>
        <w:rPr>
          <w:rFonts w:hint="eastAsia" w:asciiTheme="minorEastAsia" w:hAnsiTheme="minorEastAsia" w:cstheme="minorEastAsia"/>
          <w:b/>
          <w:bCs/>
          <w:sz w:val="32"/>
          <w:szCs w:val="32"/>
        </w:rPr>
        <w:t>基本支出执行情况</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基本支出主要用于保障局机关机构正常运转，完成日常工作任务而发生的支出，包括工资福利支出、商品和服务支出、对个人和家庭的补助等方面。</w:t>
      </w:r>
    </w:p>
    <w:p>
      <w:pPr>
        <w:spacing w:line="560" w:lineRule="exact"/>
        <w:ind w:firstLine="640" w:firstLineChars="200"/>
        <w:rPr>
          <w:rFonts w:asciiTheme="minorEastAsia" w:hAnsiTheme="minorEastAsia" w:cstheme="minorEastAsia"/>
          <w:b/>
          <w:bCs/>
          <w:color w:val="0000FF"/>
          <w:sz w:val="32"/>
          <w:szCs w:val="32"/>
        </w:rPr>
      </w:pPr>
      <w:r>
        <w:rPr>
          <w:rFonts w:hint="eastAsia" w:asciiTheme="minorEastAsia" w:hAnsiTheme="minorEastAsia" w:cstheme="minorEastAsia"/>
          <w:sz w:val="32"/>
          <w:szCs w:val="32"/>
        </w:rPr>
        <w:t>2019年因单位合并基本支出年初预算1634.16万元，调整后预算为1704.16万元，决算支出1515.2万元，原因是五座中型水库人员经费放在项目支出内，预算执行率88.91%。</w:t>
      </w:r>
    </w:p>
    <w:p>
      <w:pPr>
        <w:pStyle w:val="2"/>
        <w:ind w:firstLine="640"/>
        <w:rPr>
          <w:rFonts w:asciiTheme="minorEastAsia" w:hAnsiTheme="minorEastAsia" w:eastAsiaTheme="minorEastAsia" w:cstheme="minorEastAsia"/>
          <w:sz w:val="32"/>
          <w:szCs w:val="32"/>
        </w:rPr>
      </w:pPr>
    </w:p>
    <w:p>
      <w:pPr>
        <w:spacing w:line="560" w:lineRule="exact"/>
        <w:ind w:left="420" w:leftChars="200" w:firstLine="320" w:firstLineChars="100"/>
        <w:rPr>
          <w:rFonts w:asciiTheme="minorEastAsia" w:hAnsiTheme="minorEastAsia" w:cstheme="minorEastAsia"/>
          <w:sz w:val="32"/>
          <w:szCs w:val="32"/>
        </w:rPr>
      </w:pPr>
      <w:r>
        <w:rPr>
          <w:rFonts w:hint="eastAsia" w:asciiTheme="minorEastAsia" w:hAnsiTheme="minorEastAsia" w:cstheme="minorEastAsia"/>
          <w:b/>
          <w:bCs/>
          <w:sz w:val="32"/>
          <w:szCs w:val="32"/>
        </w:rPr>
        <w:t>3、项目支出执行情况</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项目支出是在基本支出之外为完成特定的职能目标而发生的支出，主要用于水利建设与管理工作、利设施、水域及其岸线的管理与保护、生态保护体系建设等方面。我市的水利项目资金严格按照国家财经法规、《财务管理制度》，《预算资金管理制度》《湘乡市四水治理工程项目财务管理办法》《湘乡市中小河流治理工程项目财务管理办法》《湘乡市中小河流治理工程项目工程价款结算支付办法》《湘乡市水利局合同管理制度》《《湘乡市水利局建设项目管理制度》执行，遵循先预算、再审批、后支出的原则，严格按照计划和资金预算文件进行计划、资金分配与拨付，做到了专款专用，实行专项管理、分项核算，未擅自调整工程计划和改变资金用途问题，无截留、滞留、违规抵扣等现象，也无挤占、串用、挪用资金现象，保障了资金使用的合规性。</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2019年，部门预算项目支出年初预算7607500元，年中追加上年指标1134200元,2019年调整预算指标8741700元，决算支出7618242.88元，预算执行率87.14%。</w:t>
      </w:r>
    </w:p>
    <w:p>
      <w:pPr>
        <w:snapToGrid w:val="0"/>
        <w:spacing w:line="560" w:lineRule="exact"/>
        <w:ind w:left="420" w:leftChars="200"/>
        <w:rPr>
          <w:rFonts w:asciiTheme="minorEastAsia" w:hAnsiTheme="minorEastAsia" w:cstheme="minorEastAsia"/>
          <w:b/>
          <w:bCs/>
          <w:sz w:val="32"/>
          <w:szCs w:val="32"/>
        </w:rPr>
      </w:pPr>
      <w:r>
        <w:rPr>
          <w:rFonts w:hint="eastAsia" w:asciiTheme="minorEastAsia" w:hAnsiTheme="minorEastAsia" w:cstheme="minorEastAsia"/>
          <w:b/>
          <w:bCs/>
          <w:sz w:val="32"/>
          <w:szCs w:val="32"/>
        </w:rPr>
        <w:t>4、“三公经费”预算执行情况</w:t>
      </w:r>
    </w:p>
    <w:p>
      <w:pPr>
        <w:snapToGrid w:val="0"/>
        <w:spacing w:line="560" w:lineRule="exact"/>
        <w:ind w:left="420" w:leftChars="200"/>
        <w:rPr>
          <w:rFonts w:asciiTheme="minorEastAsia" w:hAnsiTheme="minorEastAsia" w:cstheme="minorEastAsia"/>
          <w:sz w:val="32"/>
          <w:szCs w:val="32"/>
        </w:rPr>
      </w:pPr>
      <w:r>
        <w:rPr>
          <w:rFonts w:hint="eastAsia" w:asciiTheme="minorEastAsia" w:hAnsiTheme="minorEastAsia" w:cstheme="minorEastAsia"/>
          <w:sz w:val="32"/>
          <w:szCs w:val="32"/>
        </w:rPr>
        <w:t xml:space="preserve"> “三公经费”预算情况：本年 “三公经费”总预算为86.3万元，其中水利局“三公经费”56万，水资办“三公经费”1.5万、五座中型水库级东山水闸管理所“三公经费”4.8万、移民开发局“三公经费”24万元。</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“三公经费”支出情况：“三公经费”总支出24.73万元，其中公务接待费10.66万元，公务用车运行与维护费14.07万元。</w:t>
      </w:r>
    </w:p>
    <w:p>
      <w:pPr>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“三公经费”控制率-（“三公经费”实际支出数/“三公经费”预算安排数）×100%=（140743.42+106553.3）/（560000+15000+48000+240000）*100%=28.66%。</w:t>
      </w:r>
    </w:p>
    <w:p>
      <w:pPr>
        <w:snapToGrid w:val="0"/>
        <w:spacing w:line="560" w:lineRule="exact"/>
        <w:ind w:left="640"/>
        <w:rPr>
          <w:rFonts w:asciiTheme="minorEastAsia" w:hAnsiTheme="minorEastAsia" w:cstheme="minorEastAsia"/>
          <w:b/>
          <w:bCs/>
          <w:sz w:val="32"/>
          <w:szCs w:val="32"/>
        </w:rPr>
      </w:pPr>
      <w:r>
        <w:rPr>
          <w:rFonts w:hint="eastAsia" w:asciiTheme="minorEastAsia" w:hAnsiTheme="minorEastAsia" w:cstheme="minorEastAsia"/>
          <w:b/>
          <w:bCs/>
          <w:sz w:val="32"/>
          <w:szCs w:val="32"/>
        </w:rPr>
        <w:t>(四）年末结转和结余情况</w:t>
      </w:r>
    </w:p>
    <w:p>
      <w:pPr>
        <w:spacing w:line="560" w:lineRule="exact"/>
        <w:rPr>
          <w:rFonts w:asciiTheme="minorEastAsia" w:hAnsiTheme="minorEastAsia" w:cstheme="minorEastAsia"/>
          <w:kern w:val="0"/>
          <w:sz w:val="32"/>
          <w:szCs w:val="32"/>
          <w:lang w:val="zh-CN"/>
        </w:rPr>
      </w:pPr>
      <w:r>
        <w:rPr>
          <w:rFonts w:hint="eastAsia" w:asciiTheme="minorEastAsia" w:hAnsiTheme="minorEastAsia" w:cstheme="minorEastAsia"/>
          <w:sz w:val="32"/>
          <w:szCs w:val="32"/>
        </w:rPr>
        <w:t xml:space="preserve">   2018年结转和结余15334.18万元，其中基本支出结转2.16万元，项目支出结转15332.02万元；2019年结转和结余12329.61万元，其中基本支出结转423.52万元，项目支出结转和结余11906.10万元。</w:t>
      </w:r>
    </w:p>
    <w:p>
      <w:pPr>
        <w:rPr>
          <w:rFonts w:asciiTheme="minorEastAsia" w:hAnsiTheme="minorEastAsia" w:cstheme="minorEastAsia"/>
          <w:b/>
          <w:sz w:val="32"/>
          <w:szCs w:val="32"/>
        </w:rPr>
      </w:pPr>
      <w:r>
        <w:rPr>
          <w:rFonts w:hint="eastAsia" w:asciiTheme="minorEastAsia" w:hAnsiTheme="minorEastAsia" w:cstheme="minorEastAsia"/>
          <w:sz w:val="32"/>
          <w:szCs w:val="32"/>
        </w:rPr>
        <w:t>  </w:t>
      </w:r>
      <w:r>
        <w:rPr>
          <w:rFonts w:hint="eastAsia" w:asciiTheme="minorEastAsia" w:hAnsiTheme="minorEastAsia" w:cstheme="minorEastAsia"/>
          <w:b/>
          <w:sz w:val="32"/>
          <w:szCs w:val="32"/>
        </w:rPr>
        <w:t> </w:t>
      </w:r>
      <w:r>
        <w:rPr>
          <w:rFonts w:hint="eastAsia" w:asciiTheme="minorEastAsia" w:hAnsiTheme="minorEastAsia" w:cstheme="minorEastAsia"/>
          <w:sz w:val="32"/>
          <w:szCs w:val="32"/>
        </w:rPr>
        <w:t> </w:t>
      </w:r>
      <w:r>
        <w:rPr>
          <w:rFonts w:hint="eastAsia" w:asciiTheme="minorEastAsia" w:hAnsiTheme="minorEastAsia" w:cstheme="minorEastAsia"/>
          <w:b/>
          <w:sz w:val="32"/>
          <w:szCs w:val="32"/>
        </w:rPr>
        <w:t> 三、部门整体支出绩效情况</w:t>
      </w:r>
    </w:p>
    <w:p>
      <w:pPr>
        <w:ind w:firstLine="800" w:firstLineChars="250"/>
        <w:rPr>
          <w:rFonts w:asciiTheme="minorEastAsia" w:hAnsiTheme="minorEastAsia" w:cstheme="minorEastAsia"/>
          <w:sz w:val="32"/>
          <w:szCs w:val="32"/>
        </w:rPr>
      </w:pPr>
      <w:r>
        <w:rPr>
          <w:rFonts w:hint="eastAsia" w:asciiTheme="minorEastAsia" w:hAnsiTheme="minorEastAsia" w:cstheme="minorEastAsia"/>
          <w:kern w:val="0"/>
          <w:sz w:val="32"/>
          <w:szCs w:val="32"/>
          <w:lang w:val="zh-CN"/>
        </w:rPr>
        <w:t>2019年，在市委、市政府的坚强领导的大力支持下，水</w:t>
      </w:r>
      <w:r>
        <w:rPr>
          <w:rFonts w:hint="eastAsia" w:asciiTheme="minorEastAsia" w:hAnsiTheme="minorEastAsia" w:cstheme="minorEastAsia"/>
          <w:kern w:val="0"/>
          <w:sz w:val="32"/>
          <w:szCs w:val="32"/>
        </w:rPr>
        <w:t>利</w:t>
      </w:r>
      <w:r>
        <w:rPr>
          <w:rFonts w:hint="eastAsia" w:asciiTheme="minorEastAsia" w:hAnsiTheme="minorEastAsia" w:cstheme="minorEastAsia"/>
          <w:kern w:val="0"/>
          <w:sz w:val="32"/>
          <w:szCs w:val="32"/>
          <w:lang w:val="zh-CN"/>
        </w:rPr>
        <w:t>局顶住压力，克服困难，圆满完成了各项目标任务，为全市经济社会发展作出了积极贡献。</w:t>
      </w:r>
      <w:r>
        <w:rPr>
          <w:rFonts w:hint="eastAsia" w:asciiTheme="minorEastAsia" w:hAnsiTheme="minorEastAsia" w:cstheme="minorEastAsia"/>
          <w:sz w:val="32"/>
          <w:szCs w:val="32"/>
        </w:rPr>
        <w:t>根据《部门整体支出绩效评价指标》评分，得分91.6分，</w:t>
      </w:r>
      <w:r>
        <w:rPr>
          <w:rFonts w:hint="eastAsia" w:asciiTheme="minorEastAsia" w:hAnsiTheme="minorEastAsia" w:cstheme="minorEastAsia"/>
          <w:kern w:val="0"/>
          <w:sz w:val="32"/>
          <w:szCs w:val="32"/>
          <w:lang w:val="zh-CN"/>
        </w:rPr>
        <w:t>绩效评价等级为</w:t>
      </w:r>
      <w:r>
        <w:rPr>
          <w:rFonts w:hint="eastAsia" w:asciiTheme="minorEastAsia" w:hAnsiTheme="minorEastAsia" w:cstheme="minorEastAsia"/>
          <w:sz w:val="32"/>
          <w:szCs w:val="32"/>
        </w:rPr>
        <w:t>“优”。主要绩效如下：</w:t>
      </w:r>
    </w:p>
    <w:p>
      <w:pPr>
        <w:ind w:firstLine="640" w:firstLineChars="200"/>
        <w:rPr>
          <w:rFonts w:asciiTheme="minorEastAsia" w:hAnsiTheme="minorEastAsia" w:cstheme="minorEastAsia"/>
          <w:sz w:val="32"/>
          <w:szCs w:val="32"/>
        </w:rPr>
      </w:pPr>
      <w:r>
        <w:rPr>
          <w:rFonts w:hint="eastAsia" w:asciiTheme="minorEastAsia" w:hAnsiTheme="minorEastAsia" w:cstheme="minorEastAsia"/>
          <w:b/>
          <w:sz w:val="32"/>
          <w:szCs w:val="32"/>
        </w:rPr>
        <w:t>1、严格财经纪律，健全各项制度，严格控制基本支出</w:t>
      </w:r>
      <w:r>
        <w:rPr>
          <w:rFonts w:hint="eastAsia" w:asciiTheme="minorEastAsia" w:hAnsiTheme="minorEastAsia" w:cstheme="minorEastAsia"/>
          <w:sz w:val="32"/>
          <w:szCs w:val="32"/>
        </w:rPr>
        <w:t>。</w:t>
      </w:r>
    </w:p>
    <w:p>
      <w:pPr>
        <w:ind w:firstLine="620"/>
        <w:rPr>
          <w:rFonts w:asciiTheme="minorEastAsia" w:hAnsiTheme="minorEastAsia" w:cstheme="minorEastAsia"/>
          <w:sz w:val="32"/>
          <w:szCs w:val="32"/>
        </w:rPr>
      </w:pPr>
      <w:r>
        <w:rPr>
          <w:rFonts w:hint="eastAsia" w:asciiTheme="minorEastAsia" w:hAnsiTheme="minorEastAsia" w:cstheme="minorEastAsia"/>
          <w:sz w:val="32"/>
          <w:szCs w:val="32"/>
        </w:rPr>
        <w:t>2019年我单位制定了财务管理制度和会计核算等管理制度，制定财务职责、厉行节约制度，相关管理制度得到认真执行。一切支出按照国家财经法规和财务管理制度规定以及专项资金管理办法的规定办理，财务人员认真审核算每笔业务的合法性、真实性、手续完整性和资料的准确性。资金拨付有完善的审批程序和手续，支出符部门预算批复的用途，资金使用无截留、挤占挪用、虚列支出等情况。预决算信息公开性，按照规定的内容、时间公开预算信息，做到基础数据信息和会计资料真实、完整、准确。</w:t>
      </w:r>
    </w:p>
    <w:p>
      <w:pPr>
        <w:ind w:firstLine="640" w:firstLineChars="200"/>
        <w:rPr>
          <w:rFonts w:asciiTheme="minorEastAsia" w:hAnsiTheme="minorEastAsia" w:cstheme="minorEastAsia"/>
          <w:b/>
          <w:bCs/>
          <w:sz w:val="32"/>
          <w:szCs w:val="32"/>
        </w:rPr>
      </w:pPr>
      <w:r>
        <w:rPr>
          <w:rFonts w:hint="eastAsia" w:asciiTheme="minorEastAsia" w:hAnsiTheme="minorEastAsia" w:cstheme="minorEastAsia"/>
          <w:b/>
          <w:bCs/>
          <w:sz w:val="32"/>
          <w:szCs w:val="32"/>
        </w:rPr>
        <w:t>2、2019年完成情况</w:t>
      </w:r>
    </w:p>
    <w:p>
      <w:pPr>
        <w:ind w:firstLine="640" w:firstLineChars="200"/>
        <w:rPr>
          <w:rFonts w:asciiTheme="minorEastAsia" w:hAnsiTheme="minorEastAsia" w:cstheme="minorEastAsia"/>
          <w:b/>
          <w:bCs/>
          <w:sz w:val="32"/>
          <w:szCs w:val="32"/>
        </w:rPr>
      </w:pPr>
      <w:r>
        <w:rPr>
          <w:rFonts w:hint="eastAsia" w:asciiTheme="minorEastAsia" w:hAnsiTheme="minorEastAsia" w:cstheme="minorEastAsia"/>
          <w:b/>
          <w:bCs/>
          <w:sz w:val="32"/>
          <w:szCs w:val="32"/>
        </w:rPr>
        <w:t>（一）致力于民生水利，项目建设再掀新高潮</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是重点项目加快实施。2019年，市水利局多方争资跑项，累计投入资金1.6亿元，进一步夯实了水利基础设施。其中移民后扶项目6000万元，目前已完成整体形象进度98%，计划11月底全部完工验收；农村水利工程投资10000万元，包括湖山保护圈堤防加固工程、肖家河治理二期建设、桃林灌区二期、菜石港治理等，目前正在实施阶段，已完成整体形象进度的100%，计划年底全部完成工程建设。</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二是农村饮水工程全力推进。一是对贫困人口饮水安全问题进行全面排查，针对发现的问题，梳理核实，经市人民政府同意，共安排资金1316万元，解决了899名建档立卡贫困人口饮水安问题，解决贫困村组季节性缺水问题45处；二是开展农村饮水安全工程“回头看”工作，对农村饮水安全工程进行巩固提升，共安排资金1140万元，整体进度达到90%，预计11月全部完工。</w:t>
      </w:r>
    </w:p>
    <w:p>
      <w:pPr>
        <w:ind w:firstLine="640" w:firstLineChars="200"/>
        <w:rPr>
          <w:rFonts w:asciiTheme="minorEastAsia" w:hAnsiTheme="minorEastAsia" w:cstheme="minorEastAsia"/>
          <w:b/>
          <w:bCs/>
          <w:sz w:val="32"/>
          <w:szCs w:val="32"/>
        </w:rPr>
      </w:pPr>
      <w:r>
        <w:rPr>
          <w:rFonts w:hint="eastAsia" w:asciiTheme="minorEastAsia" w:hAnsiTheme="minorEastAsia" w:cstheme="minorEastAsia"/>
          <w:b/>
          <w:bCs/>
          <w:sz w:val="32"/>
          <w:szCs w:val="32"/>
        </w:rPr>
        <w:t>（二）致力于和谐水利，防汛抗旱再夺新胜利</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是全力服务防汛抗旱大局。因机构改革，水利局职责职能发生转变，市防汛抗旱指挥部办公室的工作由市应急管理局承担。划转两名同志到市应急管理局工作。根据市委市政府主要领导的指示，2019年的防汛抗旱指挥统筹工作仍由水利局承担。我局坚决服从市委、市政府的决定，全力做好防汛抗旱的各项工作，实行24小时防汛值班和领导带班制度，取得了防汛抗旱的各项胜利，我局被湘潭市委、市人民政府授予2019年度防汛抗旱工作先进单位。二是夯实各项基础工作。按照国家防总和省防指水库安全度汛“三个重要措施”和“一个要害措施”要求，开展了水库安全度汛专项工作督查；及时修订和完善了176座水库应急抢险预案和调度规程并进行了审查批复；对山洪灾害易发区防御预案进行了修订；各水库都明确了行政责任人、技术责任人和管护责任人，并在水库醒目处进行公示，使水库的防汛安全责任落到了实处。三是做好山洪灾害防御工作。组织市水文局和专业维护公司，对全市11个水位视频观测站、20个水位测报站、165个简易雨量站和146个预警广播等设施进行全面排查整改，今年通过山洪广播发布雨情、水情、指挥调度等信息5000余条。四是组织开展防汛培训和演练工作。举办了湘乡市水利系统防汛知识培训；组织5座中型水库和所在乡镇开展了防汛抢险应急联合演练。五是加强防汛物资的储备工作。在原有防汛物资储备的基础上，2019年新购置冲锋舟5艘，委托湘乡市供销社新购置30万元防汛物资并进行日常管理和运输；投入30万元在湘乡市水土保持站新建1处270平方米防汛仓库储备防汛物资。六是做好汛期宣传工作。通过湘乡市红网、河长制公众号、湘乡市广播咨询频道、村村响广播等方式对我市防汛抗旱工作动态、防灾减灾知识等方面进行宣传，汛期已发布新闻报道6篇、电视频道和广播播放350余次、发放宣传资料500份。</w:t>
      </w:r>
    </w:p>
    <w:p>
      <w:pPr>
        <w:ind w:firstLine="640" w:firstLineChars="200"/>
        <w:rPr>
          <w:rFonts w:asciiTheme="minorEastAsia" w:hAnsiTheme="minorEastAsia" w:cstheme="minorEastAsia"/>
          <w:b/>
          <w:bCs/>
          <w:sz w:val="32"/>
          <w:szCs w:val="32"/>
        </w:rPr>
      </w:pPr>
      <w:r>
        <w:rPr>
          <w:rFonts w:hint="eastAsia" w:asciiTheme="minorEastAsia" w:hAnsiTheme="minorEastAsia" w:cstheme="minorEastAsia"/>
          <w:b/>
          <w:bCs/>
          <w:sz w:val="32"/>
          <w:szCs w:val="32"/>
        </w:rPr>
        <w:t>（三）致力于生态水利，河长治水再迈新台阶</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将全面推行河长制作为政治任务，积极谋划，大力协调。一是全面加强河长巡河。市委书记彭瑞林、市长周俊文共同签发湘乡市一号总河长令，督促各级河长积极履职。市级河长率先垂范，对涟水河流域、水府庙水库和其它天然水域每月巡河在一次以上，发布政府通告500多份，市河委会召开专题会议4次，新设立警示牌45个并公告举报电话。二是出台问责办法。我市于今年4月份出台了《河长制工作问责办法》，该办法被水利部印发全国推广。同时，借鉴政治巡察和生态环保督</w:t>
      </w:r>
      <w:r>
        <w:rPr>
          <w:rFonts w:hint="eastAsia" w:asciiTheme="minorEastAsia" w:hAnsiTheme="minorEastAsia" w:cstheme="minorEastAsia"/>
          <w:sz w:val="32"/>
          <w:szCs w:val="32"/>
          <w:lang w:val="en-US" w:eastAsia="zh-CN"/>
        </w:rPr>
        <w:t>察</w:t>
      </w:r>
      <w:bookmarkStart w:id="3" w:name="_GoBack"/>
      <w:bookmarkEnd w:id="3"/>
      <w:r>
        <w:rPr>
          <w:rFonts w:hint="eastAsia" w:asciiTheme="minorEastAsia" w:hAnsiTheme="minorEastAsia" w:cstheme="minorEastAsia"/>
          <w:sz w:val="32"/>
          <w:szCs w:val="32"/>
        </w:rPr>
        <w:t>的做法，每月对乡村河长制工作进行1次暗访，对于不认真落实河长制各项要求的相关单位和党员干部在全市通报批评，收到了较好的效果。三是全力开展样板河建设。22个乡镇（街道）开展了样板河创建，其中我市涟水河城区段获评湖南省最美河段。四是全面完成“清四乱”专项行动。从2018年8月开始，全面启动以水府庙水库为治理重点的河库“清四乱”专项整治行动。共排查“四乱”问题136处，其中水府庙水库110处，截止2019年5月31日，湘乡市河库136处“四乱”问题已全面整治到位，得到了省、市领导的高度肯定，全省河湖强监管工作会议得以在我市召开。五是开展“一河一策”编制。完成了市、乡河流“一河一档”编制，全面完善了市、乡河流“一河一策”方案编制。完成了涟水湘乡段、石狮江西干流、石狮江东干流、虞唐河、菜石江河、成家湾河、乌江河、肖家河、西阳河共九条流域面积在50平方千米以上河流的成果方案编制工作。六是全面开展水库水域保洁。7月17日，我市召开东山湖水库网箱、障碍物及垃圾集中整治推进会，全面安排部署东山湖水库清障工作。10月底，对全市176座水库全面开展水库漂浮物、非法构建物专项整治行动预计在11月底全面完成任务。</w:t>
      </w:r>
    </w:p>
    <w:p>
      <w:pPr>
        <w:ind w:firstLine="640" w:firstLineChars="200"/>
        <w:rPr>
          <w:rFonts w:asciiTheme="minorEastAsia" w:hAnsiTheme="minorEastAsia" w:cstheme="minorEastAsia"/>
          <w:b/>
          <w:bCs/>
          <w:sz w:val="32"/>
          <w:szCs w:val="32"/>
        </w:rPr>
      </w:pPr>
      <w:r>
        <w:rPr>
          <w:rFonts w:hint="eastAsia" w:asciiTheme="minorEastAsia" w:hAnsiTheme="minorEastAsia" w:cstheme="minorEastAsia"/>
          <w:b/>
          <w:bCs/>
          <w:sz w:val="32"/>
          <w:szCs w:val="32"/>
        </w:rPr>
        <w:t>（四）致力于平安水利，治水管水再创新佳绩</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一方面，全力抓好水资源管理。完成了对取水许可系统进行了全面的清理，共办理27本有效取水许可证，全国取水许可登记系统录入率为100%，目前正在对我市人饮工程办理取水许可审批手续。 依法征收水资源费70余万元，全面完成今年的收费目标任务。开展了取水工程核查登记。完成了县域节水型社会创建工作，待年底完成验收。开展洙津渡饮用水源地的保护工作，在水源地保护区范围内安装了9个排水口标识牌，6个信息公示牌，公布举报电话，及时受理群众对违反水源地保护行为的检举、投诉，并依法查处违法行为。</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另一方面，严格水行政执法监管。一是积极开展扫黑除恶专项斗争。组织水利系统全体干部职工开展安全生产警示约谈暨扫黑除恶专项斗争知识培训会3次，组织扫黑除恶专项斗争知识考试2次，召开水利系统扫黑除恶专项斗争动员会1次、推进会1次、再动员会1次；组织机关干部职工对其家属宣讲扫黑除恶专项斗争知识2次，发放培训资料2000余份；全体党员干部签订了《不参与涉黑涉恶承诺书》；共摸排涉黑涉恶线索12条，其中群众举报涉黑涉恶线索8条，移送有效涉黑涉恶线索6条。二是加大对非法采砂的打击力度，全年水事行政立案20起，发出责停责改文书45份，发出清障令15份，罚款11.29万元，追缴违法所得187万，刑事立案一起，刑事逮捕5人，判刑3人；查处治安案件2起，治安拘留3人，投入清四乱整治经费500万元。此次专项行动震慑巨大，影响及其深远。三是严厉打击电、毒、炸鱼和使用迷魂阵、拦江网、扳罾网等非法渔具捕捞的破坏水域生态环境的违法犯罪行为，依法取缔非法渔具56个、没收大功率电鱼机4台，电捕机动渔船4艘，行政处罚4人，罚款4000元。</w:t>
      </w:r>
    </w:p>
    <w:p>
      <w:pPr>
        <w:ind w:firstLine="640" w:firstLineChars="200"/>
        <w:rPr>
          <w:rFonts w:asciiTheme="minorEastAsia" w:hAnsiTheme="minorEastAsia" w:cstheme="minorEastAsia"/>
          <w:b/>
          <w:bCs/>
          <w:sz w:val="32"/>
          <w:szCs w:val="32"/>
        </w:rPr>
      </w:pPr>
      <w:r>
        <w:rPr>
          <w:rFonts w:hint="eastAsia" w:asciiTheme="minorEastAsia" w:hAnsiTheme="minorEastAsia" w:cstheme="minorEastAsia"/>
          <w:b/>
          <w:bCs/>
          <w:sz w:val="32"/>
          <w:szCs w:val="32"/>
        </w:rPr>
        <w:t>（五）致力于廉洁水利，全面从严治党再取新突破</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是抓学习教育，提升队伍素质。对局属各党组织进行了调整，机关一支部委员会进行了换届选举，二支部委员会进行了改选选举，各支部委员会的组织领导力量进一步加强。着重抓好了“不忘初心、牢记使命”主题教育、“三会一课”、主题党日等活动，结合庆祝建党98周年、中华人民共和国成立70周年举办系列活动，开展“不忘初心，牢记使命”主题演讲、爱国歌曲大家唱、红色故事分享会、主题征文比赛等活动，并组织到十八洞村、芷江、陈赓故居、黄公略故居等红色教育基地实地学习，突出爱国主题，重视全体党员干部的参与性、主体性，丰富教育形式，激发爱国情怀。机关一支部被湘潭市委组织部评为2019年度“红五星”支部。</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二是抓主体责任，推进党风廉政建设。坚持党风廉政建设与水利业务工作两手抓、两手硬，切实发挥党委在党风廉政建设中的领导核心作用。</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是抓作风建设，提高服务效能。选派4名同志到农村党支部担任驻村队长、副队长，3名同志抽调市委巡察组参加巡察工作，支持他们大胆开展工作。机关各支部与中沙镇和谐村、公略村、田心村党支部进行结对帮扶，深入开展脱贫攻坚“一对一”联系贫困户，局机关与龙洞镇和睦村开展联点共建。制订《关于进一步激发干部职工干事创业活力的实施意见》，激发干部职工干事创业活力，努力营造真抓实干、破难攻坚、敢于担当、学比赶超的良好氛围，为水利建设提供坚强的组织保障和创造优良的软环境。成立局作风建设检查小组对系统内单位进行检查并通报，一年内有2次通报批评记录的人员取消绩效奖。</w:t>
      </w:r>
    </w:p>
    <w:p>
      <w:pPr>
        <w:ind w:left="4540" w:leftChars="867" w:hanging="2720" w:hangingChars="850"/>
        <w:jc w:val="left"/>
        <w:rPr>
          <w:rFonts w:asciiTheme="minorEastAsia" w:hAnsiTheme="minorEastAsia" w:cstheme="minorEastAsia"/>
          <w:sz w:val="32"/>
          <w:szCs w:val="32"/>
        </w:rPr>
      </w:pPr>
      <w:r>
        <w:rPr>
          <w:rFonts w:hint="eastAsia" w:asciiTheme="minorEastAsia" w:hAnsiTheme="minorEastAsia" w:cstheme="minorEastAsia"/>
          <w:sz w:val="32"/>
          <w:szCs w:val="32"/>
        </w:rPr>
        <w:t xml:space="preserve">                         </w:t>
      </w:r>
    </w:p>
    <w:p>
      <w:pPr>
        <w:ind w:left="3605" w:leftChars="1717" w:firstLine="2240" w:firstLineChars="700"/>
        <w:jc w:val="left"/>
        <w:rPr>
          <w:rFonts w:asciiTheme="minorEastAsia" w:hAnsiTheme="minorEastAsia" w:cstheme="minorEastAsia"/>
          <w:sz w:val="32"/>
          <w:szCs w:val="32"/>
        </w:rPr>
      </w:pPr>
    </w:p>
    <w:p>
      <w:pPr>
        <w:ind w:left="3605" w:leftChars="1717" w:firstLine="2240" w:firstLineChars="700"/>
        <w:jc w:val="left"/>
        <w:rPr>
          <w:rFonts w:asciiTheme="minorEastAsia" w:hAnsiTheme="minorEastAsia" w:cstheme="minorEastAsia"/>
          <w:sz w:val="32"/>
          <w:szCs w:val="32"/>
        </w:rPr>
      </w:pPr>
    </w:p>
    <w:p>
      <w:pPr>
        <w:ind w:left="4540" w:leftChars="867" w:hanging="2720" w:hangingChars="850"/>
        <w:jc w:val="left"/>
        <w:rPr>
          <w:rFonts w:asciiTheme="minorEastAsia" w:hAnsiTheme="minorEastAsia" w:cstheme="minorEastAsia"/>
          <w:sz w:val="32"/>
          <w:szCs w:val="32"/>
        </w:rPr>
      </w:pPr>
      <w:r>
        <w:rPr>
          <w:rFonts w:hint="eastAsia" w:asciiTheme="minorEastAsia" w:hAnsiTheme="minorEastAsia" w:cstheme="minorEastAsia"/>
          <w:sz w:val="32"/>
          <w:szCs w:val="32"/>
        </w:rPr>
        <w:t xml:space="preserve">                      </w:t>
      </w:r>
    </w:p>
    <w:p>
      <w:pPr>
        <w:ind w:firstLine="640" w:firstLineChars="200"/>
        <w:rPr>
          <w:rFonts w:ascii="仿宋_GB2312" w:hAnsi="仿宋_GB2312" w:eastAsia="仿宋_GB2312" w:cs="仿宋_GB2312"/>
          <w:sz w:val="32"/>
          <w:szCs w:val="32"/>
        </w:rPr>
      </w:pPr>
    </w:p>
    <w:p>
      <w:pPr>
        <w:ind w:left="4540" w:leftChars="867" w:hanging="2720" w:hangingChars="850"/>
        <w:jc w:val="left"/>
        <w:rPr>
          <w:rFonts w:ascii="仿宋_GB2312" w:hAnsi="仿宋_GB2312" w:eastAsia="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tbl>
      <w:tblPr>
        <w:tblStyle w:val="8"/>
        <w:tblW w:w="10095" w:type="dxa"/>
        <w:tblInd w:w="0" w:type="dxa"/>
        <w:tblLayout w:type="autofit"/>
        <w:tblCellMar>
          <w:top w:w="0" w:type="dxa"/>
          <w:left w:w="0" w:type="dxa"/>
          <w:bottom w:w="0" w:type="dxa"/>
          <w:right w:w="0" w:type="dxa"/>
        </w:tblCellMar>
      </w:tblPr>
      <w:tblGrid>
        <w:gridCol w:w="825"/>
        <w:gridCol w:w="1350"/>
        <w:gridCol w:w="1950"/>
        <w:gridCol w:w="1800"/>
        <w:gridCol w:w="1620"/>
        <w:gridCol w:w="1185"/>
        <w:gridCol w:w="1365"/>
      </w:tblGrid>
      <w:tr>
        <w:tblPrEx>
          <w:tblCellMar>
            <w:top w:w="0" w:type="dxa"/>
            <w:left w:w="0" w:type="dxa"/>
            <w:bottom w:w="0" w:type="dxa"/>
            <w:right w:w="0" w:type="dxa"/>
          </w:tblCellMar>
        </w:tblPrEx>
        <w:trPr>
          <w:trHeight w:val="1380" w:hRule="atLeast"/>
        </w:trPr>
        <w:tc>
          <w:tcPr>
            <w:tcW w:w="10095" w:type="dxa"/>
            <w:gridSpan w:val="7"/>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黑体" w:hAnsi="宋体" w:eastAsia="黑体" w:cs="黑体"/>
                <w:b/>
                <w:color w:val="000000"/>
                <w:sz w:val="44"/>
                <w:szCs w:val="44"/>
              </w:rPr>
            </w:pPr>
            <w:r>
              <w:rPr>
                <w:rFonts w:hint="eastAsia" w:ascii="黑体" w:hAnsi="宋体" w:eastAsia="黑体" w:cs="黑体"/>
                <w:b/>
                <w:color w:val="000000"/>
                <w:kern w:val="0"/>
                <w:sz w:val="44"/>
                <w:szCs w:val="44"/>
                <w:lang w:bidi="ar"/>
              </w:rPr>
              <w:t>部门整体支出绩效目标申报表</w:t>
            </w:r>
            <w:r>
              <w:rPr>
                <w:rStyle w:val="15"/>
                <w:rFonts w:hint="default"/>
                <w:lang w:bidi="ar"/>
              </w:rPr>
              <w:br w:type="textWrapping"/>
            </w:r>
            <w:r>
              <w:rPr>
                <w:rStyle w:val="16"/>
                <w:rFonts w:ascii="宋体" w:hAnsi="宋体" w:eastAsia="宋体" w:cs="宋体"/>
                <w:sz w:val="24"/>
                <w:szCs w:val="24"/>
                <w:lang w:bidi="ar"/>
              </w:rPr>
              <w:t>（2019年度）</w:t>
            </w:r>
          </w:p>
        </w:tc>
      </w:tr>
      <w:tr>
        <w:tblPrEx>
          <w:tblCellMar>
            <w:top w:w="0" w:type="dxa"/>
            <w:left w:w="0" w:type="dxa"/>
            <w:bottom w:w="0" w:type="dxa"/>
            <w:right w:w="0" w:type="dxa"/>
          </w:tblCellMar>
        </w:tblPrEx>
        <w:trPr>
          <w:trHeight w:val="495" w:hRule="atLeast"/>
        </w:trPr>
        <w:tc>
          <w:tcPr>
            <w:tcW w:w="10095" w:type="dxa"/>
            <w:gridSpan w:val="7"/>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填报单位（盖章）</w:t>
            </w:r>
          </w:p>
        </w:tc>
      </w:tr>
      <w:tr>
        <w:tblPrEx>
          <w:tblCellMar>
            <w:top w:w="0" w:type="dxa"/>
            <w:left w:w="0" w:type="dxa"/>
            <w:bottom w:w="0" w:type="dxa"/>
            <w:right w:w="0" w:type="dxa"/>
          </w:tblCellMar>
        </w:tblPrEx>
        <w:trPr>
          <w:trHeight w:val="585" w:hRule="atLeast"/>
        </w:trPr>
        <w:tc>
          <w:tcPr>
            <w:tcW w:w="82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部门基本信息</w:t>
            </w:r>
          </w:p>
        </w:tc>
        <w:tc>
          <w:tcPr>
            <w:tcW w:w="135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单位名称</w:t>
            </w:r>
          </w:p>
        </w:tc>
        <w:tc>
          <w:tcPr>
            <w:tcW w:w="7920" w:type="dxa"/>
            <w:gridSpan w:val="5"/>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湘乡市水利局</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通讯地址</w:t>
            </w:r>
          </w:p>
        </w:tc>
        <w:tc>
          <w:tcPr>
            <w:tcW w:w="792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湘乡市东风广场16号</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单位预算绩效管理联系人</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肖英</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联系电话</w:t>
            </w:r>
          </w:p>
        </w:tc>
        <w:tc>
          <w:tcPr>
            <w:tcW w:w="25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56770533</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人员编制数</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50</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实有人数</w:t>
            </w:r>
          </w:p>
        </w:tc>
        <w:tc>
          <w:tcPr>
            <w:tcW w:w="25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52</w:t>
            </w:r>
          </w:p>
        </w:tc>
      </w:tr>
      <w:tr>
        <w:tblPrEx>
          <w:tblCellMar>
            <w:top w:w="0" w:type="dxa"/>
            <w:left w:w="0" w:type="dxa"/>
            <w:bottom w:w="0" w:type="dxa"/>
            <w:right w:w="0" w:type="dxa"/>
          </w:tblCellMar>
        </w:tblPrEx>
        <w:trPr>
          <w:trHeight w:val="220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单位职能</w:t>
            </w:r>
          </w:p>
        </w:tc>
        <w:tc>
          <w:tcPr>
            <w:tcW w:w="792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（一）宣传贯彻《中华人民共和国水法》、《中华人民共和国防洪法》、《中华人民共和国水土保持法》及其它法律、法规。</w:t>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t>（二）负责全市水行政执法工作。依照有关法律、法规查处市区范围内有关河道方案的水事违法案件和全市重大水事违法案件，协调处理水事纠纷，依法保护水资源、水工程、水环境、水文和防汛设计及其他有关设施，维护正常的水事秩序，依法管理水资源，促进水资源的合理开发、利用、节约和保护。</w:t>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t>（三）依法对全市水事活动进行监督检查，对违反水法规的行为进行调查取证，提出处理意见，执行和落实市水利（水务）行政部门的处理决定。配合公安、司法机关查处相关水事治安、刑事案件。</w:t>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t>（四）按照上级防汛指挥部的指令，组织实施清除人为设置的行洪障碍，组织打击长江非法采砂。</w:t>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t>（五）负责全市水政监察队伍业务指导和监督检查，制定年度工作计划和队伍建设规划并组织实施。</w:t>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t>（六）负责全市水政监察人员的业务培训和年审工作，对水政监察队伍和水政监察员进行考核和奖惩。</w:t>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t>（七）依法对各有关单位的水事行政性规费征收情况进行监督检查。</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7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单位年度收入预算（万元）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收入合计</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公共财政拨款</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政府性基金拨款</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非税收入拨款</w:t>
            </w:r>
          </w:p>
        </w:tc>
        <w:tc>
          <w:tcPr>
            <w:tcW w:w="25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其他拨款</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1087.76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1087.76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5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7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单位年度支出预算（万元）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支出合计</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基本支出</w:t>
            </w:r>
          </w:p>
        </w:tc>
        <w:tc>
          <w:tcPr>
            <w:tcW w:w="417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项目支出</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1087.76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490.01</w:t>
            </w:r>
          </w:p>
        </w:tc>
        <w:tc>
          <w:tcPr>
            <w:tcW w:w="417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597.75</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其中</w:t>
            </w:r>
          </w:p>
        </w:tc>
        <w:tc>
          <w:tcPr>
            <w:tcW w:w="792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三公经费预算（万元）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合计</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公务用车运行和购置费</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因公出国（境）费</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公务接待费</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56</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26</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30</w:t>
            </w:r>
          </w:p>
        </w:tc>
      </w:tr>
      <w:tr>
        <w:tblPrEx>
          <w:tblCellMar>
            <w:top w:w="0" w:type="dxa"/>
            <w:left w:w="0" w:type="dxa"/>
            <w:bottom w:w="0" w:type="dxa"/>
            <w:right w:w="0" w:type="dxa"/>
          </w:tblCellMar>
        </w:tblPrEx>
        <w:trPr>
          <w:trHeight w:val="600" w:hRule="atLeast"/>
        </w:trPr>
        <w:tc>
          <w:tcPr>
            <w:tcW w:w="825"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目标</w:t>
            </w:r>
          </w:p>
        </w:tc>
        <w:tc>
          <w:tcPr>
            <w:tcW w:w="927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1、新修防渗渠道60公里、加固堤防16公里、建设村镇供水工程11处</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2、完成对小型水库枢纽及灌区渠系的维修养护工作</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3、五座中型水库（合东、桃林、红日、长江、赤石）大坝、溢洪道、输水隧洞的年度维修</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w:t>
            </w:r>
          </w:p>
        </w:tc>
      </w:tr>
      <w:tr>
        <w:tblPrEx>
          <w:tblCellMar>
            <w:top w:w="0" w:type="dxa"/>
            <w:left w:w="0" w:type="dxa"/>
            <w:bottom w:w="0" w:type="dxa"/>
            <w:right w:w="0" w:type="dxa"/>
          </w:tblCellMar>
        </w:tblPrEx>
        <w:trPr>
          <w:trHeight w:val="46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7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9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7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7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34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7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度</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指</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标</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一级指标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二级指标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指标内容</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指标值</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备注</w:t>
            </w: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产出指标</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数量指标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新增除涝面积</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2万亩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新增年供水能力</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500万方</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改善灌溉面积</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1.5万亩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增加灌溉面积</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1万亩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新增旱涝保收</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1万亩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治理水土流失面积</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10.8平方公里</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质量指标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确保农业用水灌溉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确保农村饮水安全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确保水利工程度汛安全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时效指标</w:t>
            </w: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lang w:bidi="ar"/>
              </w:rPr>
              <w:t>一年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成本指标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效益指标</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经济效益指标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灌溉保证率</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水利设施完成率</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社会效益指标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生态效益指标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改善土壤、保护耕地、节约资源、保护环境、徐进生态发展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可持续影响指标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促进水利设施的综合利用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7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社会公众或服务对象满意度指标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满意</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1605" w:hRule="atLeast"/>
        </w:trPr>
        <w:tc>
          <w:tcPr>
            <w:tcW w:w="2175"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归口股室</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92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605" w:hRule="atLeast"/>
        </w:trPr>
        <w:tc>
          <w:tcPr>
            <w:tcW w:w="2175"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绩效管理股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92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605" w:hRule="atLeast"/>
        </w:trPr>
        <w:tc>
          <w:tcPr>
            <w:tcW w:w="2175" w:type="dxa"/>
            <w:gridSpan w:val="2"/>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预算股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920" w:type="dxa"/>
            <w:gridSpan w:val="5"/>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bl>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tbl>
      <w:tblPr>
        <w:tblStyle w:val="8"/>
        <w:tblW w:w="10035" w:type="dxa"/>
        <w:tblInd w:w="0" w:type="dxa"/>
        <w:tblLayout w:type="autofit"/>
        <w:tblCellMar>
          <w:top w:w="0" w:type="dxa"/>
          <w:left w:w="0" w:type="dxa"/>
          <w:bottom w:w="0" w:type="dxa"/>
          <w:right w:w="0" w:type="dxa"/>
        </w:tblCellMar>
      </w:tblPr>
      <w:tblGrid>
        <w:gridCol w:w="825"/>
        <w:gridCol w:w="1350"/>
        <w:gridCol w:w="1950"/>
        <w:gridCol w:w="1800"/>
        <w:gridCol w:w="1620"/>
        <w:gridCol w:w="1125"/>
        <w:gridCol w:w="1365"/>
      </w:tblGrid>
      <w:tr>
        <w:tblPrEx>
          <w:tblCellMar>
            <w:top w:w="0" w:type="dxa"/>
            <w:left w:w="0" w:type="dxa"/>
            <w:bottom w:w="0" w:type="dxa"/>
            <w:right w:w="0" w:type="dxa"/>
          </w:tblCellMar>
        </w:tblPrEx>
        <w:trPr>
          <w:trHeight w:val="1380" w:hRule="atLeast"/>
        </w:trPr>
        <w:tc>
          <w:tcPr>
            <w:tcW w:w="10035" w:type="dxa"/>
            <w:gridSpan w:val="7"/>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黑体" w:hAnsi="宋体" w:eastAsia="黑体" w:cs="黑体"/>
                <w:b/>
                <w:color w:val="000000"/>
                <w:sz w:val="44"/>
                <w:szCs w:val="44"/>
              </w:rPr>
            </w:pPr>
            <w:r>
              <w:rPr>
                <w:rFonts w:hint="eastAsia" w:ascii="黑体" w:hAnsi="宋体" w:eastAsia="黑体" w:cs="黑体"/>
                <w:b/>
                <w:color w:val="000000"/>
                <w:kern w:val="0"/>
                <w:sz w:val="44"/>
                <w:szCs w:val="44"/>
                <w:lang w:bidi="ar"/>
              </w:rPr>
              <w:t>部门整体支出绩效目标申报表</w:t>
            </w:r>
            <w:r>
              <w:rPr>
                <w:rFonts w:hint="eastAsia" w:ascii="宋体" w:hAnsi="宋体" w:eastAsia="宋体" w:cs="宋体"/>
                <w:b/>
                <w:color w:val="000000"/>
                <w:kern w:val="0"/>
                <w:sz w:val="44"/>
                <w:szCs w:val="44"/>
                <w:lang w:bidi="ar"/>
              </w:rPr>
              <w:br w:type="textWrapping"/>
            </w:r>
            <w:r>
              <w:rPr>
                <w:rStyle w:val="25"/>
                <w:rFonts w:hAnsi="宋体"/>
                <w:lang w:bidi="ar"/>
              </w:rPr>
              <w:t>（2019年度）</w:t>
            </w:r>
          </w:p>
        </w:tc>
      </w:tr>
      <w:tr>
        <w:tblPrEx>
          <w:tblCellMar>
            <w:top w:w="0" w:type="dxa"/>
            <w:left w:w="0" w:type="dxa"/>
            <w:bottom w:w="0" w:type="dxa"/>
            <w:right w:w="0" w:type="dxa"/>
          </w:tblCellMar>
        </w:tblPrEx>
        <w:trPr>
          <w:trHeight w:val="495" w:hRule="atLeast"/>
        </w:trPr>
        <w:tc>
          <w:tcPr>
            <w:tcW w:w="10035" w:type="dxa"/>
            <w:gridSpan w:val="7"/>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填报单位（盖章）湘乡市移民开发局</w:t>
            </w:r>
          </w:p>
        </w:tc>
      </w:tr>
      <w:tr>
        <w:tblPrEx>
          <w:tblCellMar>
            <w:top w:w="0" w:type="dxa"/>
            <w:left w:w="0" w:type="dxa"/>
            <w:bottom w:w="0" w:type="dxa"/>
            <w:right w:w="0" w:type="dxa"/>
          </w:tblCellMar>
        </w:tblPrEx>
        <w:trPr>
          <w:trHeight w:val="585" w:hRule="atLeast"/>
        </w:trPr>
        <w:tc>
          <w:tcPr>
            <w:tcW w:w="82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部门基本信息</w:t>
            </w:r>
          </w:p>
        </w:tc>
        <w:tc>
          <w:tcPr>
            <w:tcW w:w="135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单位名称</w:t>
            </w:r>
          </w:p>
        </w:tc>
        <w:tc>
          <w:tcPr>
            <w:tcW w:w="7860" w:type="dxa"/>
            <w:gridSpan w:val="5"/>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湘乡市移民开发局（含乡镇移民站）</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通讯地址</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湘乡市昆仑桥办事处直四牌楼8号</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单位预算绩效管理联系人</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肖华军</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联系电话</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56820768</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人员编制数</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73</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实有人数</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73</w:t>
            </w:r>
          </w:p>
        </w:tc>
      </w:tr>
      <w:tr>
        <w:tblPrEx>
          <w:tblCellMar>
            <w:top w:w="0" w:type="dxa"/>
            <w:left w:w="0" w:type="dxa"/>
            <w:bottom w:w="0" w:type="dxa"/>
            <w:right w:w="0" w:type="dxa"/>
          </w:tblCellMar>
        </w:tblPrEx>
        <w:trPr>
          <w:trHeight w:val="220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单位职能</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spacing w:after="200"/>
              <w:jc w:val="left"/>
              <w:textAlignment w:val="bottom"/>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一）贯彻执行国家、省水库移民工作方针、政策，拟定全市水库移民开发工作规划，经批准后组织实施。（二）参与制定库区和移民安置区经济和社会发展规划，按权限负责后期扶持规划、年度计划的审核工作，组织实施年度后期扶持计划，按规定做好移民工程项目监督管理工作 （三）按规定管理移民资金和资产；会同有关部门对全市移民资金使用情况进行监督检查；负责水库移民相关统计工作。（四）探索开发性移民的新机制，总结推广典型经验，抓好开发性移民工作。（五）组织指导全市库区和移民安置区改善生产生活条件、产业开发和智力移民。  （六）负责全市水库移民信访接待工作，指导、协调乡镇办做好库区、移民安置区的社会稳定工作。（七）承办市委、市人民政府交办的其他事项。</w:t>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br w:type="textWrapping"/>
            </w:r>
            <w:r>
              <w:rPr>
                <w:rFonts w:hint="eastAsia" w:ascii="仿宋_GB2312" w:hAnsi="宋体" w:eastAsia="仿宋_GB2312" w:cs="仿宋_GB2312"/>
                <w:color w:val="000000"/>
                <w:kern w:val="0"/>
                <w:sz w:val="20"/>
                <w:szCs w:val="20"/>
                <w:lang w:bidi="ar"/>
              </w:rPr>
              <w:br w:type="textWrapping"/>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单位年度收入预算（万元）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收入合计</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公共财政拨款</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政府性基金拨款</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非税收入拨款</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其他拨款</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单位年度支出预算（万元）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支出合计</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基本支出</w:t>
            </w:r>
          </w:p>
        </w:tc>
        <w:tc>
          <w:tcPr>
            <w:tcW w:w="411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项目支出</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829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666</w:t>
            </w:r>
          </w:p>
        </w:tc>
        <w:tc>
          <w:tcPr>
            <w:tcW w:w="411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163</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其中</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三公经费预算（万元）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合计</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公务用车运行和购置费</w:t>
            </w:r>
          </w:p>
        </w:tc>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因公出国（境）费</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公务接待费</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24</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24</w:t>
            </w:r>
          </w:p>
        </w:tc>
      </w:tr>
      <w:tr>
        <w:tblPrEx>
          <w:tblCellMar>
            <w:top w:w="0" w:type="dxa"/>
            <w:left w:w="0" w:type="dxa"/>
            <w:bottom w:w="0" w:type="dxa"/>
            <w:right w:w="0" w:type="dxa"/>
          </w:tblCellMar>
        </w:tblPrEx>
        <w:trPr>
          <w:trHeight w:val="600" w:hRule="atLeast"/>
        </w:trPr>
        <w:tc>
          <w:tcPr>
            <w:tcW w:w="825"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目标</w:t>
            </w:r>
          </w:p>
        </w:tc>
        <w:tc>
          <w:tcPr>
            <w:tcW w:w="921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 xml:space="preserve"> 1.完成实用技术培训800人、转移就业技能培训200人、移民获取中等职业全日制教育在校学生补助及自主考证移民补助116人。2.认真落实省局重点产业发展实施方案，开发、改造油茶1000亩、茶叶2000亩、水果1000亩、药材1000亩；改造鱼苗孵化基地300亩，扶持家庭农场2处、移民示范合作社10个。 3.认真贯彻水库移民政策法规，加强水库移民政策法规宣传。4.完成非农移民困难补助发放。 5.积极推行政务公开，移民项目计划及时在本级移民网或当地政府网上公布；积极推行移民资金项目政务公开“阳光行动”。6.加强移民后扶人口动态管理，做好农村移民自然减员核减工作。7.做好移民后扶直补发放工作，按季及时足额发放到移民个人。8.完成移民后扶工程项目300处，其中为民办实事项目（湘乡市本级）-移民后扶工程200处。</w:t>
            </w:r>
          </w:p>
        </w:tc>
      </w:tr>
      <w:tr>
        <w:tblPrEx>
          <w:tblCellMar>
            <w:top w:w="0" w:type="dxa"/>
            <w:left w:w="0" w:type="dxa"/>
            <w:bottom w:w="0" w:type="dxa"/>
            <w:right w:w="0" w:type="dxa"/>
          </w:tblCellMar>
        </w:tblPrEx>
        <w:trPr>
          <w:trHeight w:val="46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2"/>
              </w:rPr>
            </w:pPr>
          </w:p>
        </w:tc>
      </w:tr>
      <w:tr>
        <w:tblPrEx>
          <w:tblCellMar>
            <w:top w:w="0" w:type="dxa"/>
            <w:left w:w="0" w:type="dxa"/>
            <w:bottom w:w="0" w:type="dxa"/>
            <w:right w:w="0" w:type="dxa"/>
          </w:tblCellMar>
        </w:tblPrEx>
        <w:trPr>
          <w:trHeight w:val="49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2"/>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2"/>
              </w:rPr>
            </w:pPr>
          </w:p>
        </w:tc>
      </w:tr>
      <w:tr>
        <w:tblPrEx>
          <w:tblCellMar>
            <w:top w:w="0" w:type="dxa"/>
            <w:left w:w="0" w:type="dxa"/>
            <w:bottom w:w="0" w:type="dxa"/>
            <w:right w:w="0" w:type="dxa"/>
          </w:tblCellMar>
        </w:tblPrEx>
        <w:trPr>
          <w:trHeight w:val="34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2"/>
              </w:rPr>
            </w:pPr>
          </w:p>
        </w:tc>
      </w:tr>
      <w:tr>
        <w:tblPrEx>
          <w:tblCellMar>
            <w:top w:w="0" w:type="dxa"/>
            <w:left w:w="0" w:type="dxa"/>
            <w:bottom w:w="0" w:type="dxa"/>
            <w:right w:w="0" w:type="dxa"/>
          </w:tblCellMar>
        </w:tblPrEx>
        <w:trPr>
          <w:trHeight w:val="510" w:hRule="atLeast"/>
        </w:trPr>
        <w:tc>
          <w:tcPr>
            <w:tcW w:w="825"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度</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指</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标</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一级指标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二级指标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指标内容</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指标值</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备注</w:t>
            </w: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产出指标</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数量指标</w:t>
            </w:r>
          </w:p>
        </w:tc>
        <w:tc>
          <w:tcPr>
            <w:tcW w:w="3420"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1.实用技术培训</w:t>
            </w:r>
          </w:p>
        </w:tc>
        <w:tc>
          <w:tcPr>
            <w:tcW w:w="112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800人</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2.转移就业技能培训</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200人</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3、移民获取中等职业全日制教育在校学生补助及自主考证移民补助</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116人</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4.开发、改造油茶</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1000亩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5.开发、改造茶叶</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2000亩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6.开发、改造水果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1000亩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7.开发药材</w:t>
            </w:r>
          </w:p>
        </w:tc>
        <w:tc>
          <w:tcPr>
            <w:tcW w:w="0" w:type="auto"/>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1000亩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8.改造鱼苗孵化基地</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300亩</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9.家庭农场</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2处</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10.移民示范合作社</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10个</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11.发放移民直补资金</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2800万</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12.移民后扶工程项目</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300处</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质量指标</w:t>
            </w:r>
          </w:p>
        </w:tc>
        <w:tc>
          <w:tcPr>
            <w:tcW w:w="3420"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1.实用技术培训</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2.转移就业技能培训</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95%</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3、移民获取中等职业全日制教育在校学生补助及自主考证移民补助</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4.开发、改造油茶</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5.开发、改造茶叶</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6.开发、改造水果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7.开发药材</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8.改造鱼苗孵化基地</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9.家庭农场</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10.移民示范合作社</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11.农村移民自然减员核减</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12.非农移民困难补助发放</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13.移民后扶直补发放</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14.移民后扶工程</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时效指标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人均培训课时</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20课时</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2019年1-12月</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项目建设</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16"/>
                <w:szCs w:val="16"/>
              </w:rPr>
            </w:pPr>
            <w:r>
              <w:rPr>
                <w:rFonts w:hint="eastAsia" w:ascii="仿宋_GB2312" w:hAnsi="宋体" w:eastAsia="仿宋_GB2312" w:cs="仿宋_GB2312"/>
                <w:color w:val="000000"/>
                <w:kern w:val="0"/>
                <w:sz w:val="16"/>
                <w:szCs w:val="16"/>
                <w:lang w:bidi="ar"/>
              </w:rPr>
              <w:t>包括生产开发、基础设施项目</w:t>
            </w: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2019年6-12月</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12"/>
                <w:szCs w:val="12"/>
              </w:rPr>
            </w:pPr>
            <w:r>
              <w:rPr>
                <w:rFonts w:hint="eastAsia" w:ascii="仿宋_GB2312" w:hAnsi="宋体" w:eastAsia="仿宋_GB2312" w:cs="仿宋_GB2312"/>
                <w:color w:val="000000"/>
                <w:kern w:val="0"/>
                <w:sz w:val="12"/>
                <w:szCs w:val="12"/>
                <w:lang w:bidi="ar"/>
              </w:rPr>
              <w:t>非农移民医保、困难补助等缴费和发放</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16"/>
                <w:szCs w:val="16"/>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2019年6-9月</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16"/>
                <w:szCs w:val="16"/>
              </w:rPr>
            </w:pPr>
            <w:r>
              <w:rPr>
                <w:rFonts w:hint="eastAsia" w:ascii="仿宋_GB2312" w:hAnsi="宋体" w:eastAsia="仿宋_GB2312" w:cs="仿宋_GB2312"/>
                <w:color w:val="000000"/>
                <w:kern w:val="0"/>
                <w:sz w:val="16"/>
                <w:szCs w:val="16"/>
                <w:lang w:bidi="ar"/>
              </w:rPr>
              <w:t>农村移民自然减员核减</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2019年1-12月</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16"/>
                <w:szCs w:val="16"/>
              </w:rPr>
            </w:pPr>
            <w:r>
              <w:rPr>
                <w:rFonts w:hint="eastAsia" w:ascii="仿宋_GB2312" w:hAnsi="宋体" w:eastAsia="仿宋_GB2312" w:cs="仿宋_GB2312"/>
                <w:color w:val="000000"/>
                <w:kern w:val="0"/>
                <w:sz w:val="16"/>
                <w:szCs w:val="16"/>
                <w:lang w:bidi="ar"/>
              </w:rPr>
              <w:t>移民后扶直补发放工作</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1.移民系统人员基本支出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668万</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2.实施2019年移民后扶项目专项工作经费</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140万</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3.非农移民困难补助40万，城区三办60岁以上城镇移民生活补助3万</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43万</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效益指标</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经济效益指标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移民人均可增收180-220元</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社会效益指标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促进移民增产增收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改善移民村基础设施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扶持移民示范合作社、做大做强移民产业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改善移民生产生活环境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杜绝非农移民越级上访，确保移民群体的稳定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生态效益指标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改善移民生产生活条件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好</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推动移民经济作物的改良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好</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可持续影响指标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资金均到位，有效使用中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有效</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8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2"/>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0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社会公众或服务对象满意度指标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社会公众和企业单位满意度</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95%</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1620" w:hRule="atLeast"/>
        </w:trPr>
        <w:tc>
          <w:tcPr>
            <w:tcW w:w="2175"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归口股室</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620" w:hRule="atLeast"/>
        </w:trPr>
        <w:tc>
          <w:tcPr>
            <w:tcW w:w="2175"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绩效管理股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860" w:type="dxa"/>
            <w:gridSpan w:val="5"/>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620" w:hRule="atLeast"/>
        </w:trPr>
        <w:tc>
          <w:tcPr>
            <w:tcW w:w="2175" w:type="dxa"/>
            <w:gridSpan w:val="2"/>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预算股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860" w:type="dxa"/>
            <w:gridSpan w:val="5"/>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bl>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tbl>
      <w:tblPr>
        <w:tblStyle w:val="8"/>
        <w:tblW w:w="10035" w:type="dxa"/>
        <w:tblInd w:w="0" w:type="dxa"/>
        <w:tblLayout w:type="autofit"/>
        <w:tblCellMar>
          <w:top w:w="0" w:type="dxa"/>
          <w:left w:w="0" w:type="dxa"/>
          <w:bottom w:w="0" w:type="dxa"/>
          <w:right w:w="0" w:type="dxa"/>
        </w:tblCellMar>
      </w:tblPr>
      <w:tblGrid>
        <w:gridCol w:w="778"/>
        <w:gridCol w:w="1278"/>
        <w:gridCol w:w="1827"/>
        <w:gridCol w:w="1667"/>
        <w:gridCol w:w="1504"/>
        <w:gridCol w:w="1710"/>
        <w:gridCol w:w="1271"/>
      </w:tblGrid>
      <w:tr>
        <w:tblPrEx>
          <w:tblCellMar>
            <w:top w:w="0" w:type="dxa"/>
            <w:left w:w="0" w:type="dxa"/>
            <w:bottom w:w="0" w:type="dxa"/>
            <w:right w:w="0" w:type="dxa"/>
          </w:tblCellMar>
        </w:tblPrEx>
        <w:trPr>
          <w:trHeight w:val="1380" w:hRule="atLeast"/>
        </w:trPr>
        <w:tc>
          <w:tcPr>
            <w:tcW w:w="10035" w:type="dxa"/>
            <w:gridSpan w:val="7"/>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黑体" w:hAnsi="宋体" w:eastAsia="黑体" w:cs="黑体"/>
                <w:b/>
                <w:color w:val="000000"/>
                <w:sz w:val="44"/>
                <w:szCs w:val="44"/>
              </w:rPr>
            </w:pPr>
            <w:r>
              <w:rPr>
                <w:rFonts w:hint="eastAsia" w:ascii="黑体" w:hAnsi="宋体" w:eastAsia="黑体" w:cs="黑体"/>
                <w:b/>
                <w:color w:val="000000"/>
                <w:kern w:val="0"/>
                <w:sz w:val="44"/>
                <w:szCs w:val="44"/>
                <w:lang w:bidi="ar"/>
              </w:rPr>
              <w:t>部门整体支出绩效目标申报表</w:t>
            </w:r>
            <w:r>
              <w:rPr>
                <w:rFonts w:hint="eastAsia" w:ascii="宋体" w:hAnsi="宋体" w:eastAsia="宋体" w:cs="宋体"/>
                <w:b/>
                <w:color w:val="000000"/>
                <w:kern w:val="0"/>
                <w:sz w:val="44"/>
                <w:szCs w:val="44"/>
                <w:lang w:bidi="ar"/>
              </w:rPr>
              <w:br w:type="textWrapping"/>
            </w:r>
            <w:r>
              <w:rPr>
                <w:rFonts w:ascii="宋体" w:hAnsi="宋体" w:eastAsia="宋体" w:cs="宋体"/>
                <w:b/>
                <w:color w:val="000000"/>
                <w:kern w:val="0"/>
                <w:sz w:val="24"/>
                <w:szCs w:val="24"/>
                <w:lang w:bidi="ar"/>
              </w:rPr>
              <w:t>（2019年度）</w:t>
            </w:r>
          </w:p>
        </w:tc>
      </w:tr>
      <w:tr>
        <w:tblPrEx>
          <w:tblCellMar>
            <w:top w:w="0" w:type="dxa"/>
            <w:left w:w="0" w:type="dxa"/>
            <w:bottom w:w="0" w:type="dxa"/>
            <w:right w:w="0" w:type="dxa"/>
          </w:tblCellMar>
        </w:tblPrEx>
        <w:trPr>
          <w:trHeight w:val="495" w:hRule="atLeast"/>
        </w:trPr>
        <w:tc>
          <w:tcPr>
            <w:tcW w:w="10035" w:type="dxa"/>
            <w:gridSpan w:val="7"/>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填报单位（盖章）湘乡市水资源管理办公室</w:t>
            </w:r>
          </w:p>
        </w:tc>
      </w:tr>
      <w:tr>
        <w:tblPrEx>
          <w:tblCellMar>
            <w:top w:w="0" w:type="dxa"/>
            <w:left w:w="0" w:type="dxa"/>
            <w:bottom w:w="0" w:type="dxa"/>
            <w:right w:w="0" w:type="dxa"/>
          </w:tblCellMar>
        </w:tblPrEx>
        <w:trPr>
          <w:trHeight w:val="585" w:hRule="atLeast"/>
        </w:trPr>
        <w:tc>
          <w:tcPr>
            <w:tcW w:w="82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部门基本信息</w:t>
            </w:r>
          </w:p>
        </w:tc>
        <w:tc>
          <w:tcPr>
            <w:tcW w:w="135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单位名称</w:t>
            </w:r>
          </w:p>
        </w:tc>
        <w:tc>
          <w:tcPr>
            <w:tcW w:w="7860" w:type="dxa"/>
            <w:gridSpan w:val="5"/>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湘乡市水资源管理办公室</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通讯地址</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湘乡市东风广场16号</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单位预算绩效管理联系人</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肖英</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联系电话</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56770533</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人员编制数</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实有人数</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r>
      <w:tr>
        <w:tblPrEx>
          <w:tblCellMar>
            <w:top w:w="0" w:type="dxa"/>
            <w:left w:w="0" w:type="dxa"/>
            <w:bottom w:w="0" w:type="dxa"/>
            <w:right w:w="0" w:type="dxa"/>
          </w:tblCellMar>
        </w:tblPrEx>
        <w:trPr>
          <w:trHeight w:val="220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单位职能</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宣传水资源的法律、法规；制订全市水资源的开发利用和规划；负责取水许可制度和水资源有偿使用制度的实施和监督；负责入河排污口设置审查工作等</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单位年度收入预算（万元）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收入合计</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公共财政拨款</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政府性基金拨款</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非税收入拨款</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其他拨款</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单位年度支出预算（万元）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支出合计</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基本支出</w:t>
            </w:r>
          </w:p>
        </w:tc>
        <w:tc>
          <w:tcPr>
            <w:tcW w:w="411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项目支出</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46.2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46.2</w:t>
            </w:r>
          </w:p>
        </w:tc>
        <w:tc>
          <w:tcPr>
            <w:tcW w:w="411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其中</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三公经费预算（万元）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合计</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公务用车运行和购置费</w:t>
            </w:r>
          </w:p>
        </w:tc>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因公出国（境）费</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公务接待费</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3</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3</w:t>
            </w:r>
          </w:p>
        </w:tc>
      </w:tr>
      <w:tr>
        <w:tblPrEx>
          <w:tblCellMar>
            <w:top w:w="0" w:type="dxa"/>
            <w:left w:w="0" w:type="dxa"/>
            <w:bottom w:w="0" w:type="dxa"/>
            <w:right w:w="0" w:type="dxa"/>
          </w:tblCellMar>
        </w:tblPrEx>
        <w:trPr>
          <w:trHeight w:val="500" w:hRule="atLeast"/>
        </w:trPr>
        <w:tc>
          <w:tcPr>
            <w:tcW w:w="825"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目标</w:t>
            </w:r>
          </w:p>
        </w:tc>
        <w:tc>
          <w:tcPr>
            <w:tcW w:w="921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0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0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0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0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921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度</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指</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标</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一级指标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二级指标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指标内容</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指标值</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备注</w:t>
            </w: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产出指标</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数量指标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完成水资源费征收</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60万</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72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完成最严格水资源管理制度绩效考核</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达标</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水功能区水质化验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4次</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6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质量指标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水资源费</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足额征收</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6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最严格水资源管理制度绩效考核</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湘潭地区达标</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6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水功能区水质</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优于Ⅲ类</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时效指标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年限</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一年</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72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期限</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2019.1-2019.12</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成本指标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效益指标</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经济效益指标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社会效益指标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生态效益指标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可持续影响指标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促进我市水生态环境良好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40"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2"/>
              </w:rPr>
            </w:pP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4"/>
                <w:szCs w:val="24"/>
              </w:rPr>
            </w:pP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675" w:hRule="atLeast"/>
        </w:trPr>
        <w:tc>
          <w:tcPr>
            <w:tcW w:w="825"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社会公众或服务对象满意度指标</w:t>
            </w:r>
          </w:p>
        </w:tc>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满意</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100%</w:t>
            </w:r>
          </w:p>
        </w:tc>
        <w:tc>
          <w:tcPr>
            <w:tcW w:w="136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1580" w:hRule="atLeast"/>
        </w:trPr>
        <w:tc>
          <w:tcPr>
            <w:tcW w:w="2175"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归口股室</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580" w:hRule="atLeast"/>
        </w:trPr>
        <w:tc>
          <w:tcPr>
            <w:tcW w:w="2175"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绩效管理股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8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580" w:hRule="atLeast"/>
        </w:trPr>
        <w:tc>
          <w:tcPr>
            <w:tcW w:w="2175" w:type="dxa"/>
            <w:gridSpan w:val="2"/>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预算股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860" w:type="dxa"/>
            <w:gridSpan w:val="5"/>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bl>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tbl>
      <w:tblPr>
        <w:tblStyle w:val="8"/>
        <w:tblW w:w="9117" w:type="dxa"/>
        <w:tblInd w:w="0" w:type="dxa"/>
        <w:tblLayout w:type="autofit"/>
        <w:tblCellMar>
          <w:top w:w="0" w:type="dxa"/>
          <w:left w:w="0" w:type="dxa"/>
          <w:bottom w:w="0" w:type="dxa"/>
          <w:right w:w="0" w:type="dxa"/>
        </w:tblCellMar>
      </w:tblPr>
      <w:tblGrid>
        <w:gridCol w:w="762"/>
        <w:gridCol w:w="1246"/>
        <w:gridCol w:w="1580"/>
        <w:gridCol w:w="1663"/>
        <w:gridCol w:w="1469"/>
        <w:gridCol w:w="1441"/>
        <w:gridCol w:w="956"/>
      </w:tblGrid>
      <w:tr>
        <w:tblPrEx>
          <w:tblCellMar>
            <w:top w:w="0" w:type="dxa"/>
            <w:left w:w="0" w:type="dxa"/>
            <w:bottom w:w="0" w:type="dxa"/>
            <w:right w:w="0" w:type="dxa"/>
          </w:tblCellMar>
        </w:tblPrEx>
        <w:trPr>
          <w:trHeight w:val="90" w:hRule="atLeast"/>
        </w:trPr>
        <w:tc>
          <w:tcPr>
            <w:tcW w:w="9117" w:type="dxa"/>
            <w:gridSpan w:val="7"/>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黑体" w:hAnsi="宋体" w:eastAsia="黑体" w:cs="黑体"/>
                <w:b/>
                <w:color w:val="000000"/>
                <w:sz w:val="44"/>
                <w:szCs w:val="44"/>
              </w:rPr>
            </w:pPr>
            <w:r>
              <w:rPr>
                <w:rFonts w:hint="eastAsia" w:ascii="黑体" w:hAnsi="宋体" w:eastAsia="黑体" w:cs="黑体"/>
                <w:b/>
                <w:color w:val="000000"/>
                <w:kern w:val="0"/>
                <w:sz w:val="44"/>
                <w:szCs w:val="44"/>
                <w:lang w:bidi="ar"/>
              </w:rPr>
              <w:t>部门整体支出绩效目标申报表</w:t>
            </w:r>
            <w:r>
              <w:rPr>
                <w:rFonts w:hint="eastAsia" w:ascii="宋体" w:hAnsi="宋体" w:eastAsia="宋体" w:cs="宋体"/>
                <w:b/>
                <w:color w:val="000000"/>
                <w:kern w:val="0"/>
                <w:sz w:val="44"/>
                <w:szCs w:val="44"/>
                <w:lang w:bidi="ar"/>
              </w:rPr>
              <w:br w:type="textWrapping"/>
            </w:r>
            <w:r>
              <w:rPr>
                <w:rFonts w:ascii="楷体_GB2312" w:hAnsi="宋体" w:eastAsia="楷体_GB2312" w:cs="楷体_GB2312"/>
                <w:b/>
                <w:color w:val="000000"/>
                <w:kern w:val="0"/>
                <w:sz w:val="36"/>
                <w:szCs w:val="36"/>
                <w:lang w:bidi="ar"/>
              </w:rPr>
              <w:t>（2019年度）</w:t>
            </w:r>
          </w:p>
        </w:tc>
      </w:tr>
      <w:tr>
        <w:tblPrEx>
          <w:tblCellMar>
            <w:top w:w="0" w:type="dxa"/>
            <w:left w:w="0" w:type="dxa"/>
            <w:bottom w:w="0" w:type="dxa"/>
            <w:right w:w="0" w:type="dxa"/>
          </w:tblCellMar>
        </w:tblPrEx>
        <w:trPr>
          <w:trHeight w:val="90" w:hRule="atLeast"/>
        </w:trPr>
        <w:tc>
          <w:tcPr>
            <w:tcW w:w="9117" w:type="dxa"/>
            <w:gridSpan w:val="7"/>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填报单位（盖章）五座中型水库及东山水闸管理所</w:t>
            </w:r>
          </w:p>
        </w:tc>
      </w:tr>
      <w:tr>
        <w:tblPrEx>
          <w:tblCellMar>
            <w:top w:w="0" w:type="dxa"/>
            <w:left w:w="0" w:type="dxa"/>
            <w:bottom w:w="0" w:type="dxa"/>
            <w:right w:w="0" w:type="dxa"/>
          </w:tblCellMar>
        </w:tblPrEx>
        <w:trPr>
          <w:trHeight w:val="90" w:hRule="atLeast"/>
        </w:trPr>
        <w:tc>
          <w:tcPr>
            <w:tcW w:w="762"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部门基本信息</w:t>
            </w:r>
          </w:p>
        </w:tc>
        <w:tc>
          <w:tcPr>
            <w:tcW w:w="1246"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单位名称</w:t>
            </w:r>
          </w:p>
        </w:tc>
        <w:tc>
          <w:tcPr>
            <w:tcW w:w="7109" w:type="dxa"/>
            <w:gridSpan w:val="5"/>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五座中型水库及东山水闸管理所</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通讯地址</w:t>
            </w:r>
          </w:p>
        </w:tc>
        <w:tc>
          <w:tcPr>
            <w:tcW w:w="71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乡镇</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单位预算绩效管理联系人</w:t>
            </w:r>
          </w:p>
        </w:tc>
        <w:tc>
          <w:tcPr>
            <w:tcW w:w="32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肖英</w:t>
            </w:r>
          </w:p>
        </w:tc>
        <w:tc>
          <w:tcPr>
            <w:tcW w:w="14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联系电话</w:t>
            </w:r>
          </w:p>
        </w:tc>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56770533</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人员编制数</w:t>
            </w:r>
          </w:p>
        </w:tc>
        <w:tc>
          <w:tcPr>
            <w:tcW w:w="32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50</w:t>
            </w:r>
          </w:p>
        </w:tc>
        <w:tc>
          <w:tcPr>
            <w:tcW w:w="14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实有人数</w:t>
            </w:r>
          </w:p>
        </w:tc>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48</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单位职能</w:t>
            </w:r>
          </w:p>
        </w:tc>
        <w:tc>
          <w:tcPr>
            <w:tcW w:w="71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养护管理、建设维修水闸、水库水利工程，促进农村水利事业发展；防汛抗旱；水库安全运行监测管理；水资源的综合利用及相关服务</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835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单位年度收入预算（万元）</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收入合计</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公共财政拨款</w:t>
            </w:r>
          </w:p>
        </w:tc>
        <w:tc>
          <w:tcPr>
            <w:tcW w:w="16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政府性基金拨款</w:t>
            </w:r>
          </w:p>
        </w:tc>
        <w:tc>
          <w:tcPr>
            <w:tcW w:w="14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非税收入拨款</w:t>
            </w:r>
          </w:p>
        </w:tc>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其他拨款</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431.59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431.59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835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单位年度支出预算（万元）</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支出合计</w:t>
            </w:r>
          </w:p>
        </w:tc>
        <w:tc>
          <w:tcPr>
            <w:tcW w:w="32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基本支出</w:t>
            </w:r>
          </w:p>
        </w:tc>
        <w:tc>
          <w:tcPr>
            <w:tcW w:w="386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项目支出</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431.59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431.59</w:t>
            </w:r>
          </w:p>
        </w:tc>
        <w:tc>
          <w:tcPr>
            <w:tcW w:w="386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0</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其中</w:t>
            </w:r>
          </w:p>
        </w:tc>
        <w:tc>
          <w:tcPr>
            <w:tcW w:w="71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lang w:bidi="ar"/>
              </w:rPr>
              <w:t>三公经费预算（万元）</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合计</w:t>
            </w:r>
          </w:p>
        </w:tc>
        <w:tc>
          <w:tcPr>
            <w:tcW w:w="32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公务用车运行和购置费</w:t>
            </w:r>
          </w:p>
        </w:tc>
        <w:tc>
          <w:tcPr>
            <w:tcW w:w="29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因公出国（境）费</w:t>
            </w:r>
          </w:p>
        </w:tc>
        <w:tc>
          <w:tcPr>
            <w:tcW w:w="956"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公务接待费</w:t>
            </w:r>
          </w:p>
        </w:tc>
      </w:tr>
      <w:tr>
        <w:tblPrEx>
          <w:tblCellMar>
            <w:top w:w="0" w:type="dxa"/>
            <w:left w:w="0" w:type="dxa"/>
            <w:bottom w:w="0" w:type="dxa"/>
            <w:right w:w="0" w:type="dxa"/>
          </w:tblCellMar>
        </w:tblPrEx>
        <w:trPr>
          <w:trHeight w:val="90" w:hRule="atLeast"/>
        </w:trPr>
        <w:tc>
          <w:tcPr>
            <w:tcW w:w="762"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4.8</w:t>
            </w:r>
          </w:p>
        </w:tc>
        <w:tc>
          <w:tcPr>
            <w:tcW w:w="3243" w:type="dxa"/>
            <w:gridSpan w:val="2"/>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0</w:t>
            </w:r>
          </w:p>
        </w:tc>
        <w:tc>
          <w:tcPr>
            <w:tcW w:w="2910" w:type="dxa"/>
            <w:gridSpan w:val="2"/>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0</w:t>
            </w:r>
          </w:p>
        </w:tc>
        <w:tc>
          <w:tcPr>
            <w:tcW w:w="956" w:type="dxa"/>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4.8</w:t>
            </w:r>
          </w:p>
        </w:tc>
      </w:tr>
      <w:tr>
        <w:tblPrEx>
          <w:tblCellMar>
            <w:top w:w="0" w:type="dxa"/>
            <w:left w:w="0" w:type="dxa"/>
            <w:bottom w:w="0" w:type="dxa"/>
            <w:right w:w="0" w:type="dxa"/>
          </w:tblCellMar>
        </w:tblPrEx>
        <w:trPr>
          <w:trHeight w:val="312" w:hRule="atLeast"/>
        </w:trPr>
        <w:tc>
          <w:tcPr>
            <w:tcW w:w="762" w:type="dxa"/>
            <w:vMerge w:val="restart"/>
            <w:tcBorders>
              <w:top w:val="nil"/>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部门</w:t>
            </w:r>
            <w:r>
              <w:rPr>
                <w:rFonts w:hint="eastAsia" w:ascii="宋体" w:hAnsi="宋体" w:eastAsia="宋体" w:cs="宋体"/>
                <w:b/>
                <w:color w:val="000000"/>
                <w:kern w:val="0"/>
                <w:sz w:val="20"/>
                <w:szCs w:val="20"/>
                <w:lang w:bidi="ar"/>
              </w:rPr>
              <w:br w:type="textWrapping"/>
            </w:r>
            <w:r>
              <w:rPr>
                <w:rFonts w:hint="eastAsia" w:ascii="宋体" w:hAnsi="宋体" w:eastAsia="宋体" w:cs="宋体"/>
                <w:b/>
                <w:color w:val="000000"/>
                <w:kern w:val="0"/>
                <w:sz w:val="20"/>
                <w:szCs w:val="20"/>
                <w:lang w:bidi="ar"/>
              </w:rPr>
              <w:t>整体</w:t>
            </w:r>
            <w:r>
              <w:rPr>
                <w:rFonts w:hint="eastAsia" w:ascii="宋体" w:hAnsi="宋体" w:eastAsia="宋体" w:cs="宋体"/>
                <w:b/>
                <w:color w:val="000000"/>
                <w:kern w:val="0"/>
                <w:sz w:val="20"/>
                <w:szCs w:val="20"/>
                <w:lang w:bidi="ar"/>
              </w:rPr>
              <w:br w:type="textWrapping"/>
            </w:r>
            <w:r>
              <w:rPr>
                <w:rFonts w:hint="eastAsia" w:ascii="宋体" w:hAnsi="宋体" w:eastAsia="宋体" w:cs="宋体"/>
                <w:b/>
                <w:color w:val="000000"/>
                <w:kern w:val="0"/>
                <w:sz w:val="20"/>
                <w:szCs w:val="20"/>
                <w:lang w:bidi="ar"/>
              </w:rPr>
              <w:t>支出</w:t>
            </w:r>
            <w:r>
              <w:rPr>
                <w:rFonts w:hint="eastAsia" w:ascii="宋体" w:hAnsi="宋体" w:eastAsia="宋体" w:cs="宋体"/>
                <w:b/>
                <w:color w:val="000000"/>
                <w:kern w:val="0"/>
                <w:sz w:val="20"/>
                <w:szCs w:val="20"/>
                <w:lang w:bidi="ar"/>
              </w:rPr>
              <w:br w:type="textWrapping"/>
            </w:r>
            <w:r>
              <w:rPr>
                <w:rFonts w:hint="eastAsia" w:ascii="宋体" w:hAnsi="宋体" w:eastAsia="宋体" w:cs="宋体"/>
                <w:b/>
                <w:color w:val="000000"/>
                <w:kern w:val="0"/>
                <w:sz w:val="20"/>
                <w:szCs w:val="20"/>
                <w:lang w:bidi="ar"/>
              </w:rPr>
              <w:t>绩效</w:t>
            </w:r>
            <w:r>
              <w:rPr>
                <w:rFonts w:hint="eastAsia" w:ascii="宋体" w:hAnsi="宋体" w:eastAsia="宋体" w:cs="宋体"/>
                <w:b/>
                <w:color w:val="000000"/>
                <w:kern w:val="0"/>
                <w:sz w:val="20"/>
                <w:szCs w:val="20"/>
                <w:lang w:bidi="ar"/>
              </w:rPr>
              <w:br w:type="textWrapping"/>
            </w:r>
            <w:r>
              <w:rPr>
                <w:rFonts w:hint="eastAsia" w:ascii="宋体" w:hAnsi="宋体" w:eastAsia="宋体" w:cs="宋体"/>
                <w:b/>
                <w:color w:val="000000"/>
                <w:kern w:val="0"/>
                <w:sz w:val="20"/>
                <w:szCs w:val="20"/>
                <w:lang w:bidi="ar"/>
              </w:rPr>
              <w:t>目标</w:t>
            </w:r>
          </w:p>
        </w:tc>
        <w:tc>
          <w:tcPr>
            <w:tcW w:w="8355" w:type="dxa"/>
            <w:gridSpan w:val="6"/>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1、渠道清淤扫障。2、库内保洁、溢洪道、导流沟清理。3、大坝维修养护。4、闸门、动力设备维修及养护。5、完成发电任务。6、渠道浆砌石。7、办公楼的改造维护。8、防汛抗旱工作。</w:t>
            </w:r>
          </w:p>
        </w:tc>
      </w:tr>
      <w:tr>
        <w:tblPrEx>
          <w:tblCellMar>
            <w:top w:w="0" w:type="dxa"/>
            <w:left w:w="0" w:type="dxa"/>
            <w:bottom w:w="0" w:type="dxa"/>
            <w:right w:w="0" w:type="dxa"/>
          </w:tblCellMar>
        </w:tblPrEx>
        <w:trPr>
          <w:trHeight w:val="312" w:hRule="atLeast"/>
        </w:trPr>
        <w:tc>
          <w:tcPr>
            <w:tcW w:w="762" w:type="dxa"/>
            <w:vMerge w:val="continue"/>
            <w:tcBorders>
              <w:top w:val="nil"/>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c>
          <w:tcPr>
            <w:tcW w:w="8355" w:type="dxa"/>
            <w:gridSpan w:val="6"/>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312" w:hRule="atLeast"/>
        </w:trPr>
        <w:tc>
          <w:tcPr>
            <w:tcW w:w="762" w:type="dxa"/>
            <w:vMerge w:val="continue"/>
            <w:tcBorders>
              <w:top w:val="nil"/>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c>
          <w:tcPr>
            <w:tcW w:w="8355" w:type="dxa"/>
            <w:gridSpan w:val="6"/>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312" w:hRule="atLeast"/>
        </w:trPr>
        <w:tc>
          <w:tcPr>
            <w:tcW w:w="762" w:type="dxa"/>
            <w:vMerge w:val="continue"/>
            <w:tcBorders>
              <w:top w:val="nil"/>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c>
          <w:tcPr>
            <w:tcW w:w="8355" w:type="dxa"/>
            <w:gridSpan w:val="6"/>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312" w:hRule="atLeast"/>
        </w:trPr>
        <w:tc>
          <w:tcPr>
            <w:tcW w:w="762" w:type="dxa"/>
            <w:vMerge w:val="continue"/>
            <w:tcBorders>
              <w:top w:val="nil"/>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c>
          <w:tcPr>
            <w:tcW w:w="8355" w:type="dxa"/>
            <w:gridSpan w:val="6"/>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度</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指</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标</w:t>
            </w: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一级指标</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二级指标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指标内容</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指标值</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备注</w:t>
            </w: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产出指标</w:t>
            </w: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数量指标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库内垃圾，大坝除草（长江）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每年10次</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渠道清淤、浆砌、混凝土（长江）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750立方</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库内垃圾，大坝除草（红日）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61.5千米</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渠道清淤、浆砌、混凝土（红日）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每年4次</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设备维修养护（东山水闸）</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全部</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800立方</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大坝维护库内保洁（桃林）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每年4次</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计划发电（赤石）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60万度</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库内垃圾打捞（赤石）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600吨</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库内垃圾、大坝除草（合东）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2300亩</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渠道清淤、浆砌、混凝土（合东）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抗旱之前完成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质量指标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合格率95%</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合格率95%</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合格率90%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合格率90%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正常运行（东山水闸）</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1年</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86%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大坝维护库内保洁（桃林）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66%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实发电（赤石）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98%以上</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垃圾打捞（赤石）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95%</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合格率90%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渠道清淤、浆砌、混凝土（合东）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合格率90%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时效指标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3月-10月（东山水闸）</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100%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库内垃圾打捞（赤石）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渠道清淤、浆砌、混凝土（合东）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年底完成</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成本指标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21万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渠道维修养护（长江）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34万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20万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渠道维修养护（红日）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28万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维修养护（东山水闸）</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10万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渠道清淤扫障、浆砌（桃林）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32万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22万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14万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库内垃圾打捞保洁（赤石）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18万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库内保洁、维修养护（合东）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26万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渠道清淤、浆砌、混凝土（合东）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20万</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0"/>
                <w:szCs w:val="20"/>
              </w:rPr>
            </w:pPr>
          </w:p>
        </w:tc>
      </w:tr>
      <w:tr>
        <w:tblPrEx>
          <w:tblCellMar>
            <w:top w:w="0" w:type="dxa"/>
            <w:left w:w="0" w:type="dxa"/>
            <w:bottom w:w="0" w:type="dxa"/>
            <w:right w:w="0" w:type="dxa"/>
          </w:tblCellMar>
        </w:tblPrEx>
        <w:trPr>
          <w:trHeight w:val="9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年</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度</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指</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标</w:t>
            </w:r>
          </w:p>
        </w:tc>
        <w:tc>
          <w:tcPr>
            <w:tcW w:w="124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效益指标</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经济效益指标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净利润提高（赤石）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社会效益指标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完成社会效益（赤石）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90%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生态效益指标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库内水质（长江）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三类</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库内水质（红日）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三类</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常年水位保持在40.5m左右（东山水闸）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饮用水源达标（桃林）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100%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库内水质（赤石）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三类</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库内水质（合东）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三类</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可持续影响指标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社会公众或服务对象满意度指标</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农田用水群众满意度（长江）</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99%</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农田用水群众满意度（红日）</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99%</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满意（东山水闸）</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99%</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满意度（桃林）</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99%</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农田灌溉群众满意度（赤石）</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99%</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jc w:val="center"/>
              <w:rPr>
                <w:rFonts w:ascii="宋体" w:hAnsi="宋体" w:eastAsia="宋体" w:cs="宋体"/>
                <w:b/>
                <w:color w:val="000000"/>
                <w:sz w:val="24"/>
                <w:szCs w:val="24"/>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农田灌溉群众满意度（合东）</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lang w:bidi="ar"/>
              </w:rPr>
              <w:t>95%</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90" w:hRule="atLeast"/>
        </w:trPr>
        <w:tc>
          <w:tcPr>
            <w:tcW w:w="2008"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归口股室</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1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90" w:hRule="atLeast"/>
        </w:trPr>
        <w:tc>
          <w:tcPr>
            <w:tcW w:w="2008"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绩效管理股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1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90" w:hRule="atLeast"/>
        </w:trPr>
        <w:tc>
          <w:tcPr>
            <w:tcW w:w="2008" w:type="dxa"/>
            <w:gridSpan w:val="2"/>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预算股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109" w:type="dxa"/>
            <w:gridSpan w:val="5"/>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312" w:hRule="atLeast"/>
        </w:trPr>
        <w:tc>
          <w:tcPr>
            <w:tcW w:w="9117" w:type="dxa"/>
            <w:gridSpan w:val="7"/>
            <w:vMerge w:val="restart"/>
            <w:tcBorders>
              <w:top w:val="nil"/>
              <w:left w:val="nil"/>
              <w:bottom w:val="nil"/>
              <w:right w:val="nil"/>
            </w:tcBorders>
            <w:shd w:val="clear" w:color="auto" w:fill="auto"/>
            <w:tcMar>
              <w:top w:w="15" w:type="dxa"/>
              <w:left w:w="15" w:type="dxa"/>
              <w:right w:w="15" w:type="dxa"/>
            </w:tcMar>
            <w:vAlign w:val="bottom"/>
          </w:tcPr>
          <w:p>
            <w:pPr>
              <w:widowControl/>
              <w:jc w:val="left"/>
              <w:textAlignment w:val="bottom"/>
              <w:rPr>
                <w:rFonts w:ascii="宋体" w:hAnsi="宋体" w:eastAsia="宋体" w:cs="宋体"/>
                <w:color w:val="000000"/>
                <w:sz w:val="24"/>
                <w:szCs w:val="24"/>
              </w:rPr>
            </w:pPr>
            <w:r>
              <w:rPr>
                <w:rStyle w:val="26"/>
                <w:rFonts w:hint="default"/>
                <w:sz w:val="24"/>
                <w:szCs w:val="24"/>
                <w:lang w:bidi="ar"/>
              </w:rPr>
              <w:t xml:space="preserve">              </w:t>
            </w:r>
          </w:p>
        </w:tc>
      </w:tr>
      <w:tr>
        <w:tblPrEx>
          <w:tblCellMar>
            <w:top w:w="0" w:type="dxa"/>
            <w:left w:w="0" w:type="dxa"/>
            <w:bottom w:w="0" w:type="dxa"/>
            <w:right w:w="0" w:type="dxa"/>
          </w:tblCellMar>
        </w:tblPrEx>
        <w:trPr>
          <w:trHeight w:val="312" w:hRule="atLeast"/>
        </w:trPr>
        <w:tc>
          <w:tcPr>
            <w:tcW w:w="9117" w:type="dxa"/>
            <w:gridSpan w:val="7"/>
            <w:vMerge w:val="continue"/>
            <w:tcBorders>
              <w:top w:val="nil"/>
              <w:left w:val="nil"/>
              <w:bottom w:val="nil"/>
              <w:right w:val="nil"/>
            </w:tcBorders>
            <w:shd w:val="clear" w:color="auto" w:fill="auto"/>
            <w:tcMar>
              <w:top w:w="15" w:type="dxa"/>
              <w:left w:w="15" w:type="dxa"/>
              <w:right w:w="15" w:type="dxa"/>
            </w:tcMar>
            <w:vAlign w:val="bottom"/>
          </w:tcPr>
          <w:p>
            <w:pPr>
              <w:jc w:val="left"/>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9117" w:type="dxa"/>
            <w:gridSpan w:val="7"/>
            <w:vMerge w:val="continue"/>
            <w:tcBorders>
              <w:top w:val="nil"/>
              <w:left w:val="nil"/>
              <w:bottom w:val="nil"/>
              <w:right w:val="nil"/>
            </w:tcBorders>
            <w:shd w:val="clear" w:color="auto" w:fill="auto"/>
            <w:tcMar>
              <w:top w:w="15" w:type="dxa"/>
              <w:left w:w="15" w:type="dxa"/>
              <w:right w:w="15" w:type="dxa"/>
            </w:tcMar>
            <w:vAlign w:val="bottom"/>
          </w:tcPr>
          <w:p>
            <w:pPr>
              <w:jc w:val="left"/>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9117" w:type="dxa"/>
            <w:gridSpan w:val="7"/>
            <w:vMerge w:val="continue"/>
            <w:tcBorders>
              <w:top w:val="nil"/>
              <w:left w:val="nil"/>
              <w:bottom w:val="nil"/>
              <w:right w:val="nil"/>
            </w:tcBorders>
            <w:shd w:val="clear" w:color="auto" w:fill="auto"/>
            <w:tcMar>
              <w:top w:w="15" w:type="dxa"/>
              <w:left w:w="15" w:type="dxa"/>
              <w:right w:w="15" w:type="dxa"/>
            </w:tcMar>
            <w:vAlign w:val="bottom"/>
          </w:tcPr>
          <w:p>
            <w:pPr>
              <w:jc w:val="left"/>
              <w:rPr>
                <w:rFonts w:ascii="宋体" w:hAnsi="宋体" w:eastAsia="宋体" w:cs="宋体"/>
                <w:color w:val="000000"/>
                <w:sz w:val="24"/>
                <w:szCs w:val="24"/>
              </w:rPr>
            </w:pPr>
          </w:p>
        </w:tc>
      </w:tr>
    </w:tbl>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2"/>
        <w:ind w:firstLine="640"/>
        <w:rPr>
          <w:rFonts w:ascii="仿宋_GB2312" w:hAnsi="仿宋_GB2312" w:cs="仿宋_GB2312"/>
          <w:sz w:val="32"/>
          <w:szCs w:val="32"/>
        </w:rPr>
      </w:pPr>
    </w:p>
    <w:p>
      <w:pPr>
        <w:pStyle w:val="17"/>
        <w:spacing w:before="0" w:beforeAutospacing="0" w:after="0" w:afterAutospacing="0" w:line="560" w:lineRule="exact"/>
        <w:ind w:firstLine="160" w:firstLineChars="50"/>
        <w:jc w:val="center"/>
        <w:rPr>
          <w:rFonts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2019年“一河一策”实施方案编制经费</w:t>
      </w:r>
    </w:p>
    <w:p>
      <w:pPr>
        <w:pStyle w:val="17"/>
        <w:spacing w:before="0" w:beforeAutospacing="0" w:after="0" w:afterAutospacing="0" w:line="560" w:lineRule="exact"/>
        <w:ind w:firstLine="160" w:firstLineChars="50"/>
        <w:jc w:val="center"/>
        <w:rPr>
          <w:rFonts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绩效自评报告</w:t>
      </w:r>
    </w:p>
    <w:p>
      <w:pPr>
        <w:snapToGrid w:val="0"/>
        <w:spacing w:line="560" w:lineRule="exact"/>
        <w:ind w:firstLine="640" w:firstLineChars="200"/>
        <w:rPr>
          <w:rFonts w:asciiTheme="minorEastAsia" w:hAnsiTheme="minorEastAsia" w:cstheme="minorEastAsia"/>
          <w:color w:val="434343"/>
          <w:sz w:val="32"/>
          <w:szCs w:val="32"/>
        </w:rPr>
      </w:pPr>
    </w:p>
    <w:p>
      <w:pPr>
        <w:widowControl/>
        <w:shd w:val="clear" w:color="auto" w:fill="FFFFFF"/>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根据《湘乡市人民政府关于全面推进预算绩效管理的实施意见》（湘乡政发[2014]12号）和湘乡财政局《2020年湘乡市预算绩效管理工作方案》（湘乡财绩[2020]1号）文件要求，强化绩效理念，提高财政资金使用效益，我局组织人员对由河长制工作事务中心负责实施的2019年“一河一策”实施方案编制经费进行绩效评价。</w:t>
      </w:r>
    </w:p>
    <w:p>
      <w:pPr>
        <w:pStyle w:val="18"/>
        <w:spacing w:before="0" w:beforeAutospacing="0" w:after="0" w:afterAutospacing="0" w:line="560" w:lineRule="exact"/>
        <w:ind w:firstLine="784" w:firstLineChars="245"/>
        <w:rPr>
          <w:rFonts w:asciiTheme="minorEastAsia" w:hAnsiTheme="minorEastAsia" w:cstheme="minorEastAsia"/>
          <w:b/>
          <w:sz w:val="32"/>
          <w:szCs w:val="32"/>
        </w:rPr>
      </w:pPr>
      <w:r>
        <w:rPr>
          <w:rFonts w:hint="eastAsia" w:asciiTheme="minorEastAsia" w:hAnsiTheme="minorEastAsia" w:cstheme="minorEastAsia"/>
          <w:b/>
          <w:sz w:val="32"/>
          <w:szCs w:val="32"/>
        </w:rPr>
        <w:t>一、项目概况</w:t>
      </w:r>
    </w:p>
    <w:p>
      <w:pPr>
        <w:pStyle w:val="18"/>
        <w:spacing w:before="0" w:beforeAutospacing="0" w:after="0" w:afterAutospacing="0"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（一）项目单位基本情况</w:t>
      </w:r>
    </w:p>
    <w:p>
      <w:pPr>
        <w:spacing w:line="560" w:lineRule="exact"/>
        <w:ind w:firstLine="640" w:firstLineChars="200"/>
        <w:rPr>
          <w:rFonts w:asciiTheme="minorEastAsia" w:hAnsiTheme="minorEastAsia" w:cstheme="minorEastAsia"/>
          <w:b/>
          <w:sz w:val="32"/>
          <w:szCs w:val="32"/>
        </w:rPr>
      </w:pPr>
      <w:r>
        <w:rPr>
          <w:rFonts w:hint="eastAsia" w:asciiTheme="minorEastAsia" w:hAnsiTheme="minorEastAsia" w:cstheme="minorEastAsia"/>
          <w:sz w:val="32"/>
          <w:szCs w:val="32"/>
        </w:rPr>
        <w:t>水利局内设机构、事业单位设置：设有办公室、人事股、水政股（政务服务股）、法规股、建设管理股、水旱灾害防御服务中心、库区移民事务中心、水土保持站、河长制工作事务中心、农村水利水电股、水库移民股、财务股、水利建设中心、水利建设中心、机关党委、湘乡市东山水闸管理所、湘乡市长江水库管理所、湘乡市合东水库管理所、湘乡市红日水库管理所、湘乡市桃林水库管理所、湘乡市赤石水库管理所。</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河长制工作事务中心的主要职责：负责全市河长制工作的日常事务、拟定市河长制工作规章制度、工作计划、考核方案等并组织实施；督办落实市级河长制部署的工作任务，统筹协调市河长制工作委员会成员单位河库保护工作。落实好局党委、行政交办的其他工作任务。</w:t>
      </w:r>
    </w:p>
    <w:p>
      <w:pPr>
        <w:pStyle w:val="18"/>
        <w:numPr>
          <w:ilvl w:val="0"/>
          <w:numId w:val="6"/>
        </w:numPr>
        <w:spacing w:before="0" w:beforeAutospacing="0" w:after="0" w:afterAutospacing="0" w:line="560" w:lineRule="exact"/>
        <w:ind w:firstLine="640" w:firstLineChars="200"/>
        <w:textAlignment w:val="baseline"/>
        <w:rPr>
          <w:rFonts w:asciiTheme="minorEastAsia" w:hAnsiTheme="minorEastAsia" w:cstheme="minorEastAsia"/>
          <w:sz w:val="32"/>
          <w:szCs w:val="32"/>
        </w:rPr>
      </w:pPr>
      <w:r>
        <w:rPr>
          <w:rFonts w:hint="eastAsia" w:asciiTheme="minorEastAsia" w:hAnsiTheme="minorEastAsia" w:cstheme="minorEastAsia"/>
          <w:sz w:val="32"/>
          <w:szCs w:val="32"/>
        </w:rPr>
        <w:t>项目立项依据和资金使用用途</w:t>
      </w:r>
    </w:p>
    <w:p>
      <w:pPr>
        <w:pStyle w:val="18"/>
        <w:spacing w:before="0" w:beforeAutospacing="0" w:after="0" w:afterAutospacing="0" w:line="560" w:lineRule="exact"/>
        <w:ind w:firstLine="640" w:firstLineChars="200"/>
        <w:rPr>
          <w:rFonts w:asciiTheme="minorEastAsia" w:hAnsiTheme="minorEastAsia" w:cstheme="minorEastAsia"/>
          <w:bCs/>
          <w:sz w:val="32"/>
          <w:szCs w:val="32"/>
        </w:rPr>
      </w:pPr>
      <w:r>
        <w:rPr>
          <w:rFonts w:hint="eastAsia" w:asciiTheme="minorEastAsia" w:hAnsiTheme="minorEastAsia" w:cstheme="minorEastAsia"/>
          <w:bCs/>
          <w:sz w:val="32"/>
          <w:szCs w:val="32"/>
        </w:rPr>
        <w:t>项目依据《中共中央办公厅 国务院办公厅印发&lt;关于全面推行河长制的意见&gt;》、《水利部办公厅关于印发&lt;“一河（湖）一策”方案编制指南（试行）&gt;的通知》、《湖南省关于全面推行河长制的实施意见》、《中国湘乡市委办公室湘乡市人民政府办公室关于全面推行河长制的实施意见》、《关于落河长制工作有关问题的会议纪要》设立。资金主要用于“一河一策”方案的编制。</w:t>
      </w:r>
    </w:p>
    <w:p>
      <w:pPr>
        <w:pStyle w:val="18"/>
        <w:spacing w:before="0" w:beforeAutospacing="0" w:after="0" w:afterAutospacing="0" w:line="560" w:lineRule="exact"/>
        <w:ind w:firstLine="640" w:firstLineChars="200"/>
        <w:rPr>
          <w:rFonts w:asciiTheme="minorEastAsia" w:hAnsiTheme="minorEastAsia" w:cstheme="minorEastAsia"/>
          <w:bCs/>
          <w:sz w:val="32"/>
          <w:szCs w:val="32"/>
        </w:rPr>
      </w:pPr>
      <w:r>
        <w:rPr>
          <w:rFonts w:hint="eastAsia" w:asciiTheme="minorEastAsia" w:hAnsiTheme="minorEastAsia" w:cstheme="minorEastAsia"/>
          <w:bCs/>
          <w:sz w:val="32"/>
          <w:szCs w:val="32"/>
        </w:rPr>
        <w:t>（三）项目年度绩效目标</w:t>
      </w:r>
    </w:p>
    <w:p>
      <w:pPr>
        <w:pStyle w:val="18"/>
        <w:spacing w:before="0" w:beforeAutospacing="0" w:after="0" w:afterAutospacing="0" w:line="560" w:lineRule="exact"/>
        <w:ind w:firstLine="640" w:firstLineChars="200"/>
        <w:rPr>
          <w:rFonts w:asciiTheme="minorEastAsia" w:hAnsiTheme="minorEastAsia" w:cstheme="minorEastAsia"/>
          <w:bCs/>
          <w:sz w:val="32"/>
          <w:szCs w:val="32"/>
        </w:rPr>
      </w:pPr>
      <w:r>
        <w:rPr>
          <w:rFonts w:hint="eastAsia" w:asciiTheme="minorEastAsia" w:hAnsiTheme="minorEastAsia" w:cstheme="minorEastAsia"/>
          <w:bCs/>
          <w:sz w:val="32"/>
          <w:szCs w:val="32"/>
        </w:rPr>
        <w:t>全面落实“一河一策”方案编制。</w:t>
      </w:r>
    </w:p>
    <w:p>
      <w:pPr>
        <w:pStyle w:val="18"/>
        <w:spacing w:before="0" w:beforeAutospacing="0" w:after="0" w:afterAutospacing="0" w:line="560" w:lineRule="exact"/>
        <w:rPr>
          <w:rFonts w:asciiTheme="minorEastAsia" w:hAnsiTheme="minorEastAsia" w:cstheme="minorEastAsia"/>
          <w:b/>
          <w:sz w:val="32"/>
          <w:szCs w:val="32"/>
        </w:rPr>
      </w:pPr>
      <w:r>
        <w:rPr>
          <w:rFonts w:hint="eastAsia" w:asciiTheme="minorEastAsia" w:hAnsiTheme="minorEastAsia" w:cstheme="minorEastAsia"/>
          <w:sz w:val="32"/>
          <w:szCs w:val="32"/>
        </w:rPr>
        <w:t xml:space="preserve">    </w:t>
      </w:r>
      <w:r>
        <w:rPr>
          <w:rFonts w:hint="eastAsia" w:asciiTheme="minorEastAsia" w:hAnsiTheme="minorEastAsia" w:cstheme="minorEastAsia"/>
          <w:b/>
          <w:sz w:val="32"/>
          <w:szCs w:val="32"/>
        </w:rPr>
        <w:t xml:space="preserve">  二、项目资金使用及管理情况</w:t>
      </w:r>
    </w:p>
    <w:p>
      <w:pPr>
        <w:pStyle w:val="17"/>
        <w:snapToGrid w:val="0"/>
        <w:spacing w:before="0" w:beforeAutospacing="0" w:after="0" w:afterAutospacing="0" w:line="560" w:lineRule="exact"/>
        <w:ind w:firstLine="570"/>
        <w:rPr>
          <w:rFonts w:asciiTheme="minorEastAsia" w:hAnsiTheme="minorEastAsia" w:eastAsiaTheme="minorEastAsia" w:cstheme="minorEastAsia"/>
          <w:bCs/>
          <w:color w:val="auto"/>
          <w:sz w:val="32"/>
          <w:szCs w:val="32"/>
        </w:rPr>
      </w:pPr>
      <w:r>
        <w:rPr>
          <w:rFonts w:hint="eastAsia" w:asciiTheme="minorEastAsia" w:hAnsiTheme="minorEastAsia" w:eastAsiaTheme="minorEastAsia" w:cstheme="minorEastAsia"/>
          <w:bCs/>
          <w:color w:val="auto"/>
          <w:sz w:val="32"/>
          <w:szCs w:val="32"/>
        </w:rPr>
        <w:t>（一）项目资金到位情况</w:t>
      </w:r>
    </w:p>
    <w:p>
      <w:pPr>
        <w:pStyle w:val="17"/>
        <w:snapToGrid w:val="0"/>
        <w:spacing w:before="0" w:beforeAutospacing="0" w:after="0" w:afterAutospacing="0" w:line="560" w:lineRule="exact"/>
        <w:ind w:firstLine="570"/>
        <w:rPr>
          <w:rFonts w:asciiTheme="minorEastAsia" w:hAnsiTheme="minorEastAsia" w:eastAsiaTheme="minorEastAsia" w:cstheme="minorEastAsia"/>
          <w:bCs/>
          <w:color w:val="auto"/>
          <w:sz w:val="32"/>
          <w:szCs w:val="32"/>
        </w:rPr>
      </w:pPr>
      <w:r>
        <w:rPr>
          <w:rFonts w:hint="eastAsia" w:asciiTheme="minorEastAsia" w:hAnsiTheme="minorEastAsia" w:eastAsiaTheme="minorEastAsia" w:cstheme="minorEastAsia"/>
          <w:bCs/>
          <w:color w:val="auto"/>
          <w:sz w:val="32"/>
          <w:szCs w:val="32"/>
        </w:rPr>
        <w:t>政府历年来重视水利项目建设，也非常注重“一河一策”编制工作。2019年初财政预算安排的资金为122.75万元，实际到位资金122.75万元，资金到位率100%。</w:t>
      </w:r>
    </w:p>
    <w:p>
      <w:pPr>
        <w:pStyle w:val="17"/>
        <w:snapToGrid w:val="0"/>
        <w:spacing w:before="0" w:beforeAutospacing="0" w:after="0" w:afterAutospacing="0" w:line="560" w:lineRule="exact"/>
        <w:ind w:firstLine="570"/>
        <w:rPr>
          <w:rFonts w:asciiTheme="minorEastAsia" w:hAnsiTheme="minorEastAsia" w:eastAsiaTheme="minorEastAsia" w:cstheme="minorEastAsia"/>
          <w:bCs/>
          <w:color w:val="auto"/>
          <w:sz w:val="32"/>
          <w:szCs w:val="32"/>
        </w:rPr>
      </w:pPr>
      <w:r>
        <w:rPr>
          <w:rFonts w:hint="eastAsia" w:asciiTheme="minorEastAsia" w:hAnsiTheme="minorEastAsia" w:eastAsiaTheme="minorEastAsia" w:cstheme="minorEastAsia"/>
          <w:bCs/>
          <w:color w:val="auto"/>
          <w:sz w:val="32"/>
          <w:szCs w:val="32"/>
        </w:rPr>
        <w:t>（二）项目资金使用情况</w:t>
      </w:r>
    </w:p>
    <w:p>
      <w:pPr>
        <w:pStyle w:val="17"/>
        <w:snapToGrid w:val="0"/>
        <w:spacing w:before="0" w:beforeAutospacing="0" w:after="0" w:afterAutospacing="0" w:line="560" w:lineRule="exact"/>
        <w:ind w:firstLine="640" w:firstLineChars="200"/>
        <w:rPr>
          <w:rFonts w:asciiTheme="minorEastAsia" w:hAnsiTheme="minorEastAsia" w:eastAsiaTheme="minorEastAsia" w:cstheme="minorEastAsia"/>
          <w:bCs/>
          <w:color w:val="auto"/>
          <w:sz w:val="32"/>
          <w:szCs w:val="32"/>
        </w:rPr>
      </w:pPr>
      <w:r>
        <w:rPr>
          <w:rFonts w:hint="eastAsia" w:asciiTheme="minorEastAsia" w:hAnsiTheme="minorEastAsia" w:eastAsiaTheme="minorEastAsia" w:cstheme="minorEastAsia"/>
          <w:bCs/>
          <w:color w:val="auto"/>
          <w:sz w:val="32"/>
          <w:szCs w:val="32"/>
        </w:rPr>
        <w:t>项目资金实行专账核算，资金使用严格执行资金管理办法和各项财经纪律，其编制服务采购严格进行政府采购程序，结果按规定进行公开。资金拨付符合规定的审批程序,会计核算结果真实、准确，定期接受审计、财政等部门的检查。</w:t>
      </w:r>
    </w:p>
    <w:p>
      <w:pPr>
        <w:pStyle w:val="17"/>
        <w:snapToGrid w:val="0"/>
        <w:spacing w:before="0" w:beforeAutospacing="0" w:after="0" w:afterAutospacing="0" w:line="560" w:lineRule="exact"/>
        <w:ind w:firstLine="640"/>
        <w:rPr>
          <w:rFonts w:asciiTheme="minorEastAsia" w:hAnsiTheme="minorEastAsia" w:eastAsiaTheme="minorEastAsia" w:cstheme="minorEastAsia"/>
          <w:bCs/>
          <w:color w:val="auto"/>
          <w:sz w:val="32"/>
          <w:szCs w:val="32"/>
        </w:rPr>
      </w:pPr>
      <w:r>
        <w:rPr>
          <w:rFonts w:hint="eastAsia" w:asciiTheme="minorEastAsia" w:hAnsiTheme="minorEastAsia" w:eastAsiaTheme="minorEastAsia" w:cstheme="minorEastAsia"/>
          <w:bCs/>
          <w:color w:val="auto"/>
          <w:sz w:val="32"/>
          <w:szCs w:val="32"/>
        </w:rPr>
        <w:t>2019年由于我市“一河一策”实施方案编制任务重大，全年项目总支出129.75万元，全部为编制费用，比原预算增加了7万元，增加的原因是增加了水府庙水库、靳江河的编制。</w:t>
      </w:r>
    </w:p>
    <w:p>
      <w:pPr>
        <w:pStyle w:val="17"/>
        <w:snapToGrid w:val="0"/>
        <w:spacing w:before="0" w:beforeAutospacing="0" w:after="0" w:afterAutospacing="0" w:line="560" w:lineRule="exact"/>
        <w:ind w:firstLine="784" w:firstLineChars="245"/>
        <w:rPr>
          <w:rFonts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t>三、项目组织实施情况</w:t>
      </w:r>
    </w:p>
    <w:p>
      <w:pPr>
        <w:pStyle w:val="17"/>
        <w:snapToGrid w:val="0"/>
        <w:spacing w:before="0" w:beforeAutospacing="0" w:after="0" w:afterAutospacing="0" w:line="560" w:lineRule="exact"/>
        <w:ind w:firstLine="640" w:firstLineChars="200"/>
        <w:rPr>
          <w:rFonts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t>（一）项目组织情况</w:t>
      </w:r>
    </w:p>
    <w:p>
      <w:pPr>
        <w:spacing w:line="560" w:lineRule="exact"/>
        <w:ind w:firstLine="800" w:firstLineChars="250"/>
        <w:rPr>
          <w:rFonts w:asciiTheme="minorEastAsia" w:hAnsiTheme="minorEastAsia" w:cstheme="minorEastAsia"/>
          <w:sz w:val="32"/>
          <w:szCs w:val="32"/>
        </w:rPr>
      </w:pPr>
      <w:r>
        <w:rPr>
          <w:rFonts w:hint="eastAsia" w:asciiTheme="minorEastAsia" w:hAnsiTheme="minorEastAsia" w:cstheme="minorEastAsia"/>
          <w:bCs/>
          <w:sz w:val="32"/>
          <w:szCs w:val="32"/>
        </w:rPr>
        <w:t>“一河一策”实施方案的编制</w:t>
      </w:r>
      <w:r>
        <w:rPr>
          <w:rFonts w:hint="eastAsia" w:asciiTheme="minorEastAsia" w:hAnsiTheme="minorEastAsia" w:cstheme="minorEastAsia"/>
          <w:sz w:val="32"/>
          <w:szCs w:val="32"/>
        </w:rPr>
        <w:t>是项目建设的开始，万事开头难，我们创造性地开展工作，注重与上级部门对接</w:t>
      </w:r>
      <w:r>
        <w:rPr>
          <w:rFonts w:hint="eastAsia" w:asciiTheme="minorEastAsia" w:hAnsiTheme="minorEastAsia" w:cstheme="minorEastAsia"/>
          <w:b/>
          <w:sz w:val="32"/>
          <w:szCs w:val="32"/>
        </w:rPr>
        <w:t>，</w:t>
      </w:r>
      <w:r>
        <w:rPr>
          <w:rFonts w:hint="eastAsia" w:asciiTheme="minorEastAsia" w:hAnsiTheme="minorEastAsia" w:cstheme="minorEastAsia"/>
          <w:sz w:val="32"/>
          <w:szCs w:val="32"/>
        </w:rPr>
        <w:t>积极主动，为我市水利发展建言献策</w:t>
      </w:r>
      <w:r>
        <w:rPr>
          <w:rFonts w:hint="eastAsia" w:asciiTheme="minorEastAsia" w:hAnsiTheme="minorEastAsia" w:cstheme="minorEastAsia"/>
          <w:b/>
          <w:sz w:val="32"/>
          <w:szCs w:val="32"/>
        </w:rPr>
        <w:t>。</w:t>
      </w:r>
    </w:p>
    <w:p>
      <w:pPr>
        <w:pStyle w:val="17"/>
        <w:snapToGrid w:val="0"/>
        <w:spacing w:before="0" w:beforeAutospacing="0" w:after="0" w:afterAutospacing="0" w:line="560" w:lineRule="exact"/>
        <w:ind w:firstLine="480" w:firstLineChars="150"/>
        <w:rPr>
          <w:rFonts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t>（二）项目管理情况</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我市</w:t>
      </w:r>
      <w:r>
        <w:rPr>
          <w:rFonts w:hint="eastAsia" w:asciiTheme="minorEastAsia" w:hAnsiTheme="minorEastAsia" w:cstheme="minorEastAsia"/>
          <w:bCs/>
          <w:sz w:val="32"/>
          <w:szCs w:val="32"/>
        </w:rPr>
        <w:t>“一河一策”实施方案编制项目</w:t>
      </w:r>
      <w:r>
        <w:rPr>
          <w:rFonts w:hint="eastAsia" w:asciiTheme="minorEastAsia" w:hAnsiTheme="minorEastAsia" w:cstheme="minorEastAsia"/>
          <w:sz w:val="32"/>
          <w:szCs w:val="32"/>
        </w:rPr>
        <w:t>工作都是在上级湘潭、省各级部门的计划、指导、督促下开展工作，有些工作直接与上级部门对接。通过政府招投标方式确定由湖南金水科技有限公司负责我市市级河流“一河一策”方案的编制，严格按《“一河（湖）一策”方案编制指南（试行）》对其编制质量进行控制。</w:t>
      </w:r>
    </w:p>
    <w:p>
      <w:pPr>
        <w:pStyle w:val="17"/>
        <w:snapToGrid w:val="0"/>
        <w:spacing w:before="0" w:beforeAutospacing="0" w:after="0" w:afterAutospacing="0" w:line="560" w:lineRule="exact"/>
        <w:ind w:firstLine="784" w:firstLineChars="245"/>
        <w:rPr>
          <w:rFonts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t>四、项目绩效情况</w:t>
      </w:r>
    </w:p>
    <w:p>
      <w:pPr>
        <w:pStyle w:val="18"/>
        <w:spacing w:before="0" w:beforeAutospacing="0" w:after="0" w:afterAutospacing="0"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（一）项目经济性分析</w:t>
      </w:r>
    </w:p>
    <w:p>
      <w:pPr>
        <w:pStyle w:val="17"/>
        <w:snapToGrid w:val="0"/>
        <w:spacing w:before="0" w:beforeAutospacing="0" w:after="0" w:afterAutospacing="0" w:line="560" w:lineRule="exact"/>
        <w:ind w:firstLine="640"/>
        <w:rPr>
          <w:rFonts w:asciiTheme="minorEastAsia" w:hAnsiTheme="minorEastAsia" w:eastAsiaTheme="minorEastAsia" w:cstheme="minorEastAsia"/>
          <w:bCs/>
          <w:color w:val="auto"/>
          <w:sz w:val="32"/>
          <w:szCs w:val="32"/>
        </w:rPr>
      </w:pPr>
      <w:r>
        <w:rPr>
          <w:rFonts w:hint="eastAsia" w:asciiTheme="minorEastAsia" w:hAnsiTheme="minorEastAsia" w:eastAsiaTheme="minorEastAsia" w:cstheme="minorEastAsia"/>
          <w:bCs/>
          <w:color w:val="auto"/>
          <w:sz w:val="32"/>
          <w:szCs w:val="32"/>
        </w:rPr>
        <w:t>项目预算为122.75万元，实际支出资金129.75万元，全部为编制费用，比原预算增加了7万元，增加的原因是增加了水府庙水库、靳江河的编制。</w:t>
      </w:r>
    </w:p>
    <w:p>
      <w:pPr>
        <w:pStyle w:val="17"/>
        <w:snapToGrid w:val="0"/>
        <w:spacing w:before="0" w:beforeAutospacing="0" w:after="0" w:afterAutospacing="0" w:line="560" w:lineRule="exact"/>
        <w:ind w:firstLine="640"/>
        <w:rPr>
          <w:rFonts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（二）项目效率性分析</w:t>
      </w:r>
    </w:p>
    <w:p>
      <w:pPr>
        <w:pStyle w:val="17"/>
        <w:snapToGrid w:val="0"/>
        <w:spacing w:before="0" w:beforeAutospacing="0" w:after="0" w:afterAutospacing="0" w:line="560" w:lineRule="exact"/>
        <w:ind w:firstLine="640"/>
        <w:rPr>
          <w:rFonts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一河（湖）一策”方案编制工作任务重，时间紧，通过加班加点工作，完成15条市级河流的“一河一策”实施方案的编制工作（育泉河、三湘河、石狮江东干流、肖家河、翻江河、城江河、余庄河、山湾河、岐潭河、水口河、石狮江西干流、菜石港、虞唐河、水府庙水库、靳江河），在通过上级部门审定后目前正在实施。乡级河流也已按上级要求全部整理出基础资料，并完成方案编制。</w:t>
      </w:r>
    </w:p>
    <w:p>
      <w:pPr>
        <w:pStyle w:val="18"/>
        <w:spacing w:before="0" w:beforeAutospacing="0" w:after="0" w:afterAutospacing="0"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（三）项目效益性分析</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通过项目的实施推动了对我市水功能区达标建设，提高了农村饮水达标率、促进了农村黑臭水体整治，有利于早日实现“水系完整、水量保障、水质良好、河流畅通、生物多样、岸线优美”的目标。</w:t>
      </w:r>
    </w:p>
    <w:p>
      <w:pPr>
        <w:pStyle w:val="17"/>
        <w:snapToGrid w:val="0"/>
        <w:spacing w:before="0" w:beforeAutospacing="0" w:after="0" w:afterAutospacing="0" w:line="560" w:lineRule="exact"/>
        <w:ind w:firstLine="627" w:firstLineChars="196"/>
        <w:rPr>
          <w:rFonts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t>五、综合评价情况及评价结论</w:t>
      </w:r>
    </w:p>
    <w:p>
      <w:pPr>
        <w:pStyle w:val="17"/>
        <w:snapToGrid w:val="0"/>
        <w:spacing w:before="0" w:beforeAutospacing="0" w:after="0" w:afterAutospacing="0" w:line="560" w:lineRule="exact"/>
        <w:ind w:firstLine="627" w:firstLineChars="196"/>
        <w:rPr>
          <w:rFonts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color w:val="auto"/>
          <w:sz w:val="32"/>
          <w:szCs w:val="32"/>
        </w:rPr>
        <w:t>为了搞好“一河一策”实施方案编制项目绩效评价，我们成立了绩效评价工作领导小组，由局长任组长，制定了工作方案，并召开了项目绩效评价专题会议，对相关人员进行了分工，为开展“一河一策”实施方案编制经费绩效评价提供了有力的保障。</w:t>
      </w:r>
    </w:p>
    <w:p>
      <w:pPr>
        <w:pStyle w:val="18"/>
        <w:spacing w:before="0" w:beforeAutospacing="0" w:after="0" w:afterAutospacing="0" w:line="560" w:lineRule="exact"/>
        <w:ind w:firstLine="800" w:firstLineChars="250"/>
        <w:rPr>
          <w:rFonts w:asciiTheme="minorEastAsia" w:hAnsiTheme="minorEastAsia" w:cstheme="minorEastAsia"/>
          <w:sz w:val="32"/>
          <w:szCs w:val="32"/>
        </w:rPr>
      </w:pPr>
      <w:r>
        <w:rPr>
          <w:rFonts w:hint="eastAsia" w:asciiTheme="minorEastAsia" w:hAnsiTheme="minorEastAsia" w:cstheme="minorEastAsia"/>
          <w:sz w:val="32"/>
          <w:szCs w:val="32"/>
        </w:rPr>
        <w:t>按照要求，我们收集了相关资料进行了复印，制定50份项目绩效调查问卷，进行调查，获得了最基础、最真实的第一手资料，确保项目绩效评价客观、真实。</w:t>
      </w:r>
    </w:p>
    <w:p>
      <w:pPr>
        <w:pStyle w:val="17"/>
        <w:snapToGrid w:val="0"/>
        <w:spacing w:before="0" w:beforeAutospacing="0" w:after="0" w:afterAutospacing="0" w:line="560" w:lineRule="exact"/>
        <w:ind w:firstLine="640"/>
        <w:rPr>
          <w:rFonts w:asciiTheme="minorEastAsia" w:hAnsiTheme="minorEastAsia" w:eastAsiaTheme="minorEastAsia" w:cstheme="minorEastAsia"/>
          <w:bCs/>
          <w:sz w:val="32"/>
          <w:szCs w:val="32"/>
        </w:rPr>
      </w:pPr>
      <w:r>
        <w:rPr>
          <w:rFonts w:hint="eastAsia" w:asciiTheme="minorEastAsia" w:hAnsiTheme="minorEastAsia" w:eastAsiaTheme="minorEastAsia" w:cstheme="minorEastAsia"/>
          <w:bCs/>
          <w:color w:val="auto"/>
          <w:sz w:val="32"/>
          <w:szCs w:val="32"/>
        </w:rPr>
        <w:t>通过绩效评价，我们认为2019年</w:t>
      </w:r>
      <w:r>
        <w:rPr>
          <w:rFonts w:hint="eastAsia" w:asciiTheme="minorEastAsia" w:hAnsiTheme="minorEastAsia" w:eastAsiaTheme="minorEastAsia" w:cstheme="minorEastAsia"/>
          <w:color w:val="auto"/>
          <w:sz w:val="32"/>
          <w:szCs w:val="32"/>
        </w:rPr>
        <w:t>“一河一策”实施方案编制工作</w:t>
      </w:r>
      <w:r>
        <w:rPr>
          <w:rFonts w:hint="eastAsia" w:asciiTheme="minorEastAsia" w:hAnsiTheme="minorEastAsia" w:eastAsiaTheme="minorEastAsia" w:cstheme="minorEastAsia"/>
          <w:bCs/>
          <w:color w:val="auto"/>
          <w:sz w:val="32"/>
          <w:szCs w:val="32"/>
        </w:rPr>
        <w:t>，在</w:t>
      </w:r>
      <w:r>
        <w:rPr>
          <w:rFonts w:hint="eastAsia" w:asciiTheme="minorEastAsia" w:hAnsiTheme="minorEastAsia" w:eastAsiaTheme="minorEastAsia" w:cstheme="minorEastAsia"/>
          <w:color w:val="auto"/>
          <w:sz w:val="32"/>
          <w:szCs w:val="32"/>
        </w:rPr>
        <w:t>河长制工作事务中心</w:t>
      </w:r>
      <w:r>
        <w:rPr>
          <w:rFonts w:hint="eastAsia" w:asciiTheme="minorEastAsia" w:hAnsiTheme="minorEastAsia" w:eastAsiaTheme="minorEastAsia" w:cstheme="minorEastAsia"/>
          <w:bCs/>
          <w:color w:val="auto"/>
          <w:sz w:val="32"/>
          <w:szCs w:val="32"/>
        </w:rPr>
        <w:t>全体工作人员的努力下，对</w:t>
      </w:r>
      <w:r>
        <w:rPr>
          <w:rFonts w:hint="eastAsia" w:asciiTheme="minorEastAsia" w:hAnsiTheme="minorEastAsia" w:eastAsiaTheme="minorEastAsia" w:cstheme="minorEastAsia"/>
          <w:color w:val="auto"/>
          <w:sz w:val="32"/>
          <w:szCs w:val="32"/>
        </w:rPr>
        <w:t>湘乡水利工作</w:t>
      </w:r>
      <w:r>
        <w:rPr>
          <w:rFonts w:hint="eastAsia" w:asciiTheme="minorEastAsia" w:hAnsiTheme="minorEastAsia" w:eastAsiaTheme="minorEastAsia" w:cstheme="minorEastAsia"/>
          <w:bCs/>
          <w:color w:val="auto"/>
          <w:sz w:val="32"/>
          <w:szCs w:val="32"/>
        </w:rPr>
        <w:t>起到了至关重要的作用，其经济社会效益明显，完全达到</w:t>
      </w:r>
      <w:r>
        <w:rPr>
          <w:rFonts w:hint="eastAsia" w:asciiTheme="minorEastAsia" w:hAnsiTheme="minorEastAsia" w:eastAsiaTheme="minorEastAsia" w:cstheme="minorEastAsia"/>
          <w:bCs/>
          <w:sz w:val="32"/>
          <w:szCs w:val="32"/>
        </w:rPr>
        <w:t>预期效果，经评价2019年</w:t>
      </w:r>
      <w:r>
        <w:rPr>
          <w:rFonts w:hint="eastAsia" w:asciiTheme="minorEastAsia" w:hAnsiTheme="minorEastAsia" w:eastAsiaTheme="minorEastAsia" w:cstheme="minorEastAsia"/>
          <w:sz w:val="32"/>
          <w:szCs w:val="32"/>
        </w:rPr>
        <w:t>“一河一策”实施方案编制工作</w:t>
      </w:r>
      <w:r>
        <w:rPr>
          <w:rFonts w:hint="eastAsia" w:asciiTheme="minorEastAsia" w:hAnsiTheme="minorEastAsia" w:eastAsiaTheme="minorEastAsia" w:cstheme="minorEastAsia"/>
          <w:bCs/>
          <w:sz w:val="32"/>
          <w:szCs w:val="32"/>
        </w:rPr>
        <w:t>绩效评价为优（100分）。</w:t>
      </w:r>
    </w:p>
    <w:p>
      <w:pPr>
        <w:pStyle w:val="17"/>
        <w:snapToGrid w:val="0"/>
        <w:spacing w:before="0" w:beforeAutospacing="0" w:after="0" w:afterAutospacing="0" w:line="560" w:lineRule="exact"/>
        <w:rPr>
          <w:rFonts w:asciiTheme="minorEastAsia" w:hAnsiTheme="minorEastAsia" w:eastAsiaTheme="minorEastAsia" w:cstheme="minorEastAsia"/>
          <w:bCs/>
          <w:sz w:val="32"/>
          <w:szCs w:val="32"/>
        </w:rPr>
      </w:pPr>
    </w:p>
    <w:p>
      <w:pPr>
        <w:spacing w:line="560" w:lineRule="exact"/>
        <w:ind w:firstLine="4800" w:firstLineChars="1500"/>
        <w:jc w:val="right"/>
        <w:rPr>
          <w:rFonts w:asciiTheme="minorEastAsia" w:hAnsiTheme="minorEastAsia" w:cstheme="minorEastAsia"/>
          <w:color w:val="000000"/>
          <w:kern w:val="0"/>
          <w:sz w:val="32"/>
          <w:szCs w:val="32"/>
        </w:rPr>
      </w:pPr>
      <w:r>
        <w:rPr>
          <w:rFonts w:hint="eastAsia" w:asciiTheme="minorEastAsia" w:hAnsiTheme="minorEastAsia" w:cstheme="minorEastAsia"/>
          <w:sz w:val="32"/>
          <w:szCs w:val="32"/>
        </w:rPr>
        <w:t xml:space="preserve">                           </w:t>
      </w:r>
    </w:p>
    <w:tbl>
      <w:tblPr>
        <w:tblStyle w:val="8"/>
        <w:tblW w:w="9435" w:type="dxa"/>
        <w:tblInd w:w="0" w:type="dxa"/>
        <w:tblLayout w:type="autofit"/>
        <w:tblCellMar>
          <w:top w:w="0" w:type="dxa"/>
          <w:left w:w="0" w:type="dxa"/>
          <w:bottom w:w="0" w:type="dxa"/>
          <w:right w:w="0" w:type="dxa"/>
        </w:tblCellMar>
      </w:tblPr>
      <w:tblGrid>
        <w:gridCol w:w="685"/>
        <w:gridCol w:w="1316"/>
        <w:gridCol w:w="1317"/>
        <w:gridCol w:w="698"/>
        <w:gridCol w:w="326"/>
        <w:gridCol w:w="754"/>
        <w:gridCol w:w="878"/>
        <w:gridCol w:w="371"/>
        <w:gridCol w:w="675"/>
        <w:gridCol w:w="630"/>
        <w:gridCol w:w="675"/>
        <w:gridCol w:w="1110"/>
      </w:tblGrid>
      <w:tr>
        <w:tblPrEx>
          <w:tblCellMar>
            <w:top w:w="0" w:type="dxa"/>
            <w:left w:w="0" w:type="dxa"/>
            <w:bottom w:w="0" w:type="dxa"/>
            <w:right w:w="0" w:type="dxa"/>
          </w:tblCellMar>
        </w:tblPrEx>
        <w:trPr>
          <w:trHeight w:val="1065" w:hRule="atLeast"/>
        </w:trPr>
        <w:tc>
          <w:tcPr>
            <w:tcW w:w="9436" w:type="dxa"/>
            <w:gridSpan w:val="12"/>
            <w:tcBorders>
              <w:top w:val="nil"/>
              <w:left w:val="nil"/>
              <w:bottom w:val="nil"/>
              <w:right w:val="nil"/>
            </w:tcBorders>
            <w:shd w:val="clear" w:color="auto" w:fill="auto"/>
            <w:tcMar>
              <w:top w:w="15" w:type="dxa"/>
              <w:left w:w="15" w:type="dxa"/>
              <w:right w:w="15" w:type="dxa"/>
            </w:tcMar>
            <w:vAlign w:val="bottom"/>
          </w:tcPr>
          <w:p>
            <w:pPr>
              <w:widowControl/>
              <w:jc w:val="center"/>
              <w:textAlignment w:val="bottom"/>
              <w:rPr>
                <w:rFonts w:ascii="黑体" w:hAnsi="宋体" w:eastAsia="黑体" w:cs="黑体"/>
                <w:b/>
                <w:color w:val="000000"/>
                <w:sz w:val="44"/>
                <w:szCs w:val="44"/>
              </w:rPr>
            </w:pPr>
            <w:r>
              <w:rPr>
                <w:rFonts w:hint="eastAsia" w:ascii="黑体" w:hAnsi="宋体" w:eastAsia="黑体" w:cs="黑体"/>
                <w:b/>
                <w:color w:val="000000"/>
                <w:kern w:val="0"/>
                <w:sz w:val="44"/>
                <w:szCs w:val="44"/>
                <w:lang w:bidi="ar"/>
              </w:rPr>
              <w:t>项目支出绩效目标申报表</w:t>
            </w:r>
            <w:r>
              <w:rPr>
                <w:rStyle w:val="19"/>
                <w:rFonts w:hint="default"/>
                <w:lang w:bidi="ar"/>
              </w:rPr>
              <w:br w:type="textWrapping"/>
            </w:r>
            <w:r>
              <w:rPr>
                <w:rStyle w:val="20"/>
                <w:rFonts w:hAnsi="宋体"/>
                <w:lang w:bidi="ar"/>
              </w:rPr>
              <w:t xml:space="preserve">（2019年度） </w:t>
            </w:r>
          </w:p>
        </w:tc>
      </w:tr>
      <w:tr>
        <w:tblPrEx>
          <w:tblCellMar>
            <w:top w:w="0" w:type="dxa"/>
            <w:left w:w="0" w:type="dxa"/>
            <w:bottom w:w="0" w:type="dxa"/>
            <w:right w:w="0" w:type="dxa"/>
          </w:tblCellMar>
        </w:tblPrEx>
        <w:trPr>
          <w:trHeight w:val="390" w:hRule="atLeast"/>
        </w:trPr>
        <w:tc>
          <w:tcPr>
            <w:tcW w:w="9436" w:type="dxa"/>
            <w:gridSpan w:val="12"/>
            <w:tcBorders>
              <w:top w:val="nil"/>
              <w:left w:val="nil"/>
              <w:bottom w:val="single" w:color="000000" w:sz="8" w:space="0"/>
              <w:right w:val="nil"/>
            </w:tcBorders>
            <w:shd w:val="clear" w:color="auto" w:fill="auto"/>
            <w:tcMar>
              <w:top w:w="15" w:type="dxa"/>
              <w:left w:w="15" w:type="dxa"/>
              <w:right w:w="15" w:type="dxa"/>
            </w:tcMar>
            <w:vAlign w:val="bottom"/>
          </w:tcPr>
          <w:p>
            <w:pPr>
              <w:widowControl/>
              <w:jc w:val="left"/>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填报单位（盖章）湘乡市水利局</w:t>
            </w:r>
          </w:p>
        </w:tc>
      </w:tr>
      <w:tr>
        <w:tblPrEx>
          <w:tblCellMar>
            <w:top w:w="0" w:type="dxa"/>
            <w:left w:w="0" w:type="dxa"/>
            <w:bottom w:w="0" w:type="dxa"/>
            <w:right w:w="0" w:type="dxa"/>
          </w:tblCellMar>
        </w:tblPrEx>
        <w:trPr>
          <w:trHeight w:val="438" w:hRule="atLeast"/>
        </w:trPr>
        <w:tc>
          <w:tcPr>
            <w:tcW w:w="686"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项目基本情况</w:t>
            </w:r>
          </w:p>
        </w:tc>
        <w:tc>
          <w:tcPr>
            <w:tcW w:w="1316"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项目名称</w:t>
            </w:r>
          </w:p>
        </w:tc>
        <w:tc>
          <w:tcPr>
            <w:tcW w:w="7434" w:type="dxa"/>
            <w:gridSpan w:val="10"/>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“一河一策” 实施方案编制经费</w:t>
            </w:r>
          </w:p>
        </w:tc>
      </w:tr>
      <w:tr>
        <w:tblPrEx>
          <w:tblCellMar>
            <w:top w:w="0" w:type="dxa"/>
            <w:left w:w="0" w:type="dxa"/>
            <w:bottom w:w="0" w:type="dxa"/>
            <w:right w:w="0" w:type="dxa"/>
          </w:tblCellMar>
        </w:tblPrEx>
        <w:trPr>
          <w:trHeight w:val="438" w:hRule="atLeast"/>
        </w:trPr>
        <w:tc>
          <w:tcPr>
            <w:tcW w:w="686"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项目属性</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新增项目 </w:t>
            </w:r>
            <w:r>
              <w:rPr>
                <w:rStyle w:val="21"/>
                <w:rFonts w:eastAsia="仿宋_GB2312"/>
                <w:lang w:bidi="ar"/>
              </w:rPr>
              <w:t>√</w:t>
            </w:r>
            <w:r>
              <w:rPr>
                <w:rStyle w:val="22"/>
                <w:rFonts w:hint="default" w:hAnsi="宋体"/>
                <w:lang w:bidi="ar"/>
              </w:rPr>
              <w:t xml:space="preserve">   延续项目 □ </w:t>
            </w:r>
          </w:p>
        </w:tc>
      </w:tr>
      <w:tr>
        <w:tblPrEx>
          <w:tblCellMar>
            <w:top w:w="0" w:type="dxa"/>
            <w:left w:w="0" w:type="dxa"/>
            <w:bottom w:w="0" w:type="dxa"/>
            <w:right w:w="0" w:type="dxa"/>
          </w:tblCellMar>
        </w:tblPrEx>
        <w:trPr>
          <w:trHeight w:val="438" w:hRule="atLeast"/>
        </w:trPr>
        <w:tc>
          <w:tcPr>
            <w:tcW w:w="686"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主管部门</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湘乡市水利局</w:t>
            </w:r>
          </w:p>
        </w:tc>
        <w:tc>
          <w:tcPr>
            <w:tcW w:w="200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项目起止时间</w:t>
            </w: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38" w:hRule="atLeast"/>
        </w:trPr>
        <w:tc>
          <w:tcPr>
            <w:tcW w:w="686"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项目负责人</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龙有良</w:t>
            </w:r>
          </w:p>
        </w:tc>
        <w:tc>
          <w:tcPr>
            <w:tcW w:w="200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联系电话</w:t>
            </w: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13973224101</w:t>
            </w:r>
          </w:p>
        </w:tc>
      </w:tr>
      <w:tr>
        <w:tblPrEx>
          <w:tblCellMar>
            <w:top w:w="0" w:type="dxa"/>
            <w:left w:w="0" w:type="dxa"/>
            <w:bottom w:w="0" w:type="dxa"/>
            <w:right w:w="0" w:type="dxa"/>
          </w:tblCellMar>
        </w:tblPrEx>
        <w:trPr>
          <w:trHeight w:val="885" w:hRule="atLeast"/>
        </w:trPr>
        <w:tc>
          <w:tcPr>
            <w:tcW w:w="686"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项目类型</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1.基本建设类 □    其中：新建 □    扩建  □    改建  □</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2.行政事业类 □    其中: 采购类□    修缮类□  奖励类  □ </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3.其他专项类 √ </w:t>
            </w:r>
          </w:p>
        </w:tc>
      </w:tr>
      <w:tr>
        <w:tblPrEx>
          <w:tblCellMar>
            <w:top w:w="0" w:type="dxa"/>
            <w:left w:w="0" w:type="dxa"/>
            <w:bottom w:w="0" w:type="dxa"/>
            <w:right w:w="0" w:type="dxa"/>
          </w:tblCellMar>
        </w:tblPrEx>
        <w:trPr>
          <w:trHeight w:val="1140" w:hRule="atLeast"/>
        </w:trPr>
        <w:tc>
          <w:tcPr>
            <w:tcW w:w="686"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项目概况</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对我市肖家河等13条市级河流进行“一河一策”编制</w:t>
            </w:r>
          </w:p>
        </w:tc>
      </w:tr>
      <w:tr>
        <w:tblPrEx>
          <w:tblCellMar>
            <w:top w:w="0" w:type="dxa"/>
            <w:left w:w="0" w:type="dxa"/>
            <w:bottom w:w="0" w:type="dxa"/>
            <w:right w:w="0" w:type="dxa"/>
          </w:tblCellMar>
        </w:tblPrEx>
        <w:trPr>
          <w:trHeight w:val="1425" w:hRule="atLeast"/>
        </w:trPr>
        <w:tc>
          <w:tcPr>
            <w:tcW w:w="686"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项目立项</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依据</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《湖南省全面推行河长制工作实施意见》</w:t>
            </w:r>
          </w:p>
        </w:tc>
      </w:tr>
      <w:tr>
        <w:tblPrEx>
          <w:tblCellMar>
            <w:top w:w="0" w:type="dxa"/>
            <w:left w:w="0" w:type="dxa"/>
            <w:bottom w:w="0" w:type="dxa"/>
            <w:right w:w="0" w:type="dxa"/>
          </w:tblCellMar>
        </w:tblPrEx>
        <w:trPr>
          <w:trHeight w:val="498" w:hRule="atLeast"/>
        </w:trPr>
        <w:tc>
          <w:tcPr>
            <w:tcW w:w="686"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项目资金情况</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项目资金申请（万元）</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 目</w:t>
            </w:r>
          </w:p>
        </w:tc>
        <w:tc>
          <w:tcPr>
            <w:tcW w:w="232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上年度安排资金</w:t>
            </w: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本年度申请资金</w:t>
            </w: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合 计</w:t>
            </w:r>
          </w:p>
        </w:tc>
        <w:tc>
          <w:tcPr>
            <w:tcW w:w="232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122.75万</w:t>
            </w: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市本级资金</w:t>
            </w:r>
          </w:p>
        </w:tc>
        <w:tc>
          <w:tcPr>
            <w:tcW w:w="232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122.75万</w:t>
            </w: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市级资金</w:t>
            </w:r>
          </w:p>
        </w:tc>
        <w:tc>
          <w:tcPr>
            <w:tcW w:w="232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省级资金</w:t>
            </w:r>
          </w:p>
        </w:tc>
        <w:tc>
          <w:tcPr>
            <w:tcW w:w="232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中央资金</w:t>
            </w:r>
          </w:p>
        </w:tc>
        <w:tc>
          <w:tcPr>
            <w:tcW w:w="232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自有资金</w:t>
            </w:r>
          </w:p>
        </w:tc>
        <w:tc>
          <w:tcPr>
            <w:tcW w:w="232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309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585"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支出明细预算（万元）</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 目</w:t>
            </w:r>
          </w:p>
        </w:tc>
        <w:tc>
          <w:tcPr>
            <w:tcW w:w="195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上年度安</w:t>
            </w:r>
            <w:r>
              <w:rPr>
                <w:rFonts w:hint="eastAsia" w:ascii="仿宋_GB2312" w:hAnsi="宋体" w:eastAsia="仿宋_GB2312" w:cs="仿宋_GB2312"/>
                <w:color w:val="000000"/>
                <w:kern w:val="0"/>
                <w:sz w:val="22"/>
                <w:lang w:bidi="ar"/>
              </w:rPr>
              <w:br w:type="textWrapping"/>
            </w:r>
            <w:r>
              <w:rPr>
                <w:rFonts w:hint="eastAsia" w:ascii="仿宋_GB2312" w:hAnsi="宋体" w:eastAsia="仿宋_GB2312" w:cs="仿宋_GB2312"/>
                <w:color w:val="000000"/>
                <w:kern w:val="0"/>
                <w:sz w:val="22"/>
                <w:lang w:bidi="ar"/>
              </w:rPr>
              <w:t>排资金</w:t>
            </w: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 xml:space="preserve"> 本年度</w:t>
            </w:r>
            <w:r>
              <w:rPr>
                <w:rFonts w:hint="eastAsia" w:ascii="仿宋_GB2312" w:hAnsi="宋体" w:eastAsia="仿宋_GB2312" w:cs="仿宋_GB2312"/>
                <w:color w:val="000000"/>
                <w:kern w:val="0"/>
                <w:sz w:val="22"/>
                <w:lang w:bidi="ar"/>
              </w:rPr>
              <w:br w:type="textWrapping"/>
            </w:r>
            <w:r>
              <w:rPr>
                <w:rFonts w:hint="eastAsia" w:ascii="仿宋_GB2312" w:hAnsi="宋体" w:eastAsia="仿宋_GB2312" w:cs="仿宋_GB2312"/>
                <w:color w:val="000000"/>
                <w:kern w:val="0"/>
                <w:sz w:val="22"/>
                <w:lang w:bidi="ar"/>
              </w:rPr>
              <w:t>申请资金</w:t>
            </w: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测算依据</w:t>
            </w:r>
            <w:r>
              <w:rPr>
                <w:rFonts w:hint="eastAsia" w:ascii="仿宋_GB2312" w:hAnsi="宋体" w:eastAsia="仿宋_GB2312" w:cs="仿宋_GB2312"/>
                <w:color w:val="000000"/>
                <w:kern w:val="0"/>
                <w:sz w:val="22"/>
                <w:lang w:bidi="ar"/>
              </w:rPr>
              <w:br w:type="textWrapping"/>
            </w:r>
            <w:r>
              <w:rPr>
                <w:rFonts w:hint="eastAsia" w:ascii="仿宋_GB2312" w:hAnsi="宋体" w:eastAsia="仿宋_GB2312" w:cs="仿宋_GB2312"/>
                <w:color w:val="000000"/>
                <w:kern w:val="0"/>
                <w:sz w:val="22"/>
                <w:lang w:bidi="ar"/>
              </w:rPr>
              <w:t>及说明</w:t>
            </w: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合 计</w:t>
            </w:r>
          </w:p>
        </w:tc>
        <w:tc>
          <w:tcPr>
            <w:tcW w:w="195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122.75万</w:t>
            </w: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1三湘河、育泉河、石狮江东干流编制经费</w:t>
            </w:r>
          </w:p>
        </w:tc>
        <w:tc>
          <w:tcPr>
            <w:tcW w:w="195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49万</w:t>
            </w: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2肖家河、余庄河等10条河流编制经费</w:t>
            </w:r>
          </w:p>
        </w:tc>
        <w:tc>
          <w:tcPr>
            <w:tcW w:w="195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73.75万</w:t>
            </w: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1320" w:hRule="atLeast"/>
        </w:trPr>
        <w:tc>
          <w:tcPr>
            <w:tcW w:w="2002"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单位已有的（或拟订的）保证项目实施的制度、措施</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1500" w:hRule="atLeast"/>
        </w:trPr>
        <w:tc>
          <w:tcPr>
            <w:tcW w:w="686"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绩效目标情况</w:t>
            </w: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项目年度绩效目标</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498"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项目年度</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绩效指标</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一级指标</w:t>
            </w:r>
          </w:p>
        </w:tc>
        <w:tc>
          <w:tcPr>
            <w:tcW w:w="177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二级指标</w:t>
            </w:r>
          </w:p>
        </w:tc>
        <w:tc>
          <w:tcPr>
            <w:tcW w:w="192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指标内容</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指标值</w:t>
            </w:r>
          </w:p>
        </w:tc>
        <w:tc>
          <w:tcPr>
            <w:tcW w:w="111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备注</w:t>
            </w: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产出指标</w:t>
            </w:r>
          </w:p>
        </w:tc>
        <w:tc>
          <w:tcPr>
            <w:tcW w:w="177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数量指标</w:t>
            </w:r>
          </w:p>
        </w:tc>
        <w:tc>
          <w:tcPr>
            <w:tcW w:w="19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编制“一河一策”</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w:t>
            </w:r>
          </w:p>
        </w:tc>
        <w:tc>
          <w:tcPr>
            <w:tcW w:w="0" w:type="auto"/>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质量指标</w:t>
            </w:r>
          </w:p>
        </w:tc>
        <w:tc>
          <w:tcPr>
            <w:tcW w:w="19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按“一河一策”方案编制实施到位</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40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时效指标</w:t>
            </w:r>
          </w:p>
        </w:tc>
        <w:tc>
          <w:tcPr>
            <w:tcW w:w="19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编制方案实施有效期3年</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40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519"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成本指标</w:t>
            </w:r>
          </w:p>
        </w:tc>
        <w:tc>
          <w:tcPr>
            <w:tcW w:w="192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三湘河、育泉河、石狮江东干流编制经费</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49万</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left"/>
              <w:rPr>
                <w:rFonts w:ascii="宋体" w:hAnsi="宋体" w:eastAsia="宋体" w:cs="宋体"/>
                <w:color w:val="000000"/>
                <w:sz w:val="24"/>
                <w:szCs w:val="24"/>
              </w:rPr>
            </w:pPr>
          </w:p>
        </w:tc>
      </w:tr>
      <w:tr>
        <w:tblPrEx>
          <w:tblCellMar>
            <w:top w:w="0" w:type="dxa"/>
            <w:left w:w="0" w:type="dxa"/>
            <w:bottom w:w="0" w:type="dxa"/>
            <w:right w:w="0" w:type="dxa"/>
          </w:tblCellMar>
        </w:tblPrEx>
        <w:trPr>
          <w:trHeight w:val="519"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92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肖家河、余庄河等10条河流编制经费</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73.75万</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left"/>
              <w:rPr>
                <w:rFonts w:ascii="宋体" w:hAnsi="宋体" w:eastAsia="宋体" w:cs="宋体"/>
                <w:color w:val="000000"/>
                <w:sz w:val="24"/>
                <w:szCs w:val="24"/>
              </w:rPr>
            </w:pPr>
          </w:p>
        </w:tc>
      </w:tr>
      <w:tr>
        <w:tblPrEx>
          <w:tblCellMar>
            <w:top w:w="0" w:type="dxa"/>
            <w:left w:w="0" w:type="dxa"/>
            <w:bottom w:w="0" w:type="dxa"/>
            <w:right w:w="0" w:type="dxa"/>
          </w:tblCellMar>
        </w:tblPrEx>
        <w:trPr>
          <w:trHeight w:val="620"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效益指标</w:t>
            </w:r>
          </w:p>
        </w:tc>
        <w:tc>
          <w:tcPr>
            <w:tcW w:w="177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经济效益</w:t>
            </w:r>
            <w:r>
              <w:rPr>
                <w:rFonts w:hint="eastAsia" w:ascii="仿宋_GB2312" w:hAnsi="宋体" w:eastAsia="仿宋_GB2312" w:cs="仿宋_GB2312"/>
                <w:color w:val="000000"/>
                <w:kern w:val="0"/>
                <w:sz w:val="22"/>
                <w:lang w:bidi="ar"/>
              </w:rPr>
              <w:br w:type="textWrapping"/>
            </w:r>
            <w:r>
              <w:rPr>
                <w:rFonts w:hint="eastAsia" w:ascii="仿宋_GB2312" w:hAnsi="宋体" w:eastAsia="仿宋_GB2312" w:cs="仿宋_GB2312"/>
                <w:color w:val="000000"/>
                <w:kern w:val="0"/>
                <w:sz w:val="22"/>
                <w:lang w:bidi="ar"/>
              </w:rPr>
              <w:t>指标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left"/>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社会效益</w:t>
            </w:r>
            <w:r>
              <w:rPr>
                <w:rFonts w:hint="eastAsia" w:ascii="仿宋_GB2312" w:hAnsi="宋体" w:eastAsia="仿宋_GB2312" w:cs="仿宋_GB2312"/>
                <w:color w:val="000000"/>
                <w:kern w:val="0"/>
                <w:sz w:val="22"/>
                <w:lang w:bidi="ar"/>
              </w:rPr>
              <w:br w:type="textWrapping"/>
            </w:r>
            <w:r>
              <w:rPr>
                <w:rFonts w:hint="eastAsia" w:ascii="仿宋_GB2312" w:hAnsi="宋体" w:eastAsia="仿宋_GB2312" w:cs="仿宋_GB2312"/>
                <w:color w:val="000000"/>
                <w:kern w:val="0"/>
                <w:sz w:val="22"/>
                <w:lang w:bidi="ar"/>
              </w:rPr>
              <w:t>指标</w:t>
            </w:r>
          </w:p>
        </w:tc>
        <w:tc>
          <w:tcPr>
            <w:tcW w:w="19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全面推行落实河长制</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2"/>
              </w:rPr>
            </w:pPr>
          </w:p>
        </w:tc>
        <w:tc>
          <w:tcPr>
            <w:tcW w:w="19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18"/>
                <w:szCs w:val="18"/>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生态效益</w:t>
            </w:r>
            <w:r>
              <w:rPr>
                <w:rFonts w:hint="eastAsia" w:ascii="仿宋_GB2312" w:hAnsi="宋体" w:eastAsia="仿宋_GB2312" w:cs="仿宋_GB2312"/>
                <w:color w:val="000000"/>
                <w:kern w:val="0"/>
                <w:sz w:val="22"/>
                <w:lang w:bidi="ar"/>
              </w:rPr>
              <w:br w:type="textWrapping"/>
            </w:r>
            <w:r>
              <w:rPr>
                <w:rFonts w:hint="eastAsia" w:ascii="仿宋_GB2312" w:hAnsi="宋体" w:eastAsia="仿宋_GB2312" w:cs="仿宋_GB2312"/>
                <w:color w:val="000000"/>
                <w:kern w:val="0"/>
                <w:sz w:val="22"/>
                <w:lang w:bidi="ar"/>
              </w:rPr>
              <w:t>指标</w:t>
            </w:r>
          </w:p>
        </w:tc>
        <w:tc>
          <w:tcPr>
            <w:tcW w:w="19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改善人与自然的关系</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2"/>
              </w:rPr>
            </w:pPr>
          </w:p>
        </w:tc>
        <w:tc>
          <w:tcPr>
            <w:tcW w:w="19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18"/>
                <w:szCs w:val="18"/>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lang w:bidi="ar"/>
              </w:rPr>
              <w:t>可持续影响指标</w:t>
            </w:r>
          </w:p>
        </w:tc>
        <w:tc>
          <w:tcPr>
            <w:tcW w:w="19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达到河湖水系永续利用</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2"/>
              </w:rPr>
            </w:pPr>
          </w:p>
        </w:tc>
        <w:tc>
          <w:tcPr>
            <w:tcW w:w="19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18"/>
                <w:szCs w:val="18"/>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r>
      <w:tr>
        <w:tblPrEx>
          <w:tblCellMar>
            <w:top w:w="0" w:type="dxa"/>
            <w:left w:w="0" w:type="dxa"/>
            <w:bottom w:w="0" w:type="dxa"/>
            <w:right w:w="0" w:type="dxa"/>
          </w:tblCellMar>
        </w:tblPrEx>
        <w:trPr>
          <w:trHeight w:val="840" w:hRule="atLeast"/>
        </w:trPr>
        <w:tc>
          <w:tcPr>
            <w:tcW w:w="686"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黑体" w:hAnsi="宋体" w:eastAsia="黑体" w:cs="黑体"/>
                <w:color w:val="000000"/>
                <w:sz w:val="24"/>
                <w:szCs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77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社会公众或服务对象满意度</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满意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left"/>
              <w:rPr>
                <w:rFonts w:ascii="宋体" w:hAnsi="宋体" w:eastAsia="宋体" w:cs="宋体"/>
                <w:color w:val="000000"/>
                <w:sz w:val="24"/>
                <w:szCs w:val="24"/>
              </w:rPr>
            </w:pPr>
          </w:p>
        </w:tc>
      </w:tr>
      <w:tr>
        <w:tblPrEx>
          <w:tblCellMar>
            <w:top w:w="0" w:type="dxa"/>
            <w:left w:w="0" w:type="dxa"/>
            <w:bottom w:w="0" w:type="dxa"/>
            <w:right w:w="0" w:type="dxa"/>
          </w:tblCellMar>
        </w:tblPrEx>
        <w:trPr>
          <w:trHeight w:val="1605" w:hRule="atLeast"/>
        </w:trPr>
        <w:tc>
          <w:tcPr>
            <w:tcW w:w="2002"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归口股室</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605" w:hRule="atLeast"/>
        </w:trPr>
        <w:tc>
          <w:tcPr>
            <w:tcW w:w="2002" w:type="dxa"/>
            <w:gridSpan w:val="2"/>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绩效管理股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434"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r>
        <w:tblPrEx>
          <w:tblCellMar>
            <w:top w:w="0" w:type="dxa"/>
            <w:left w:w="0" w:type="dxa"/>
            <w:bottom w:w="0" w:type="dxa"/>
            <w:right w:w="0" w:type="dxa"/>
          </w:tblCellMar>
        </w:tblPrEx>
        <w:trPr>
          <w:trHeight w:val="1710" w:hRule="atLeast"/>
        </w:trPr>
        <w:tc>
          <w:tcPr>
            <w:tcW w:w="2002" w:type="dxa"/>
            <w:gridSpan w:val="2"/>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财政部门</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预算股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审核意见</w:t>
            </w:r>
          </w:p>
        </w:tc>
        <w:tc>
          <w:tcPr>
            <w:tcW w:w="7434" w:type="dxa"/>
            <w:gridSpan w:val="10"/>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bottom"/>
          </w:tcPr>
          <w:p>
            <w:pPr>
              <w:widowControl/>
              <w:jc w:val="center"/>
              <w:textAlignment w:val="bottom"/>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 xml:space="preserve">                                          （盖章）</w:t>
            </w:r>
            <w:r>
              <w:rPr>
                <w:rFonts w:hint="eastAsia" w:ascii="仿宋_GB2312" w:hAnsi="宋体" w:eastAsia="仿宋_GB2312" w:cs="仿宋_GB2312"/>
                <w:color w:val="000000"/>
                <w:kern w:val="0"/>
                <w:sz w:val="24"/>
                <w:szCs w:val="24"/>
                <w:lang w:bidi="ar"/>
              </w:rPr>
              <w:br w:type="textWrapping"/>
            </w:r>
            <w:r>
              <w:rPr>
                <w:rFonts w:hint="eastAsia" w:ascii="仿宋_GB2312" w:hAnsi="宋体" w:eastAsia="仿宋_GB2312" w:cs="仿宋_GB2312"/>
                <w:color w:val="000000"/>
                <w:kern w:val="0"/>
                <w:sz w:val="24"/>
                <w:szCs w:val="24"/>
                <w:lang w:bidi="ar"/>
              </w:rPr>
              <w:t xml:space="preserve">                                           年    月    日    </w:t>
            </w:r>
          </w:p>
        </w:tc>
      </w:tr>
    </w:tbl>
    <w:p>
      <w:pPr>
        <w:pStyle w:val="2"/>
        <w:ind w:firstLine="640"/>
        <w:rPr>
          <w:rFonts w:asciiTheme="minorEastAsia" w:hAnsiTheme="minorEastAsia" w:eastAsiaTheme="minorEastAsia" w:cstheme="minorEastAsia"/>
          <w:color w:val="000000"/>
          <w:kern w:val="0"/>
          <w:sz w:val="32"/>
          <w:szCs w:val="32"/>
        </w:rPr>
      </w:pPr>
    </w:p>
    <w:p>
      <w:pPr>
        <w:pStyle w:val="2"/>
        <w:ind w:firstLine="640"/>
        <w:rPr>
          <w:rFonts w:asciiTheme="minorEastAsia" w:hAnsiTheme="minorEastAsia" w:eastAsiaTheme="minorEastAsia" w:cs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AC8CB0"/>
    <w:multiLevelType w:val="singleLevel"/>
    <w:tmpl w:val="91AC8CB0"/>
    <w:lvl w:ilvl="0" w:tentative="0">
      <w:start w:val="2"/>
      <w:numFmt w:val="decimal"/>
      <w:suff w:val="nothing"/>
      <w:lvlText w:val="%1、"/>
      <w:lvlJc w:val="left"/>
    </w:lvl>
  </w:abstractNum>
  <w:abstractNum w:abstractNumId="1">
    <w:nsid w:val="C10E4B37"/>
    <w:multiLevelType w:val="singleLevel"/>
    <w:tmpl w:val="C10E4B37"/>
    <w:lvl w:ilvl="0" w:tentative="0">
      <w:start w:val="1"/>
      <w:numFmt w:val="chineseCounting"/>
      <w:suff w:val="nothing"/>
      <w:lvlText w:val="（%1）"/>
      <w:lvlJc w:val="left"/>
      <w:rPr>
        <w:rFonts w:hint="eastAsia"/>
      </w:rPr>
    </w:lvl>
  </w:abstractNum>
  <w:abstractNum w:abstractNumId="2">
    <w:nsid w:val="0EB24094"/>
    <w:multiLevelType w:val="singleLevel"/>
    <w:tmpl w:val="0EB24094"/>
    <w:lvl w:ilvl="0" w:tentative="0">
      <w:start w:val="2"/>
      <w:numFmt w:val="chineseCounting"/>
      <w:suff w:val="nothing"/>
      <w:lvlText w:val="（%1）"/>
      <w:lvlJc w:val="left"/>
      <w:rPr>
        <w:rFonts w:hint="eastAsia"/>
      </w:rPr>
    </w:lvl>
  </w:abstractNum>
  <w:abstractNum w:abstractNumId="3">
    <w:nsid w:val="17C4874B"/>
    <w:multiLevelType w:val="singleLevel"/>
    <w:tmpl w:val="17C4874B"/>
    <w:lvl w:ilvl="0" w:tentative="0">
      <w:start w:val="2"/>
      <w:numFmt w:val="chineseCounting"/>
      <w:suff w:val="nothing"/>
      <w:lvlText w:val="%1、"/>
      <w:lvlJc w:val="left"/>
      <w:rPr>
        <w:rFonts w:hint="eastAsia"/>
      </w:rPr>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5AB3C5D"/>
    <w:multiLevelType w:val="singleLevel"/>
    <w:tmpl w:val="55AB3C5D"/>
    <w:lvl w:ilvl="0" w:tentative="0">
      <w:start w:val="1"/>
      <w:numFmt w:val="chineseCounting"/>
      <w:suff w:val="nothing"/>
      <w:lvlText w:val="%1、"/>
      <w:lvlJc w:val="left"/>
      <w:rPr>
        <w:rFonts w:hint="eastAsia"/>
      </w:rPr>
    </w:lvl>
  </w:abstractNum>
  <w:num w:numId="1">
    <w:abstractNumId w:val="4"/>
  </w:num>
  <w:num w:numId="2">
    <w:abstractNumId w:val="5"/>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ZTI1OTQxNDA3MzIzMDUxNzljZWY4OTVjM2ZiZTUifQ=="/>
  </w:docVars>
  <w:rsids>
    <w:rsidRoot w:val="00172A27"/>
    <w:rsid w:val="0002229B"/>
    <w:rsid w:val="000273BD"/>
    <w:rsid w:val="000415B7"/>
    <w:rsid w:val="000658A3"/>
    <w:rsid w:val="00074155"/>
    <w:rsid w:val="000A3F69"/>
    <w:rsid w:val="00152C6D"/>
    <w:rsid w:val="00162D39"/>
    <w:rsid w:val="00172A27"/>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35486"/>
    <w:rsid w:val="00651EEC"/>
    <w:rsid w:val="00652792"/>
    <w:rsid w:val="006A351B"/>
    <w:rsid w:val="006B0422"/>
    <w:rsid w:val="006C1B53"/>
    <w:rsid w:val="006D7730"/>
    <w:rsid w:val="006E5284"/>
    <w:rsid w:val="006F3EB5"/>
    <w:rsid w:val="00702E34"/>
    <w:rsid w:val="00704395"/>
    <w:rsid w:val="00720FF1"/>
    <w:rsid w:val="007624FD"/>
    <w:rsid w:val="00812ED5"/>
    <w:rsid w:val="008277D9"/>
    <w:rsid w:val="008A3E8D"/>
    <w:rsid w:val="009237C4"/>
    <w:rsid w:val="00950252"/>
    <w:rsid w:val="00967F5D"/>
    <w:rsid w:val="009A0F95"/>
    <w:rsid w:val="009A523B"/>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11A6422"/>
    <w:rsid w:val="02782CB5"/>
    <w:rsid w:val="04E06CD6"/>
    <w:rsid w:val="07F653EC"/>
    <w:rsid w:val="0AD5313B"/>
    <w:rsid w:val="0B1B1568"/>
    <w:rsid w:val="0BB31D1D"/>
    <w:rsid w:val="0F321CFE"/>
    <w:rsid w:val="132B107F"/>
    <w:rsid w:val="161A77EE"/>
    <w:rsid w:val="16425978"/>
    <w:rsid w:val="16C169B4"/>
    <w:rsid w:val="175E53F6"/>
    <w:rsid w:val="18075583"/>
    <w:rsid w:val="19F575F3"/>
    <w:rsid w:val="1A061CCF"/>
    <w:rsid w:val="1E185298"/>
    <w:rsid w:val="1EA60844"/>
    <w:rsid w:val="204154EA"/>
    <w:rsid w:val="229576EB"/>
    <w:rsid w:val="28A90429"/>
    <w:rsid w:val="2A092A35"/>
    <w:rsid w:val="2A746951"/>
    <w:rsid w:val="2AE51845"/>
    <w:rsid w:val="2AF74033"/>
    <w:rsid w:val="2B2904D5"/>
    <w:rsid w:val="2DB91AF1"/>
    <w:rsid w:val="30013465"/>
    <w:rsid w:val="31192596"/>
    <w:rsid w:val="31F1177A"/>
    <w:rsid w:val="35710BE9"/>
    <w:rsid w:val="35F42CC6"/>
    <w:rsid w:val="36EE2957"/>
    <w:rsid w:val="36F437AC"/>
    <w:rsid w:val="37BC547E"/>
    <w:rsid w:val="397564E3"/>
    <w:rsid w:val="3A897053"/>
    <w:rsid w:val="3C046891"/>
    <w:rsid w:val="42A54A70"/>
    <w:rsid w:val="44BC454A"/>
    <w:rsid w:val="460F24C8"/>
    <w:rsid w:val="467145E3"/>
    <w:rsid w:val="498F79AF"/>
    <w:rsid w:val="4FB212C7"/>
    <w:rsid w:val="50406269"/>
    <w:rsid w:val="54A5646A"/>
    <w:rsid w:val="57497B0C"/>
    <w:rsid w:val="578F446D"/>
    <w:rsid w:val="58366BF2"/>
    <w:rsid w:val="583952B0"/>
    <w:rsid w:val="5A7D2413"/>
    <w:rsid w:val="5B071C83"/>
    <w:rsid w:val="5D1C1D84"/>
    <w:rsid w:val="5FE663C8"/>
    <w:rsid w:val="61371C81"/>
    <w:rsid w:val="629E56A1"/>
    <w:rsid w:val="634B02AC"/>
    <w:rsid w:val="650360CC"/>
    <w:rsid w:val="66BE289D"/>
    <w:rsid w:val="693B5441"/>
    <w:rsid w:val="699E1475"/>
    <w:rsid w:val="69B90A8D"/>
    <w:rsid w:val="6BB74C53"/>
    <w:rsid w:val="6C037F1C"/>
    <w:rsid w:val="6F6A6B7C"/>
    <w:rsid w:val="706D3CD6"/>
    <w:rsid w:val="716F5359"/>
    <w:rsid w:val="737B0090"/>
    <w:rsid w:val="744B69A3"/>
    <w:rsid w:val="7471672B"/>
    <w:rsid w:val="76B74E2B"/>
    <w:rsid w:val="77602476"/>
    <w:rsid w:val="79A55DA2"/>
    <w:rsid w:val="7A576EBA"/>
    <w:rsid w:val="7C886331"/>
    <w:rsid w:val="7CCE2DD3"/>
    <w:rsid w:val="7DF12955"/>
    <w:rsid w:val="7FDE3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unhideWhenUsed/>
    <w:qFormat/>
    <w:uiPriority w:val="99"/>
    <w:pPr>
      <w:tabs>
        <w:tab w:val="left" w:pos="0"/>
        <w:tab w:val="left" w:pos="7920"/>
      </w:tabs>
      <w:ind w:firstLine="420" w:firstLineChars="200"/>
    </w:pPr>
  </w:style>
  <w:style w:type="paragraph" w:styleId="3">
    <w:name w:val="Body Text Indent"/>
    <w:basedOn w:val="1"/>
    <w:qFormat/>
    <w:uiPriority w:val="0"/>
    <w:pPr>
      <w:ind w:firstLine="720" w:firstLineChars="225"/>
    </w:pPr>
    <w:rPr>
      <w:rFonts w:eastAsia="仿宋_GB2312"/>
    </w:rPr>
  </w:style>
  <w:style w:type="paragraph" w:styleId="4">
    <w:name w:val="Body Text"/>
    <w:basedOn w:val="1"/>
    <w:qFormat/>
    <w:uiPriority w:val="0"/>
    <w:pPr>
      <w:spacing w:after="120"/>
    </w:p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 w:type="character" w:customStyle="1" w:styleId="15">
    <w:name w:val="font91"/>
    <w:basedOn w:val="9"/>
    <w:qFormat/>
    <w:uiPriority w:val="0"/>
    <w:rPr>
      <w:rFonts w:hint="eastAsia" w:ascii="宋体" w:hAnsi="宋体" w:eastAsia="宋体" w:cs="宋体"/>
      <w:b/>
      <w:color w:val="000000"/>
      <w:sz w:val="44"/>
      <w:szCs w:val="44"/>
      <w:u w:val="none"/>
    </w:rPr>
  </w:style>
  <w:style w:type="character" w:customStyle="1" w:styleId="16">
    <w:name w:val="font112"/>
    <w:basedOn w:val="9"/>
    <w:qFormat/>
    <w:uiPriority w:val="0"/>
    <w:rPr>
      <w:rFonts w:ascii="楷体_GB2312" w:eastAsia="楷体_GB2312" w:cs="楷体_GB2312"/>
      <w:b/>
      <w:color w:val="000000"/>
      <w:sz w:val="36"/>
      <w:szCs w:val="36"/>
      <w:u w:val="none"/>
    </w:rPr>
  </w:style>
  <w:style w:type="paragraph" w:customStyle="1" w:styleId="17">
    <w:name w:val="p18"/>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18">
    <w:name w:val="custom_unionstyle"/>
    <w:basedOn w:val="1"/>
    <w:qFormat/>
    <w:uiPriority w:val="0"/>
    <w:pPr>
      <w:widowControl/>
      <w:adjustRightInd w:val="0"/>
      <w:spacing w:before="100" w:beforeAutospacing="1" w:after="100" w:afterAutospacing="1" w:line="360" w:lineRule="atLeast"/>
      <w:jc w:val="left"/>
    </w:pPr>
    <w:rPr>
      <w:rFonts w:ascii="宋体" w:hAnsi="宋体" w:cs="宋体"/>
      <w:kern w:val="0"/>
      <w:sz w:val="24"/>
      <w:szCs w:val="24"/>
    </w:rPr>
  </w:style>
  <w:style w:type="character" w:customStyle="1" w:styleId="19">
    <w:name w:val="font51"/>
    <w:basedOn w:val="9"/>
    <w:qFormat/>
    <w:uiPriority w:val="0"/>
    <w:rPr>
      <w:rFonts w:hint="eastAsia" w:ascii="宋体" w:hAnsi="宋体" w:eastAsia="宋体" w:cs="宋体"/>
      <w:b/>
      <w:color w:val="000000"/>
      <w:sz w:val="44"/>
      <w:szCs w:val="44"/>
      <w:u w:val="none"/>
    </w:rPr>
  </w:style>
  <w:style w:type="character" w:customStyle="1" w:styleId="20">
    <w:name w:val="font101"/>
    <w:basedOn w:val="9"/>
    <w:qFormat/>
    <w:uiPriority w:val="0"/>
    <w:rPr>
      <w:rFonts w:ascii="楷体_GB2312" w:eastAsia="楷体_GB2312" w:cs="楷体_GB2312"/>
      <w:b/>
      <w:color w:val="000000"/>
      <w:sz w:val="28"/>
      <w:szCs w:val="28"/>
      <w:u w:val="none"/>
    </w:rPr>
  </w:style>
  <w:style w:type="character" w:customStyle="1" w:styleId="21">
    <w:name w:val="font111"/>
    <w:basedOn w:val="9"/>
    <w:qFormat/>
    <w:uiPriority w:val="0"/>
    <w:rPr>
      <w:rFonts w:ascii="Arial" w:hAnsi="Arial" w:cs="Arial"/>
      <w:color w:val="000000"/>
      <w:sz w:val="24"/>
      <w:szCs w:val="24"/>
      <w:u w:val="none"/>
    </w:rPr>
  </w:style>
  <w:style w:type="character" w:customStyle="1" w:styleId="22">
    <w:name w:val="font21"/>
    <w:basedOn w:val="9"/>
    <w:qFormat/>
    <w:uiPriority w:val="0"/>
    <w:rPr>
      <w:rFonts w:hint="eastAsia" w:ascii="仿宋_GB2312" w:eastAsia="仿宋_GB2312" w:cs="仿宋_GB2312"/>
      <w:color w:val="000000"/>
      <w:sz w:val="24"/>
      <w:szCs w:val="24"/>
      <w:u w:val="none"/>
    </w:rPr>
  </w:style>
  <w:style w:type="paragraph" w:customStyle="1" w:styleId="23">
    <w:name w:val="样式1"/>
    <w:basedOn w:val="1"/>
    <w:qFormat/>
    <w:uiPriority w:val="0"/>
    <w:rPr>
      <w:rFonts w:ascii="宋体" w:hAnsi="宋体"/>
      <w:sz w:val="28"/>
      <w:szCs w:val="28"/>
    </w:rPr>
  </w:style>
  <w:style w:type="character" w:customStyle="1" w:styleId="24">
    <w:name w:val="font81"/>
    <w:basedOn w:val="9"/>
    <w:uiPriority w:val="0"/>
    <w:rPr>
      <w:rFonts w:hint="eastAsia" w:ascii="宋体" w:hAnsi="宋体" w:eastAsia="宋体" w:cs="宋体"/>
      <w:b/>
      <w:color w:val="000000"/>
      <w:sz w:val="44"/>
      <w:szCs w:val="44"/>
      <w:u w:val="none"/>
    </w:rPr>
  </w:style>
  <w:style w:type="character" w:customStyle="1" w:styleId="25">
    <w:name w:val="font131"/>
    <w:basedOn w:val="9"/>
    <w:qFormat/>
    <w:uiPriority w:val="0"/>
    <w:rPr>
      <w:rFonts w:ascii="楷体_GB2312" w:eastAsia="楷体_GB2312" w:cs="楷体_GB2312"/>
      <w:b/>
      <w:color w:val="000000"/>
      <w:sz w:val="36"/>
      <w:szCs w:val="36"/>
      <w:u w:val="none"/>
    </w:rPr>
  </w:style>
  <w:style w:type="character" w:customStyle="1" w:styleId="26">
    <w:name w:val="font142"/>
    <w:basedOn w:val="9"/>
    <w:uiPriority w:val="0"/>
    <w:rPr>
      <w:rFonts w:hint="eastAsia" w:ascii="宋体" w:hAnsi="宋体" w:eastAsia="宋体" w:cs="宋体"/>
      <w:b/>
      <w:color w:val="000000"/>
      <w:sz w:val="30"/>
      <w:szCs w:val="3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8DE156-583C-4834-84C2-53EE8D05767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5138</Words>
  <Characters>29292</Characters>
  <Lines>244</Lines>
  <Paragraphs>68</Paragraphs>
  <TotalTime>5</TotalTime>
  <ScaleCrop>false</ScaleCrop>
  <LinksUpToDate>false</LinksUpToDate>
  <CharactersWithSpaces>34362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WPS_1687165778</cp:lastModifiedBy>
  <cp:lastPrinted>2020-07-15T07:25:00Z</cp:lastPrinted>
  <dcterms:modified xsi:type="dcterms:W3CDTF">2024-11-14T03:08:51Z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21CCEBCE5B9246D29523A8545943753C</vt:lpwstr>
  </property>
</Properties>
</file>