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44"/>
          <w:szCs w:val="44"/>
        </w:rPr>
      </w:pPr>
      <w:r>
        <w:rPr>
          <w:rFonts w:hint="eastAsia" w:asciiTheme="majorEastAsia" w:hAnsiTheme="majorEastAsia" w:eastAsiaTheme="majorEastAsia" w:cstheme="majorEastAsia"/>
          <w:b/>
          <w:bCs/>
          <w:sz w:val="36"/>
          <w:szCs w:val="36"/>
        </w:rPr>
        <w:t>再生稻头季低碾压高留茬机械化收获技术</w:t>
      </w:r>
    </w:p>
    <w:p>
      <w:pPr>
        <w:jc w:val="center"/>
        <w:rPr>
          <w:rFonts w:ascii="方正小标宋简体" w:hAnsi="方正小标宋简体" w:eastAsia="方正小标宋简体" w:cs="方正小标宋简体"/>
          <w:sz w:val="32"/>
          <w:szCs w:val="32"/>
        </w:rPr>
      </w:pPr>
      <w:r>
        <w:rPr>
          <w:rFonts w:hint="eastAsia" w:ascii="仿宋_GB2312" w:eastAsia="仿宋_GB2312"/>
          <w:kern w:val="0"/>
          <w:sz w:val="32"/>
          <w:szCs w:val="32"/>
          <w:shd w:val="clear" w:color="auto" w:fill="FFFFFF"/>
        </w:rPr>
        <w:t>湘乡市</w:t>
      </w:r>
      <w:r>
        <w:rPr>
          <w:rFonts w:hint="eastAsia" w:ascii="仿宋_GB2312" w:eastAsia="仿宋_GB2312"/>
          <w:kern w:val="0"/>
          <w:sz w:val="32"/>
          <w:szCs w:val="32"/>
          <w:shd w:val="clear" w:color="auto" w:fill="FFFFFF"/>
          <w:lang w:eastAsia="zh-CN"/>
        </w:rPr>
        <w:t>农业农村局编印</w:t>
      </w:r>
      <w:r>
        <w:rPr>
          <w:rFonts w:hint="eastAsia" w:ascii="仿宋_GB2312" w:eastAsia="仿宋_GB2312"/>
          <w:kern w:val="0"/>
          <w:sz w:val="32"/>
          <w:szCs w:val="32"/>
          <w:shd w:val="clear" w:color="auto" w:fill="FFFFFF"/>
        </w:rPr>
        <w:t xml:space="preserve"> </w:t>
      </w:r>
    </w:p>
    <w:p>
      <w:pPr>
        <w:adjustRightInd w:val="0"/>
        <w:snapToGrid w:val="0"/>
        <w:spacing w:line="560" w:lineRule="exact"/>
        <w:ind w:firstLine="640" w:firstLineChars="200"/>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一、技术概述</w:t>
      </w:r>
      <w:bookmarkStart w:id="0" w:name="_GoBack"/>
      <w:bookmarkEnd w:id="0"/>
    </w:p>
    <w:p>
      <w:pPr>
        <w:snapToGrid w:val="0"/>
        <w:spacing w:line="560" w:lineRule="exact"/>
        <w:ind w:firstLine="643"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
          <w:color w:val="000000" w:themeColor="text1"/>
          <w:sz w:val="32"/>
          <w:szCs w:val="32"/>
        </w:rPr>
        <w:t>（一）技术基本情况。</w:t>
      </w:r>
      <w:r>
        <w:rPr>
          <w:rFonts w:hint="eastAsia" w:ascii="仿宋_GB2312" w:hAnsi="仿宋_GB2312" w:eastAsia="仿宋_GB2312" w:cs="仿宋_GB2312"/>
          <w:bCs/>
          <w:color w:val="000000" w:themeColor="text1"/>
          <w:sz w:val="32"/>
          <w:szCs w:val="32"/>
        </w:rPr>
        <w:t>再生稻是通过采用特有栽培管理措施使收获后的稻茬萌发生长成穗再次收获的一种水稻种植模式，具有一种两收、省工省种、充分利用光温资源、增粮增收和提升稻米品质等优点，对提高我国粮食总产量，保障国家粮食安全具有重要意义。其种植成本低、效益高，在我国长江中下游适宜地区种植推广发展广泛。</w:t>
      </w:r>
    </w:p>
    <w:p>
      <w:pPr>
        <w:snapToGrid w:val="0"/>
        <w:spacing w:line="56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为提高再生季产量，传统再生稻头季均依靠人工收获。该方式显著优势在于对头季稻桩基本无碾压，易于实现高留茬，保证了再生季的分蘖萌发成穗率和结实率，因此再生季产量高，但劳动强度大，劳动力投入成本高。目前我国劳动力短缺与生产规模扩大的矛盾越来越严重，对低碾压率、低碾压程度的再生稻机械化收获技术与装备需求强烈。</w:t>
      </w:r>
    </w:p>
    <w:p>
      <w:pPr>
        <w:snapToGrid w:val="0"/>
        <w:spacing w:line="56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为促进再生季穗头萌发，头季机械收获时需满足农艺要求保留一定的割茬高度。常规收获机收获头季再生稻对稻桩碾压破坏面积较大，严重影响再生稻的再生季产量，主要技术瓶颈如下：</w:t>
      </w:r>
    </w:p>
    <w:p>
      <w:pPr>
        <w:snapToGrid w:val="0"/>
        <w:spacing w:line="56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1.再生稻头季收获多在8月上中旬，由于天气炎热多雨以及晒田时间不够等，田间排水不畅致使田面湿烂，对收获机底盘通过性能要求高。</w:t>
      </w:r>
    </w:p>
    <w:p>
      <w:pPr>
        <w:snapToGrid w:val="0"/>
        <w:spacing w:line="56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2.再生稻头季在90%谷物黄熟时为最佳收获时间，此时茎秆仍为绿色，含水率较高。同时再生稻再生能力强，其茎秆粗壮，要求收割、输送、脱粒机清选效果良好，并且能够适应机器作业负荷大、茎秆易缠绕的复杂作业条件。</w:t>
      </w:r>
    </w:p>
    <w:p>
      <w:pPr>
        <w:snapToGrid w:val="0"/>
        <w:spacing w:line="56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3.常规收获机工作时将水稻茎秆、叶片等杂余排到田间，若茎秆未经粉碎且无序抛撒覆盖在稻茬上部，对稻桩残留的功能叶形成遮蔽而影响再生穗头萌发。为此，再生稻头季机收时茎秆需粉碎且尽量避免覆盖留茬。</w:t>
      </w:r>
    </w:p>
    <w:p>
      <w:pPr>
        <w:snapToGrid w:val="0"/>
        <w:spacing w:line="56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4.收获机械行走部件对留茬碾压的轻重程度决定碾压稻桩的萌发效果，稻桩的破坏程度较小时，仍可以二次生长，但再生季生育期将推迟，减小碾压面积及碾压次数、碾压强度可直接提高再生季产量。</w:t>
      </w:r>
    </w:p>
    <w:p>
      <w:pPr>
        <w:snapToGrid w:val="0"/>
        <w:spacing w:line="56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综上所述，保障再生季产量是再生稻绿色高产高效生产的关键，开发推广低碾率高效收获技术是解决再生稻种植区生产效益的重要举措。</w:t>
      </w:r>
    </w:p>
    <w:p>
      <w:pPr>
        <w:snapToGrid w:val="0"/>
        <w:spacing w:line="56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针对以上再生稻生产存在的关键问题，农业农村部农业机械化总站组织科研、推广、制造等单位充分发挥再生稻种植农艺技术和机械化装备等优势，系统集成了路径规划、秸秆处理、留茬处理、同步施肥等关键技术，有效降低了再生稻头季收获碾压程度、提高了再生季产量，解决了再生稻区产量低、效益不高的难题，为再生稻机械化作业开拓一条新的技术路线。</w:t>
      </w:r>
    </w:p>
    <w:p>
      <w:pPr>
        <w:snapToGrid w:val="0"/>
        <w:spacing w:line="560" w:lineRule="exact"/>
        <w:ind w:firstLine="64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
          <w:color w:val="000000" w:themeColor="text1"/>
          <w:sz w:val="32"/>
          <w:szCs w:val="32"/>
        </w:rPr>
        <w:t>（二）技术示范推广情况。</w:t>
      </w:r>
      <w:r>
        <w:rPr>
          <w:rFonts w:hint="eastAsia" w:ascii="仿宋_GB2312" w:hAnsi="仿宋_GB2312" w:eastAsia="仿宋_GB2312" w:cs="仿宋_GB2312"/>
          <w:bCs/>
          <w:color w:val="000000" w:themeColor="text1"/>
          <w:sz w:val="32"/>
          <w:szCs w:val="32"/>
        </w:rPr>
        <w:t>该技术自2018年开始在湖南、湖北再生稻区试验示范推广，累计示范推广面积万亩以上。目前已在再生稻区的湖南省浏阳、祁阳、汨罗，湖北省孝感、洪湖，河南省信阳等地区开展了试验示范推广，较好的解决了制约以上再生稻区机械化作业的问题，取得了良好的试验示范效果。</w:t>
      </w:r>
    </w:p>
    <w:p>
      <w:pPr>
        <w:snapToGrid w:val="0"/>
        <w:spacing w:line="560" w:lineRule="exact"/>
        <w:ind w:firstLine="64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
          <w:color w:val="000000" w:themeColor="text1"/>
          <w:sz w:val="32"/>
          <w:szCs w:val="32"/>
        </w:rPr>
        <w:t>（三）提质增效情况。</w:t>
      </w:r>
      <w:r>
        <w:rPr>
          <w:rFonts w:hint="eastAsia" w:ascii="仿宋_GB2312" w:hAnsi="仿宋_GB2312" w:eastAsia="仿宋_GB2312" w:cs="仿宋_GB2312"/>
          <w:bCs/>
          <w:color w:val="000000" w:themeColor="text1"/>
          <w:sz w:val="32"/>
          <w:szCs w:val="32"/>
        </w:rPr>
        <w:t>试验示范结果表明该技术的经济、社会和生态效益显著，具体为：</w:t>
      </w:r>
    </w:p>
    <w:p>
      <w:pPr>
        <w:snapToGrid w:val="0"/>
        <w:spacing w:line="560" w:lineRule="exact"/>
        <w:ind w:firstLine="64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1.降低灾害风险。该技术适于成熟期头季再生稻抢收作业，有效减少了稻谷受雨水侵害的风险，颗粒归仓，保障了丰产稳产。</w:t>
      </w:r>
    </w:p>
    <w:p>
      <w:pPr>
        <w:snapToGrid w:val="0"/>
        <w:spacing w:line="560" w:lineRule="exact"/>
        <w:ind w:firstLine="64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2.增产增收明显。该技术采用全喂入式再生稻低碾压高留茬收获机，实现低碾高效收获作业，其直行碾压率在25%左右，与常规水稻收获机相比降低约50%；最小离地间隙的平均值为337.50 mm，满足再生稻头季收割留茬高度的农艺要求，留茬高度合格率在90%以上。再生季增收稻谷70 kg/亩以上，增幅超过10%，增加纯效益120元/亩以上，社会经济效益显著。</w:t>
      </w:r>
    </w:p>
    <w:p>
      <w:pPr>
        <w:snapToGrid w:val="0"/>
        <w:spacing w:line="560" w:lineRule="exact"/>
        <w:ind w:firstLine="643" w:firstLineChars="200"/>
        <w:rPr>
          <w:rFonts w:ascii="仿宋_GB2312" w:hAnsi="仿宋_GB2312" w:eastAsia="仿宋_GB2312" w:cs="仿宋_GB2312"/>
          <w:b/>
          <w:i/>
          <w:color w:val="000000" w:themeColor="text1"/>
          <w:sz w:val="32"/>
          <w:szCs w:val="32"/>
        </w:rPr>
      </w:pPr>
      <w:r>
        <w:rPr>
          <w:rFonts w:hint="eastAsia" w:ascii="仿宋_GB2312" w:hAnsi="仿宋_GB2312" w:eastAsia="仿宋_GB2312" w:cs="仿宋_GB2312"/>
          <w:b/>
          <w:color w:val="000000" w:themeColor="text1"/>
          <w:sz w:val="32"/>
          <w:szCs w:val="32"/>
        </w:rPr>
        <w:t>（四）技术获奖情况（暂未申请奖励）</w:t>
      </w:r>
    </w:p>
    <w:p>
      <w:pPr>
        <w:snapToGrid w:val="0"/>
        <w:spacing w:line="560" w:lineRule="exact"/>
        <w:ind w:firstLine="645"/>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二、技术要点</w:t>
      </w:r>
    </w:p>
    <w:p>
      <w:pPr>
        <w:snapToGrid w:val="0"/>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再生稻头季机械化收获技术采用宽割幅、窄履带、高离地间隙的全喂入式再生稻收获机对成熟期头季再生稻进行收获，与晒田管理、路径规划、秸秆处理、留茬处理、同步施肥、灌水处理等技术配套，实现高产高效。技术路线如下：</w:t>
      </w:r>
    </w:p>
    <w:p>
      <w:pPr>
        <w:pBdr>
          <w:top w:val="single" w:color="auto" w:sz="4" w:space="1"/>
          <w:left w:val="single" w:color="auto" w:sz="4" w:space="4"/>
          <w:bottom w:val="single" w:color="auto" w:sz="4" w:space="1"/>
          <w:right w:val="single" w:color="auto" w:sz="4" w:space="4"/>
        </w:pBdr>
        <w:spacing w:line="56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晒田→路径规划→机收→灌水→田间管理</w:t>
      </w:r>
    </w:p>
    <w:p>
      <w:pPr>
        <w:snapToGrid w:val="0"/>
        <w:spacing w:line="560" w:lineRule="exact"/>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sz w:val="32"/>
          <w:szCs w:val="32"/>
        </w:rPr>
        <w:t>1.晒田：</w:t>
      </w:r>
      <w:r>
        <w:rPr>
          <w:rFonts w:hint="eastAsia" w:ascii="仿宋_GB2312" w:hAnsi="仿宋_GB2312" w:eastAsia="仿宋_GB2312" w:cs="仿宋_GB2312"/>
          <w:bCs/>
          <w:sz w:val="32"/>
          <w:szCs w:val="32"/>
        </w:rPr>
        <w:t>再生稻头季收获前的水分控制非常重要，田太湿，收获机压后稻桩的损失率较高，严重的还会导致收获机具陷田；田太干根系会枯死，腋芽失去活力，发苗少，影响再生季产量。一般在头季灌浆中后期重晒田至脚踩不下陷为宜。</w:t>
      </w:r>
    </w:p>
    <w:p>
      <w:pPr>
        <w:snapToGrid w:val="0"/>
        <w:jc w:val="center"/>
        <w:rPr>
          <w:rFonts w:ascii="Times New Roman" w:hAnsi="Times New Roman" w:eastAsia="宋体" w:cs="Times New Roman"/>
          <w:bCs/>
          <w:sz w:val="32"/>
          <w:szCs w:val="32"/>
        </w:rPr>
      </w:pPr>
      <w:r>
        <w:rPr>
          <w:rFonts w:ascii="Times New Roman" w:hAnsi="Times New Roman" w:eastAsia="宋体" w:cs="Times New Roman"/>
          <w:bCs/>
          <w:sz w:val="32"/>
          <w:szCs w:val="32"/>
        </w:rPr>
        <w:drawing>
          <wp:inline distT="0" distB="0" distL="0" distR="0">
            <wp:extent cx="1266825" cy="2159635"/>
            <wp:effectExtent l="0" t="0" r="9525" b="12065"/>
            <wp:docPr id="327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69"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267200" cy="2160000"/>
                    </a:xfrm>
                    <a:prstGeom prst="rect">
                      <a:avLst/>
                    </a:prstGeom>
                    <a:noFill/>
                    <a:ln>
                      <a:noFill/>
                    </a:ln>
                  </pic:spPr>
                </pic:pic>
              </a:graphicData>
            </a:graphic>
          </wp:inline>
        </w:drawing>
      </w:r>
      <w:r>
        <w:rPr>
          <w:rFonts w:ascii="Times New Roman" w:hAnsi="Times New Roman" w:eastAsia="宋体" w:cs="Times New Roman"/>
          <w:bCs/>
          <w:sz w:val="32"/>
          <w:szCs w:val="32"/>
        </w:rPr>
        <w:drawing>
          <wp:inline distT="0" distB="0" distL="0" distR="0">
            <wp:extent cx="1256030" cy="2159635"/>
            <wp:effectExtent l="0" t="0" r="1270" b="12065"/>
            <wp:docPr id="3277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0"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256400" cy="2160000"/>
                    </a:xfrm>
                    <a:prstGeom prst="rect">
                      <a:avLst/>
                    </a:prstGeom>
                    <a:noFill/>
                    <a:ln>
                      <a:noFill/>
                    </a:ln>
                  </pic:spPr>
                </pic:pic>
              </a:graphicData>
            </a:graphic>
          </wp:inline>
        </w:drawing>
      </w:r>
    </w:p>
    <w:p>
      <w:pPr>
        <w:snapToGrid w:val="0"/>
        <w:ind w:firstLine="2209" w:firstLineChars="1000"/>
        <w:rPr>
          <w:rFonts w:ascii="Times New Roman" w:hAnsi="Times New Roman" w:eastAsia="楷体" w:cs="Times New Roman"/>
          <w:b/>
          <w:sz w:val="32"/>
          <w:szCs w:val="32"/>
        </w:rPr>
      </w:pPr>
      <w:r>
        <w:rPr>
          <w:rFonts w:ascii="Times New Roman" w:hAnsi="Times New Roman" w:eastAsia="楷体" w:cs="Times New Roman"/>
          <w:b/>
          <w:sz w:val="22"/>
          <w:szCs w:val="22"/>
        </w:rPr>
        <w:t xml:space="preserve">图1头季轻晒田        </w:t>
      </w:r>
      <w:r>
        <w:rPr>
          <w:rFonts w:hint="eastAsia" w:ascii="Times New Roman" w:hAnsi="Times New Roman" w:eastAsia="楷体" w:cs="Times New Roman"/>
          <w:b/>
          <w:sz w:val="22"/>
          <w:szCs w:val="22"/>
        </w:rPr>
        <w:t>图2</w:t>
      </w:r>
      <w:r>
        <w:rPr>
          <w:rFonts w:ascii="Times New Roman" w:hAnsi="Times New Roman" w:eastAsia="楷体" w:cs="Times New Roman"/>
          <w:b/>
          <w:sz w:val="22"/>
          <w:szCs w:val="22"/>
        </w:rPr>
        <w:t>头季重晒田</w:t>
      </w:r>
    </w:p>
    <w:p>
      <w:pPr>
        <w:snapToGrid w:val="0"/>
        <w:spacing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2.路径规划：</w:t>
      </w:r>
      <w:r>
        <w:rPr>
          <w:rFonts w:hint="eastAsia" w:ascii="仿宋_GB2312" w:hAnsi="仿宋_GB2312" w:eastAsia="仿宋_GB2312" w:cs="仿宋_GB2312"/>
          <w:bCs/>
          <w:sz w:val="32"/>
          <w:szCs w:val="32"/>
        </w:rPr>
        <w:t>好的作业路径可以减少转弯次数、卸粮次数，缩短卸粮距离从而降低综合碾压率、减少重复碾压面积。收获前采集割幅、轨距、粮仓容积等收获机结构参数，田块长短边参数，再生稻的谷草比、单位面积谷物质量、谷物密度等作物参数，规划仓满点、卸粮点位置及最优作业路线。</w:t>
      </w:r>
    </w:p>
    <w:p>
      <w:pPr>
        <w:snapToGrid w:val="0"/>
        <w:spacing w:line="560" w:lineRule="exact"/>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sz w:val="32"/>
          <w:szCs w:val="32"/>
        </w:rPr>
        <w:t>3.留茬高度选择：</w:t>
      </w:r>
      <w:r>
        <w:rPr>
          <w:rFonts w:hint="eastAsia" w:ascii="仿宋_GB2312" w:hAnsi="仿宋_GB2312" w:eastAsia="仿宋_GB2312" w:cs="仿宋_GB2312"/>
          <w:bCs/>
          <w:sz w:val="32"/>
          <w:szCs w:val="32"/>
        </w:rPr>
        <w:t>再生稻头季机收获留茬高度遵循“留二、保三、争四芽”的原则，即留住母茎上倒数第二腋芽，保住倒数第三芽，在此基础上争取第四节芽成穗，再加上50～60 mm保护段。目前长江中下游地区头季机收再生稻留茬高度一般在250～450 mm。</w:t>
      </w:r>
    </w:p>
    <w:p>
      <w:pPr>
        <w:snapToGrid w:val="0"/>
        <w:jc w:val="center"/>
        <w:rPr>
          <w:rFonts w:ascii="Times New Roman" w:hAnsi="Times New Roman" w:eastAsia="楷体" w:cs="Times New Roman"/>
          <w:b/>
          <w:sz w:val="22"/>
          <w:szCs w:val="22"/>
        </w:rPr>
      </w:pPr>
      <w:r>
        <w:rPr>
          <w:rFonts w:ascii="Times New Roman" w:hAnsi="Times New Roman" w:eastAsia="宋体" w:cs="Times New Roman"/>
        </w:rPr>
        <w:drawing>
          <wp:inline distT="0" distB="0" distL="114300" distR="114300">
            <wp:extent cx="1002030" cy="1459230"/>
            <wp:effectExtent l="0" t="0" r="762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1002030" cy="1459230"/>
                    </a:xfrm>
                    <a:prstGeom prst="rect">
                      <a:avLst/>
                    </a:prstGeom>
                    <a:noFill/>
                    <a:ln>
                      <a:noFill/>
                    </a:ln>
                  </pic:spPr>
                </pic:pic>
              </a:graphicData>
            </a:graphic>
          </wp:inline>
        </w:drawing>
      </w:r>
      <w:r>
        <w:rPr>
          <w:rFonts w:ascii="等线" w:hAnsi="等线" w:eastAsia="等线" w:cs="Times New Roman"/>
          <w:color w:val="000000"/>
          <w:szCs w:val="22"/>
        </w:rPr>
        <w:drawing>
          <wp:inline distT="0" distB="0" distL="0" distR="0">
            <wp:extent cx="1553210" cy="970280"/>
            <wp:effectExtent l="0" t="0" r="889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8">
                      <a:extLst>
                        <a:ext uri="{28A0092B-C50C-407E-A947-70E740481C1C}">
                          <a14:useLocalDpi xmlns:a14="http://schemas.microsoft.com/office/drawing/2010/main" val="0"/>
                        </a:ext>
                      </a:extLst>
                    </a:blip>
                    <a:srcRect t="9795"/>
                    <a:stretch>
                      <a:fillRect/>
                    </a:stretch>
                  </pic:blipFill>
                  <pic:spPr>
                    <a:xfrm>
                      <a:off x="0" y="0"/>
                      <a:ext cx="1553210" cy="970280"/>
                    </a:xfrm>
                    <a:prstGeom prst="rect">
                      <a:avLst/>
                    </a:prstGeom>
                    <a:noFill/>
                    <a:ln>
                      <a:noFill/>
                    </a:ln>
                  </pic:spPr>
                </pic:pic>
              </a:graphicData>
            </a:graphic>
          </wp:inline>
        </w:drawing>
      </w:r>
    </w:p>
    <w:p>
      <w:pPr>
        <w:snapToGrid w:val="0"/>
        <w:jc w:val="center"/>
        <w:rPr>
          <w:rFonts w:ascii="Times New Roman" w:hAnsi="Times New Roman" w:eastAsia="楷体" w:cs="Times New Roman"/>
          <w:b/>
          <w:sz w:val="22"/>
          <w:szCs w:val="22"/>
        </w:rPr>
      </w:pPr>
      <w:r>
        <w:rPr>
          <w:rFonts w:hint="eastAsia" w:ascii="Times New Roman" w:hAnsi="Times New Roman" w:eastAsia="楷体" w:cs="Times New Roman"/>
          <w:b/>
          <w:sz w:val="22"/>
          <w:szCs w:val="22"/>
        </w:rPr>
        <w:t>图3</w:t>
      </w:r>
      <w:r>
        <w:rPr>
          <w:rFonts w:hint="eastAsia" w:ascii="Times New Roman" w:hAnsi="Times New Roman" w:eastAsia="楷体" w:cs="Times New Roman"/>
          <w:b/>
          <w:color w:val="000000"/>
          <w:szCs w:val="21"/>
        </w:rPr>
        <w:t xml:space="preserve">再生稻头季收获留茬高度 </w:t>
      </w:r>
      <w:r>
        <w:rPr>
          <w:rFonts w:ascii="Times New Roman" w:hAnsi="Times New Roman" w:eastAsia="楷体" w:cs="Times New Roman"/>
          <w:b/>
          <w:sz w:val="22"/>
          <w:szCs w:val="22"/>
        </w:rPr>
        <w:t>图4双通道全喂入式</w:t>
      </w:r>
      <w:r>
        <w:rPr>
          <w:rFonts w:hint="eastAsia" w:ascii="Times New Roman" w:hAnsi="Times New Roman" w:eastAsia="楷体" w:cs="Times New Roman"/>
          <w:b/>
          <w:sz w:val="22"/>
          <w:szCs w:val="22"/>
        </w:rPr>
        <w:t>再生稻</w:t>
      </w:r>
      <w:r>
        <w:rPr>
          <w:rFonts w:ascii="Times New Roman" w:hAnsi="Times New Roman" w:eastAsia="楷体" w:cs="Times New Roman"/>
          <w:b/>
          <w:sz w:val="22"/>
          <w:szCs w:val="22"/>
        </w:rPr>
        <w:t>收获机收获</w:t>
      </w:r>
    </w:p>
    <w:p>
      <w:pPr>
        <w:snapToGrid w:val="0"/>
        <w:spacing w:line="56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4.秸秆处理：</w:t>
      </w:r>
      <w:r>
        <w:rPr>
          <w:rFonts w:hint="eastAsia" w:ascii="仿宋_GB2312" w:hAnsi="仿宋_GB2312" w:eastAsia="仿宋_GB2312" w:cs="仿宋_GB2312"/>
          <w:sz w:val="32"/>
          <w:szCs w:val="32"/>
        </w:rPr>
        <w:t>根据再生稻品种及其再生季分蘖生长</w:t>
      </w:r>
      <w:r>
        <w:rPr>
          <w:rFonts w:hint="eastAsia" w:ascii="仿宋_GB2312" w:hAnsi="仿宋_GB2312" w:eastAsia="仿宋_GB2312" w:cs="仿宋_GB2312"/>
          <w:bCs/>
          <w:sz w:val="32"/>
          <w:szCs w:val="32"/>
        </w:rPr>
        <w:t>情况</w:t>
      </w:r>
      <w:r>
        <w:rPr>
          <w:rFonts w:hint="eastAsia" w:ascii="仿宋_GB2312" w:hAnsi="仿宋_GB2312" w:eastAsia="仿宋_GB2312" w:cs="仿宋_GB2312"/>
          <w:sz w:val="32"/>
          <w:szCs w:val="32"/>
        </w:rPr>
        <w:t>采用粉碎后定向抛撒或粉碎后均匀抛撒的秸秆处理方式。收获机配备秸秆处理装置，对于碾压后稻桩恢复能力强的品种采用秸秆粉碎均匀抛撒方式，对碾压后稻桩恢复能力稍差的品种，采用秸秆粉碎定向抛撒方式。</w:t>
      </w:r>
    </w:p>
    <w:p>
      <w:pPr>
        <w:snapToGrid w:val="0"/>
        <w:jc w:val="center"/>
        <w:rPr>
          <w:rFonts w:ascii="Times New Roman" w:hAnsi="Times New Roman" w:eastAsia="楷体" w:cs="Times New Roman"/>
          <w:b/>
          <w:sz w:val="22"/>
          <w:szCs w:val="22"/>
        </w:rPr>
      </w:pPr>
      <w:r>
        <w:rPr>
          <w:rFonts w:ascii="Times New Roman" w:hAnsi="Times New Roman" w:eastAsia="宋体" w:cs="Times New Roman"/>
          <w:color w:val="000000"/>
          <w:szCs w:val="21"/>
        </w:rPr>
        <w:drawing>
          <wp:inline distT="0" distB="0" distL="0" distR="0">
            <wp:extent cx="1799590" cy="899795"/>
            <wp:effectExtent l="0" t="0" r="10160" b="14605"/>
            <wp:docPr id="57348" name="图片 15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8" name="图片 1545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800000" cy="900000"/>
                    </a:xfrm>
                    <a:prstGeom prst="rect">
                      <a:avLst/>
                    </a:prstGeom>
                    <a:noFill/>
                    <a:ln>
                      <a:noFill/>
                    </a:ln>
                  </pic:spPr>
                </pic:pic>
              </a:graphicData>
            </a:graphic>
          </wp:inline>
        </w:drawing>
      </w:r>
      <w:r>
        <w:rPr>
          <w:rFonts w:ascii="Times New Roman" w:hAnsi="Times New Roman" w:eastAsia="宋体" w:cs="Times New Roman"/>
          <w:color w:val="000000"/>
          <w:szCs w:val="21"/>
        </w:rPr>
        <w:drawing>
          <wp:inline distT="0" distB="0" distL="0" distR="0">
            <wp:extent cx="1799590" cy="899795"/>
            <wp:effectExtent l="0" t="0" r="10160" b="14605"/>
            <wp:docPr id="57349" name="图片 15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9" name="图片 15457"/>
                    <pic:cNvPicPr>
                      <a:picLocks noChangeAspect="1" noChangeArrowheads="1"/>
                    </pic:cNvPicPr>
                  </pic:nvPicPr>
                  <pic:blipFill>
                    <a:blip r:embed="rId10" cstate="print">
                      <a:extLst>
                        <a:ext uri="{28A0092B-C50C-407E-A947-70E740481C1C}">
                          <a14:useLocalDpi xmlns:a14="http://schemas.microsoft.com/office/drawing/2010/main" val="0"/>
                        </a:ext>
                      </a:extLst>
                    </a:blip>
                    <a:srcRect t="2713" b="24954"/>
                    <a:stretch>
                      <a:fillRect/>
                    </a:stretch>
                  </pic:blipFill>
                  <pic:spPr>
                    <a:xfrm>
                      <a:off x="0" y="0"/>
                      <a:ext cx="1800000" cy="900000"/>
                    </a:xfrm>
                    <a:prstGeom prst="rect">
                      <a:avLst/>
                    </a:prstGeom>
                    <a:noFill/>
                    <a:ln>
                      <a:noFill/>
                    </a:ln>
                  </pic:spPr>
                </pic:pic>
              </a:graphicData>
            </a:graphic>
          </wp:inline>
        </w:drawing>
      </w:r>
    </w:p>
    <w:p>
      <w:pPr>
        <w:snapToGrid w:val="0"/>
        <w:jc w:val="center"/>
        <w:rPr>
          <w:rFonts w:ascii="Times New Roman" w:hAnsi="Times New Roman" w:eastAsia="楷体" w:cs="Times New Roman"/>
          <w:b/>
          <w:sz w:val="22"/>
          <w:szCs w:val="22"/>
        </w:rPr>
      </w:pPr>
      <w:r>
        <w:rPr>
          <w:rFonts w:ascii="Times New Roman" w:hAnsi="Times New Roman" w:eastAsia="楷体" w:cs="Times New Roman"/>
          <w:b/>
          <w:sz w:val="22"/>
          <w:szCs w:val="22"/>
        </w:rPr>
        <w:t>图5秸秆粉碎均匀抛撒</w:t>
      </w:r>
      <w:r>
        <w:rPr>
          <w:rFonts w:hint="eastAsia" w:ascii="Times New Roman" w:hAnsi="Times New Roman" w:eastAsia="楷体" w:cs="Times New Roman"/>
          <w:b/>
          <w:sz w:val="22"/>
          <w:szCs w:val="22"/>
        </w:rPr>
        <w:t>(</w:t>
      </w:r>
      <w:r>
        <w:rPr>
          <w:rFonts w:ascii="Times New Roman" w:hAnsi="Times New Roman" w:eastAsia="楷体" w:cs="Times New Roman"/>
          <w:b/>
          <w:sz w:val="22"/>
          <w:szCs w:val="22"/>
        </w:rPr>
        <w:t>定向</w:t>
      </w:r>
      <w:r>
        <w:rPr>
          <w:rFonts w:hint="eastAsia" w:ascii="Times New Roman" w:hAnsi="Times New Roman" w:eastAsia="楷体" w:cs="Times New Roman"/>
          <w:b/>
          <w:sz w:val="22"/>
          <w:szCs w:val="22"/>
        </w:rPr>
        <w:t>?</w:t>
      </w:r>
      <w:r>
        <w:rPr>
          <w:rFonts w:ascii="Times New Roman" w:hAnsi="Times New Roman" w:eastAsia="楷体" w:cs="Times New Roman"/>
          <w:b/>
          <w:sz w:val="22"/>
          <w:szCs w:val="22"/>
        </w:rPr>
        <w:t>)</w:t>
      </w:r>
      <w:r>
        <w:rPr>
          <w:rFonts w:hint="eastAsia" w:ascii="Times New Roman" w:hAnsi="Times New Roman" w:eastAsia="楷体" w:cs="Times New Roman"/>
          <w:b/>
          <w:sz w:val="22"/>
          <w:szCs w:val="22"/>
        </w:rPr>
        <w:t>图6</w:t>
      </w:r>
      <w:r>
        <w:rPr>
          <w:rFonts w:ascii="Times New Roman" w:hAnsi="Times New Roman" w:eastAsia="楷体" w:cs="Times New Roman"/>
          <w:b/>
          <w:sz w:val="22"/>
          <w:szCs w:val="22"/>
        </w:rPr>
        <w:t>秸秆粉碎定向抛撒</w:t>
      </w:r>
      <w:r>
        <w:rPr>
          <w:rFonts w:hint="eastAsia" w:ascii="Times New Roman" w:hAnsi="Times New Roman" w:eastAsia="楷体" w:cs="Times New Roman"/>
          <w:b/>
          <w:sz w:val="22"/>
          <w:szCs w:val="22"/>
        </w:rPr>
        <w:t>(</w:t>
      </w:r>
      <w:r>
        <w:rPr>
          <w:rFonts w:ascii="Times New Roman" w:hAnsi="Times New Roman" w:eastAsia="楷体" w:cs="Times New Roman"/>
          <w:b/>
          <w:sz w:val="22"/>
          <w:szCs w:val="22"/>
        </w:rPr>
        <w:t>均匀</w:t>
      </w:r>
      <w:r>
        <w:rPr>
          <w:rFonts w:hint="eastAsia" w:ascii="Times New Roman" w:hAnsi="Times New Roman" w:eastAsia="楷体" w:cs="Times New Roman"/>
          <w:b/>
          <w:sz w:val="22"/>
          <w:szCs w:val="22"/>
        </w:rPr>
        <w:t>?</w:t>
      </w:r>
      <w:r>
        <w:rPr>
          <w:rFonts w:ascii="Times New Roman" w:hAnsi="Times New Roman" w:eastAsia="楷体" w:cs="Times New Roman"/>
          <w:b/>
          <w:sz w:val="22"/>
          <w:szCs w:val="22"/>
        </w:rPr>
        <w:t>)</w:t>
      </w:r>
    </w:p>
    <w:p>
      <w:pPr>
        <w:snapToGrid w:val="0"/>
        <w:spacing w:line="560" w:lineRule="exact"/>
        <w:ind w:firstLine="643" w:firstLineChars="200"/>
        <w:jc w:val="left"/>
        <w:rPr>
          <w:rFonts w:ascii="仿宋_GB2312" w:hAnsi="仿宋_GB2312" w:eastAsia="仿宋_GB2312" w:cs="仿宋_GB2312"/>
          <w:bCs/>
          <w:sz w:val="32"/>
          <w:szCs w:val="32"/>
        </w:rPr>
      </w:pPr>
      <w:r>
        <w:rPr>
          <w:rFonts w:hint="eastAsia" w:ascii="仿宋_GB2312" w:hAnsi="仿宋_GB2312" w:eastAsia="仿宋_GB2312" w:cs="仿宋_GB2312"/>
          <w:b/>
          <w:sz w:val="32"/>
          <w:szCs w:val="32"/>
        </w:rPr>
        <w:t>5.留茬处理：</w:t>
      </w:r>
      <w:r>
        <w:rPr>
          <w:rFonts w:hint="eastAsia" w:ascii="仿宋_GB2312" w:hAnsi="仿宋_GB2312" w:eastAsia="仿宋_GB2312" w:cs="仿宋_GB2312"/>
          <w:bCs/>
          <w:sz w:val="32"/>
          <w:szCs w:val="32"/>
        </w:rPr>
        <w:t>扶正后的稻茬成活率提高，对机收后秸秆粉碎均匀抛撒的田块，收获机应装配倒茬扶正装置。</w:t>
      </w:r>
    </w:p>
    <w:p>
      <w:pPr>
        <w:snapToGrid w:val="0"/>
        <w:spacing w:line="560" w:lineRule="exact"/>
        <w:ind w:firstLine="643" w:firstLineChars="200"/>
        <w:jc w:val="left"/>
        <w:rPr>
          <w:rFonts w:ascii="仿宋_GB2312" w:hAnsi="仿宋_GB2312" w:eastAsia="仿宋_GB2312" w:cs="仿宋_GB2312"/>
          <w:bCs/>
          <w:sz w:val="32"/>
          <w:szCs w:val="32"/>
        </w:rPr>
      </w:pPr>
      <w:r>
        <w:rPr>
          <w:rFonts w:hint="eastAsia" w:ascii="仿宋_GB2312" w:hAnsi="仿宋_GB2312" w:eastAsia="仿宋_GB2312" w:cs="仿宋_GB2312"/>
          <w:b/>
          <w:sz w:val="32"/>
          <w:szCs w:val="32"/>
        </w:rPr>
        <w:t>6.同步施肥：</w:t>
      </w:r>
      <w:r>
        <w:rPr>
          <w:rFonts w:hint="eastAsia" w:ascii="仿宋_GB2312" w:hAnsi="仿宋_GB2312" w:eastAsia="仿宋_GB2312" w:cs="仿宋_GB2312"/>
          <w:bCs/>
          <w:sz w:val="32"/>
          <w:szCs w:val="32"/>
        </w:rPr>
        <w:t>收获机配备同步精量施肥装置，一次性完成再生稻头季收获与再生季施肥，给再生稻再生季提供养分。</w:t>
      </w:r>
    </w:p>
    <w:p>
      <w:pPr>
        <w:snapToGrid w:val="0"/>
        <w:spacing w:line="560" w:lineRule="exact"/>
        <w:ind w:firstLine="643" w:firstLineChars="200"/>
        <w:jc w:val="left"/>
        <w:rPr>
          <w:rFonts w:ascii="仿宋_GB2312" w:hAnsi="仿宋_GB2312" w:eastAsia="仿宋_GB2312" w:cs="仿宋_GB2312"/>
          <w:bCs/>
          <w:sz w:val="32"/>
          <w:szCs w:val="32"/>
        </w:rPr>
      </w:pPr>
      <w:r>
        <w:rPr>
          <w:rFonts w:hint="eastAsia" w:ascii="仿宋_GB2312" w:hAnsi="仿宋_GB2312" w:eastAsia="仿宋_GB2312" w:cs="仿宋_GB2312"/>
          <w:b/>
          <w:sz w:val="32"/>
          <w:szCs w:val="32"/>
        </w:rPr>
        <w:t>7.田间管理：</w:t>
      </w:r>
      <w:r>
        <w:rPr>
          <w:rFonts w:hint="eastAsia" w:ascii="仿宋_GB2312" w:hAnsi="仿宋_GB2312" w:eastAsia="仿宋_GB2312" w:cs="仿宋_GB2312"/>
          <w:bCs/>
          <w:sz w:val="32"/>
          <w:szCs w:val="32"/>
        </w:rPr>
        <w:t>完成再生稻头季机械化收获后适时灌水，保证再生芽生长对水份的需求并防止高温伏旱死苗。注意预防纹枯病、稻飞虱、条纹叶枯病、白叶枯病、穗颈稻瘟病、稻曲病、二化螟、稻蝗、鼠害等。</w:t>
      </w:r>
    </w:p>
    <w:p>
      <w:pPr>
        <w:snapToGrid w:val="0"/>
        <w:spacing w:line="560" w:lineRule="exact"/>
        <w:ind w:firstLine="640" w:firstLineChars="200"/>
        <w:jc w:val="left"/>
        <w:rPr>
          <w:rFonts w:ascii="黑体" w:hAnsi="黑体" w:eastAsia="黑体" w:cs="黑体"/>
          <w:bCs/>
          <w:sz w:val="32"/>
          <w:szCs w:val="32"/>
        </w:rPr>
      </w:pPr>
      <w:r>
        <w:rPr>
          <w:rFonts w:hint="eastAsia" w:ascii="黑体" w:hAnsi="黑体" w:eastAsia="黑体" w:cs="黑体"/>
          <w:bCs/>
          <w:sz w:val="32"/>
          <w:szCs w:val="32"/>
        </w:rPr>
        <w:t>三、适宜区域。长江中下游再生稻种植区。</w:t>
      </w:r>
    </w:p>
    <w:p>
      <w:pPr>
        <w:snapToGrid w:val="0"/>
        <w:spacing w:line="560" w:lineRule="exact"/>
        <w:ind w:firstLine="640" w:firstLineChars="200"/>
        <w:jc w:val="left"/>
        <w:rPr>
          <w:rFonts w:ascii="黑体" w:hAnsi="黑体" w:eastAsia="黑体" w:cs="黑体"/>
          <w:bCs/>
          <w:sz w:val="32"/>
          <w:szCs w:val="32"/>
        </w:rPr>
      </w:pPr>
      <w:r>
        <w:rPr>
          <w:rFonts w:hint="eastAsia" w:ascii="黑体" w:hAnsi="黑体" w:eastAsia="黑体" w:cs="黑体"/>
          <w:bCs/>
          <w:sz w:val="32"/>
          <w:szCs w:val="32"/>
        </w:rPr>
        <w:t>四、注意事项</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农业农村部农业机械化总站于2022年7月至10月在湖南省汨罗市组织开展了再生稻收获机械综合测评活动，在统一作业条件和测试方法的前提下对4台再生稻专用收获机田间作业质量进行了综合测评，结果显示损失率、含杂率、破碎率、直行碾压率、割茬高度合格率等参数均能满足再生稻生产的农艺要求。</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各机型主要技术规格如下：</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1.江苏沃得农业机械股份有限公司生产的4LZ—7.0ZQ型再生稻收获机有关参数如下：</w:t>
      </w:r>
    </w:p>
    <w:tbl>
      <w:tblPr>
        <w:tblStyle w:val="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3402"/>
        <w:gridCol w:w="4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rFonts w:eastAsia="黑体"/>
                <w:sz w:val="28"/>
                <w:szCs w:val="28"/>
              </w:rPr>
            </w:pPr>
            <w:r>
              <w:rPr>
                <w:rFonts w:eastAsia="黑体"/>
                <w:sz w:val="28"/>
                <w:szCs w:val="28"/>
              </w:rPr>
              <w:t>序号</w:t>
            </w:r>
          </w:p>
        </w:tc>
        <w:tc>
          <w:tcPr>
            <w:tcW w:w="3402" w:type="dxa"/>
            <w:vAlign w:val="center"/>
          </w:tcPr>
          <w:p>
            <w:pPr>
              <w:adjustRightInd w:val="0"/>
              <w:jc w:val="center"/>
              <w:rPr>
                <w:rFonts w:eastAsia="黑体"/>
                <w:sz w:val="28"/>
                <w:szCs w:val="28"/>
              </w:rPr>
            </w:pPr>
            <w:r>
              <w:rPr>
                <w:rFonts w:eastAsia="黑体"/>
                <w:sz w:val="28"/>
                <w:szCs w:val="28"/>
              </w:rPr>
              <w:t>项目</w:t>
            </w:r>
          </w:p>
        </w:tc>
        <w:tc>
          <w:tcPr>
            <w:tcW w:w="4019" w:type="dxa"/>
            <w:vAlign w:val="center"/>
          </w:tcPr>
          <w:p>
            <w:pPr>
              <w:adjustRightInd w:val="0"/>
              <w:jc w:val="center"/>
              <w:rPr>
                <w:rFonts w:eastAsia="黑体"/>
                <w:sz w:val="28"/>
                <w:szCs w:val="28"/>
              </w:rPr>
            </w:pPr>
            <w:r>
              <w:rPr>
                <w:rFonts w:eastAsia="黑体"/>
                <w:sz w:val="28"/>
                <w:szCs w:val="28"/>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1</w:t>
            </w:r>
          </w:p>
        </w:tc>
        <w:tc>
          <w:tcPr>
            <w:tcW w:w="3402" w:type="dxa"/>
            <w:vAlign w:val="center"/>
          </w:tcPr>
          <w:p>
            <w:pPr>
              <w:adjustRightInd w:val="0"/>
              <w:rPr>
                <w:sz w:val="28"/>
                <w:szCs w:val="28"/>
              </w:rPr>
            </w:pPr>
            <w:r>
              <w:rPr>
                <w:sz w:val="28"/>
                <w:szCs w:val="28"/>
              </w:rPr>
              <w:t>结构型式</w:t>
            </w:r>
          </w:p>
        </w:tc>
        <w:tc>
          <w:tcPr>
            <w:tcW w:w="4019" w:type="dxa"/>
            <w:vAlign w:val="center"/>
          </w:tcPr>
          <w:p>
            <w:pPr>
              <w:adjustRightInd w:val="0"/>
              <w:jc w:val="center"/>
              <w:rPr>
                <w:sz w:val="28"/>
                <w:szCs w:val="28"/>
              </w:rPr>
            </w:pPr>
            <w:r>
              <w:rPr>
                <w:sz w:val="28"/>
                <w:szCs w:val="28"/>
              </w:rPr>
              <w:t>履带自走式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2</w:t>
            </w:r>
          </w:p>
        </w:tc>
        <w:tc>
          <w:tcPr>
            <w:tcW w:w="3402" w:type="dxa"/>
            <w:vAlign w:val="center"/>
          </w:tcPr>
          <w:p>
            <w:pPr>
              <w:adjustRightInd w:val="0"/>
              <w:rPr>
                <w:sz w:val="28"/>
                <w:szCs w:val="28"/>
              </w:rPr>
            </w:pPr>
            <w:r>
              <w:rPr>
                <w:sz w:val="28"/>
                <w:szCs w:val="28"/>
              </w:rPr>
              <w:t>喂入方式</w:t>
            </w:r>
          </w:p>
        </w:tc>
        <w:tc>
          <w:tcPr>
            <w:tcW w:w="4019" w:type="dxa"/>
            <w:vAlign w:val="center"/>
          </w:tcPr>
          <w:p>
            <w:pPr>
              <w:adjustRightInd w:val="0"/>
              <w:jc w:val="center"/>
              <w:rPr>
                <w:sz w:val="28"/>
                <w:szCs w:val="28"/>
              </w:rPr>
            </w:pPr>
            <w:r>
              <w:rPr>
                <w:sz w:val="28"/>
                <w:szCs w:val="28"/>
              </w:rPr>
              <w:t>全喂入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3</w:t>
            </w:r>
          </w:p>
        </w:tc>
        <w:tc>
          <w:tcPr>
            <w:tcW w:w="3402" w:type="dxa"/>
            <w:vAlign w:val="center"/>
          </w:tcPr>
          <w:p>
            <w:pPr>
              <w:adjustRightInd w:val="0"/>
              <w:rPr>
                <w:sz w:val="28"/>
                <w:szCs w:val="28"/>
              </w:rPr>
            </w:pPr>
            <w:r>
              <w:rPr>
                <w:sz w:val="28"/>
                <w:szCs w:val="28"/>
              </w:rPr>
              <w:t>喂入量</w:t>
            </w:r>
            <w:r>
              <w:rPr>
                <w:rFonts w:hint="eastAsia"/>
                <w:sz w:val="28"/>
                <w:szCs w:val="28"/>
              </w:rPr>
              <w:t>设计值（kg/s）</w:t>
            </w:r>
          </w:p>
        </w:tc>
        <w:tc>
          <w:tcPr>
            <w:tcW w:w="4019" w:type="dxa"/>
            <w:vAlign w:val="center"/>
          </w:tcPr>
          <w:p>
            <w:pPr>
              <w:adjustRightInd w:val="0"/>
              <w:jc w:val="center"/>
              <w:rPr>
                <w:sz w:val="28"/>
                <w:szCs w:val="28"/>
              </w:rPr>
            </w:pPr>
            <w:r>
              <w:rPr>
                <w:sz w:val="28"/>
                <w:szCs w:val="28"/>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rFonts w:hint="eastAsia"/>
                <w:sz w:val="28"/>
                <w:szCs w:val="28"/>
              </w:rPr>
              <w:t>4</w:t>
            </w:r>
          </w:p>
        </w:tc>
        <w:tc>
          <w:tcPr>
            <w:tcW w:w="3402" w:type="dxa"/>
            <w:vAlign w:val="center"/>
          </w:tcPr>
          <w:p>
            <w:pPr>
              <w:adjustRightInd w:val="0"/>
              <w:rPr>
                <w:sz w:val="28"/>
                <w:szCs w:val="28"/>
              </w:rPr>
            </w:pPr>
            <w:r>
              <w:rPr>
                <w:rFonts w:hint="eastAsia"/>
                <w:sz w:val="28"/>
                <w:szCs w:val="28"/>
              </w:rPr>
              <w:t>发动机标定功率（</w:t>
            </w:r>
            <w:r>
              <w:rPr>
                <w:sz w:val="28"/>
                <w:szCs w:val="28"/>
              </w:rPr>
              <w:t>kW</w:t>
            </w:r>
            <w:r>
              <w:rPr>
                <w:rFonts w:hint="eastAsia"/>
                <w:sz w:val="28"/>
                <w:szCs w:val="28"/>
              </w:rPr>
              <w:t>）</w:t>
            </w:r>
          </w:p>
        </w:tc>
        <w:tc>
          <w:tcPr>
            <w:tcW w:w="4019" w:type="dxa"/>
            <w:vAlign w:val="center"/>
          </w:tcPr>
          <w:p>
            <w:pPr>
              <w:adjustRightInd w:val="0"/>
              <w:jc w:val="center"/>
              <w:rPr>
                <w:sz w:val="28"/>
                <w:szCs w:val="28"/>
              </w:rPr>
            </w:pPr>
            <w:r>
              <w:rPr>
                <w:sz w:val="28"/>
                <w:szCs w:val="28"/>
              </w:rPr>
              <w:t>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5</w:t>
            </w:r>
          </w:p>
        </w:tc>
        <w:tc>
          <w:tcPr>
            <w:tcW w:w="3402" w:type="dxa"/>
            <w:vAlign w:val="center"/>
          </w:tcPr>
          <w:p>
            <w:pPr>
              <w:adjustRightInd w:val="0"/>
              <w:rPr>
                <w:sz w:val="28"/>
                <w:szCs w:val="28"/>
              </w:rPr>
            </w:pPr>
            <w:r>
              <w:rPr>
                <w:sz w:val="28"/>
                <w:szCs w:val="28"/>
              </w:rPr>
              <w:t>工作幅宽</w:t>
            </w:r>
            <w:r>
              <w:rPr>
                <w:rFonts w:hint="eastAsia"/>
                <w:sz w:val="28"/>
                <w:szCs w:val="28"/>
              </w:rPr>
              <w:t>（mm）</w:t>
            </w:r>
          </w:p>
        </w:tc>
        <w:tc>
          <w:tcPr>
            <w:tcW w:w="4019" w:type="dxa"/>
            <w:vAlign w:val="center"/>
          </w:tcPr>
          <w:p>
            <w:pPr>
              <w:adjustRightInd w:val="0"/>
              <w:jc w:val="center"/>
              <w:rPr>
                <w:sz w:val="28"/>
                <w:szCs w:val="28"/>
              </w:rPr>
            </w:pPr>
            <w:r>
              <w:rPr>
                <w:sz w:val="28"/>
                <w:szCs w:val="28"/>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6</w:t>
            </w:r>
          </w:p>
        </w:tc>
        <w:tc>
          <w:tcPr>
            <w:tcW w:w="3402" w:type="dxa"/>
            <w:vAlign w:val="center"/>
          </w:tcPr>
          <w:p>
            <w:pPr>
              <w:adjustRightInd w:val="0"/>
              <w:rPr>
                <w:sz w:val="28"/>
                <w:szCs w:val="28"/>
              </w:rPr>
            </w:pPr>
            <w:r>
              <w:rPr>
                <w:rFonts w:hint="eastAsia"/>
                <w:sz w:val="28"/>
                <w:szCs w:val="28"/>
              </w:rPr>
              <w:t>履带宽度（mm）</w:t>
            </w:r>
          </w:p>
        </w:tc>
        <w:tc>
          <w:tcPr>
            <w:tcW w:w="4019" w:type="dxa"/>
            <w:vAlign w:val="center"/>
          </w:tcPr>
          <w:p>
            <w:pPr>
              <w:adjustRightInd w:val="0"/>
              <w:jc w:val="center"/>
              <w:rPr>
                <w:sz w:val="28"/>
                <w:szCs w:val="28"/>
              </w:rPr>
            </w:pPr>
            <w:r>
              <w:rPr>
                <w:sz w:val="28"/>
                <w:szCs w:val="28"/>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7</w:t>
            </w:r>
          </w:p>
        </w:tc>
        <w:tc>
          <w:tcPr>
            <w:tcW w:w="3402" w:type="dxa"/>
            <w:vAlign w:val="center"/>
          </w:tcPr>
          <w:p>
            <w:pPr>
              <w:adjustRightInd w:val="0"/>
              <w:rPr>
                <w:sz w:val="28"/>
                <w:szCs w:val="28"/>
              </w:rPr>
            </w:pPr>
            <w:r>
              <w:rPr>
                <w:sz w:val="28"/>
                <w:szCs w:val="28"/>
              </w:rPr>
              <w:t>卸粮方式</w:t>
            </w:r>
          </w:p>
        </w:tc>
        <w:tc>
          <w:tcPr>
            <w:tcW w:w="4019" w:type="dxa"/>
            <w:vAlign w:val="center"/>
          </w:tcPr>
          <w:p>
            <w:pPr>
              <w:adjustRightInd w:val="0"/>
              <w:jc w:val="center"/>
              <w:rPr>
                <w:sz w:val="28"/>
                <w:szCs w:val="28"/>
              </w:rPr>
            </w:pPr>
            <w:r>
              <w:rPr>
                <w:sz w:val="28"/>
                <w:szCs w:val="28"/>
              </w:rPr>
              <w:t>自动卸粮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8</w:t>
            </w:r>
          </w:p>
        </w:tc>
        <w:tc>
          <w:tcPr>
            <w:tcW w:w="3402" w:type="dxa"/>
            <w:vAlign w:val="center"/>
          </w:tcPr>
          <w:p>
            <w:pPr>
              <w:adjustRightInd w:val="0"/>
              <w:rPr>
                <w:sz w:val="28"/>
                <w:szCs w:val="28"/>
              </w:rPr>
            </w:pPr>
            <w:r>
              <w:rPr>
                <w:sz w:val="28"/>
                <w:szCs w:val="28"/>
              </w:rPr>
              <w:t>作业速度（km/h）</w:t>
            </w:r>
          </w:p>
        </w:tc>
        <w:tc>
          <w:tcPr>
            <w:tcW w:w="4019" w:type="dxa"/>
            <w:vAlign w:val="center"/>
          </w:tcPr>
          <w:p>
            <w:pPr>
              <w:adjustRightInd w:val="0"/>
              <w:jc w:val="center"/>
              <w:rPr>
                <w:sz w:val="28"/>
                <w:szCs w:val="28"/>
              </w:rPr>
            </w:pPr>
            <w:r>
              <w:rPr>
                <w:sz w:val="28"/>
                <w:szCs w:val="28"/>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9</w:t>
            </w:r>
          </w:p>
        </w:tc>
        <w:tc>
          <w:tcPr>
            <w:tcW w:w="3402" w:type="dxa"/>
            <w:vAlign w:val="center"/>
          </w:tcPr>
          <w:p>
            <w:pPr>
              <w:adjustRightInd w:val="0"/>
              <w:rPr>
                <w:sz w:val="28"/>
                <w:szCs w:val="28"/>
              </w:rPr>
            </w:pPr>
            <w:r>
              <w:rPr>
                <w:sz w:val="28"/>
                <w:szCs w:val="28"/>
              </w:rPr>
              <w:t>损失率（%）</w:t>
            </w:r>
          </w:p>
        </w:tc>
        <w:tc>
          <w:tcPr>
            <w:tcW w:w="4019" w:type="dxa"/>
            <w:vAlign w:val="center"/>
          </w:tcPr>
          <w:p>
            <w:pPr>
              <w:adjustRightInd w:val="0"/>
              <w:jc w:val="center"/>
              <w:rPr>
                <w:sz w:val="28"/>
                <w:szCs w:val="28"/>
              </w:rPr>
            </w:pPr>
            <w:r>
              <w:rPr>
                <w:sz w:val="28"/>
                <w:szCs w:val="28"/>
              </w:rPr>
              <w:t>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10</w:t>
            </w:r>
          </w:p>
        </w:tc>
        <w:tc>
          <w:tcPr>
            <w:tcW w:w="3402" w:type="dxa"/>
            <w:vAlign w:val="center"/>
          </w:tcPr>
          <w:p>
            <w:pPr>
              <w:adjustRightInd w:val="0"/>
              <w:rPr>
                <w:sz w:val="28"/>
                <w:szCs w:val="28"/>
              </w:rPr>
            </w:pPr>
            <w:r>
              <w:rPr>
                <w:sz w:val="28"/>
                <w:szCs w:val="28"/>
              </w:rPr>
              <w:t>破碎率（%）</w:t>
            </w:r>
          </w:p>
        </w:tc>
        <w:tc>
          <w:tcPr>
            <w:tcW w:w="4019" w:type="dxa"/>
            <w:vAlign w:val="center"/>
          </w:tcPr>
          <w:p>
            <w:pPr>
              <w:adjustRightInd w:val="0"/>
              <w:jc w:val="center"/>
              <w:rPr>
                <w:sz w:val="28"/>
                <w:szCs w:val="28"/>
              </w:rPr>
            </w:pPr>
            <w:r>
              <w:rPr>
                <w:sz w:val="28"/>
                <w:szCs w:val="28"/>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11</w:t>
            </w:r>
          </w:p>
        </w:tc>
        <w:tc>
          <w:tcPr>
            <w:tcW w:w="3402" w:type="dxa"/>
            <w:vAlign w:val="center"/>
          </w:tcPr>
          <w:p>
            <w:pPr>
              <w:adjustRightInd w:val="0"/>
              <w:rPr>
                <w:sz w:val="28"/>
                <w:szCs w:val="28"/>
              </w:rPr>
            </w:pPr>
            <w:r>
              <w:rPr>
                <w:sz w:val="28"/>
                <w:szCs w:val="28"/>
              </w:rPr>
              <w:t>含杂率（%）</w:t>
            </w:r>
          </w:p>
        </w:tc>
        <w:tc>
          <w:tcPr>
            <w:tcW w:w="4019" w:type="dxa"/>
            <w:vAlign w:val="center"/>
          </w:tcPr>
          <w:p>
            <w:pPr>
              <w:adjustRightInd w:val="0"/>
              <w:jc w:val="center"/>
              <w:rPr>
                <w:sz w:val="28"/>
                <w:szCs w:val="28"/>
              </w:rPr>
            </w:pPr>
            <w:r>
              <w:rPr>
                <w:sz w:val="28"/>
                <w:szCs w:val="28"/>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12</w:t>
            </w:r>
          </w:p>
        </w:tc>
        <w:tc>
          <w:tcPr>
            <w:tcW w:w="3402" w:type="dxa"/>
            <w:vAlign w:val="center"/>
          </w:tcPr>
          <w:p>
            <w:pPr>
              <w:adjustRightInd w:val="0"/>
              <w:rPr>
                <w:sz w:val="28"/>
                <w:szCs w:val="28"/>
              </w:rPr>
            </w:pPr>
            <w:r>
              <w:rPr>
                <w:sz w:val="28"/>
                <w:szCs w:val="28"/>
              </w:rPr>
              <w:t>割茬高度合格率（%）</w:t>
            </w:r>
          </w:p>
        </w:tc>
        <w:tc>
          <w:tcPr>
            <w:tcW w:w="4019" w:type="dxa"/>
            <w:vAlign w:val="center"/>
          </w:tcPr>
          <w:p>
            <w:pPr>
              <w:adjustRightInd w:val="0"/>
              <w:jc w:val="center"/>
              <w:rPr>
                <w:sz w:val="28"/>
                <w:szCs w:val="28"/>
              </w:rPr>
            </w:pPr>
            <w:r>
              <w:rPr>
                <w:sz w:val="28"/>
                <w:szCs w:val="28"/>
              </w:rPr>
              <w:t>55.6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13</w:t>
            </w:r>
          </w:p>
        </w:tc>
        <w:tc>
          <w:tcPr>
            <w:tcW w:w="3402" w:type="dxa"/>
            <w:vAlign w:val="center"/>
          </w:tcPr>
          <w:p>
            <w:pPr>
              <w:adjustRightInd w:val="0"/>
              <w:rPr>
                <w:sz w:val="28"/>
                <w:szCs w:val="28"/>
              </w:rPr>
            </w:pPr>
            <w:r>
              <w:rPr>
                <w:sz w:val="28"/>
                <w:szCs w:val="28"/>
              </w:rPr>
              <w:t>最小离地间隙（mm）</w:t>
            </w:r>
          </w:p>
        </w:tc>
        <w:tc>
          <w:tcPr>
            <w:tcW w:w="4019" w:type="dxa"/>
            <w:vAlign w:val="center"/>
          </w:tcPr>
          <w:p>
            <w:pPr>
              <w:adjustRightInd w:val="0"/>
              <w:jc w:val="center"/>
              <w:rPr>
                <w:sz w:val="28"/>
                <w:szCs w:val="28"/>
              </w:rPr>
            </w:pPr>
            <w:r>
              <w:rPr>
                <w:sz w:val="28"/>
                <w:szCs w:val="28"/>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14</w:t>
            </w:r>
          </w:p>
        </w:tc>
        <w:tc>
          <w:tcPr>
            <w:tcW w:w="3402" w:type="dxa"/>
            <w:vAlign w:val="center"/>
          </w:tcPr>
          <w:p>
            <w:pPr>
              <w:adjustRightInd w:val="0"/>
              <w:rPr>
                <w:sz w:val="28"/>
                <w:szCs w:val="28"/>
              </w:rPr>
            </w:pPr>
            <w:r>
              <w:rPr>
                <w:sz w:val="28"/>
                <w:szCs w:val="28"/>
              </w:rPr>
              <w:t>平均接地压力（kpa）</w:t>
            </w:r>
          </w:p>
        </w:tc>
        <w:tc>
          <w:tcPr>
            <w:tcW w:w="4019" w:type="dxa"/>
            <w:vAlign w:val="center"/>
          </w:tcPr>
          <w:p>
            <w:pPr>
              <w:adjustRightInd w:val="0"/>
              <w:jc w:val="center"/>
              <w:rPr>
                <w:sz w:val="28"/>
                <w:szCs w:val="28"/>
              </w:rPr>
            </w:pPr>
            <w:r>
              <w:rPr>
                <w:sz w:val="28"/>
                <w:szCs w:val="28"/>
              </w:rPr>
              <w:t>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15</w:t>
            </w:r>
          </w:p>
        </w:tc>
        <w:tc>
          <w:tcPr>
            <w:tcW w:w="3402" w:type="dxa"/>
            <w:vAlign w:val="center"/>
          </w:tcPr>
          <w:p>
            <w:pPr>
              <w:adjustRightInd w:val="0"/>
              <w:rPr>
                <w:sz w:val="28"/>
                <w:szCs w:val="28"/>
              </w:rPr>
            </w:pPr>
            <w:r>
              <w:rPr>
                <w:sz w:val="28"/>
                <w:szCs w:val="28"/>
              </w:rPr>
              <w:t>直行碾压率（%）</w:t>
            </w:r>
          </w:p>
        </w:tc>
        <w:tc>
          <w:tcPr>
            <w:tcW w:w="4019" w:type="dxa"/>
            <w:vAlign w:val="center"/>
          </w:tcPr>
          <w:p>
            <w:pPr>
              <w:adjustRightInd w:val="0"/>
              <w:jc w:val="center"/>
              <w:rPr>
                <w:sz w:val="28"/>
                <w:szCs w:val="28"/>
              </w:rPr>
            </w:pPr>
            <w:r>
              <w:rPr>
                <w:sz w:val="28"/>
                <w:szCs w:val="2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16</w:t>
            </w:r>
          </w:p>
        </w:tc>
        <w:tc>
          <w:tcPr>
            <w:tcW w:w="3402" w:type="dxa"/>
            <w:vAlign w:val="center"/>
          </w:tcPr>
          <w:p>
            <w:pPr>
              <w:adjustRightInd w:val="0"/>
              <w:rPr>
                <w:sz w:val="28"/>
                <w:szCs w:val="28"/>
              </w:rPr>
            </w:pPr>
            <w:r>
              <w:rPr>
                <w:sz w:val="28"/>
                <w:szCs w:val="28"/>
              </w:rPr>
              <w:t>作业效率（亩/小时）</w:t>
            </w:r>
          </w:p>
        </w:tc>
        <w:tc>
          <w:tcPr>
            <w:tcW w:w="4019" w:type="dxa"/>
            <w:vAlign w:val="center"/>
          </w:tcPr>
          <w:p>
            <w:pPr>
              <w:adjustRightInd w:val="0"/>
              <w:jc w:val="center"/>
              <w:rPr>
                <w:sz w:val="28"/>
                <w:szCs w:val="28"/>
              </w:rPr>
            </w:pPr>
            <w:r>
              <w:rPr>
                <w:sz w:val="28"/>
                <w:szCs w:val="28"/>
              </w:rPr>
              <w:t>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101" w:type="dxa"/>
            <w:vAlign w:val="center"/>
          </w:tcPr>
          <w:p>
            <w:pPr>
              <w:adjustRightInd w:val="0"/>
              <w:jc w:val="center"/>
              <w:rPr>
                <w:sz w:val="28"/>
                <w:szCs w:val="28"/>
              </w:rPr>
            </w:pPr>
            <w:r>
              <w:rPr>
                <w:sz w:val="28"/>
                <w:szCs w:val="28"/>
              </w:rPr>
              <w:t>17</w:t>
            </w:r>
          </w:p>
        </w:tc>
        <w:tc>
          <w:tcPr>
            <w:tcW w:w="3402" w:type="dxa"/>
            <w:vAlign w:val="center"/>
          </w:tcPr>
          <w:p>
            <w:pPr>
              <w:adjustRightInd w:val="0"/>
              <w:rPr>
                <w:sz w:val="28"/>
                <w:szCs w:val="28"/>
              </w:rPr>
            </w:pPr>
            <w:r>
              <w:rPr>
                <w:sz w:val="28"/>
                <w:szCs w:val="28"/>
              </w:rPr>
              <w:t>粮箱容积设计值（m</w:t>
            </w:r>
            <w:r>
              <w:rPr>
                <w:sz w:val="28"/>
                <w:szCs w:val="28"/>
                <w:vertAlign w:val="superscript"/>
              </w:rPr>
              <w:t>3</w:t>
            </w:r>
            <w:r>
              <w:rPr>
                <w:sz w:val="28"/>
                <w:szCs w:val="28"/>
              </w:rPr>
              <w:t>）</w:t>
            </w:r>
          </w:p>
        </w:tc>
        <w:tc>
          <w:tcPr>
            <w:tcW w:w="4019" w:type="dxa"/>
            <w:vAlign w:val="center"/>
          </w:tcPr>
          <w:p>
            <w:pPr>
              <w:adjustRightInd w:val="0"/>
              <w:jc w:val="center"/>
              <w:rPr>
                <w:sz w:val="28"/>
                <w:szCs w:val="28"/>
              </w:rPr>
            </w:pPr>
            <w:r>
              <w:rPr>
                <w:sz w:val="28"/>
                <w:szCs w:val="28"/>
              </w:rPr>
              <w:t>1.5</w:t>
            </w:r>
          </w:p>
        </w:tc>
      </w:tr>
    </w:tbl>
    <w:p>
      <w:pPr>
        <w:snapToGrid w:val="0"/>
        <w:spacing w:line="560" w:lineRule="exact"/>
        <w:ind w:firstLine="640" w:firstLineChars="200"/>
        <w:jc w:val="left"/>
        <w:rPr>
          <w:rFonts w:ascii="仿宋_GB2312" w:hAnsi="仿宋_GB2312" w:eastAsia="仿宋_GB2312" w:cs="仿宋_GB2312"/>
          <w:b/>
          <w:sz w:val="32"/>
          <w:szCs w:val="32"/>
        </w:rPr>
      </w:pPr>
      <w:r>
        <w:rPr>
          <w:rFonts w:hint="eastAsia" w:ascii="仿宋_GB2312" w:hAnsi="仿宋_GB2312" w:eastAsia="仿宋_GB2312" w:cs="仿宋_GB2312"/>
          <w:bCs/>
          <w:sz w:val="32"/>
          <w:szCs w:val="32"/>
        </w:rPr>
        <w:t>2.星光农机股份有限公司4LZ-4.0SZ型再生稻收割机有关参数如下：</w:t>
      </w:r>
    </w:p>
    <w:tbl>
      <w:tblPr>
        <w:tblStyle w:val="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3543"/>
        <w:gridCol w:w="3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序号</w:t>
            </w:r>
          </w:p>
        </w:tc>
        <w:tc>
          <w:tcPr>
            <w:tcW w:w="3543" w:type="dxa"/>
            <w:vAlign w:val="center"/>
          </w:tcPr>
          <w:p>
            <w:pPr>
              <w:adjustRightInd w:val="0"/>
              <w:jc w:val="center"/>
              <w:rPr>
                <w:sz w:val="28"/>
                <w:szCs w:val="28"/>
              </w:rPr>
            </w:pPr>
            <w:r>
              <w:rPr>
                <w:sz w:val="28"/>
                <w:szCs w:val="28"/>
              </w:rPr>
              <w:t>项目</w:t>
            </w:r>
          </w:p>
        </w:tc>
        <w:tc>
          <w:tcPr>
            <w:tcW w:w="3878" w:type="dxa"/>
            <w:vAlign w:val="center"/>
          </w:tcPr>
          <w:p>
            <w:pPr>
              <w:adjustRightInd w:val="0"/>
              <w:jc w:val="center"/>
              <w:rPr>
                <w:sz w:val="28"/>
                <w:szCs w:val="28"/>
              </w:rPr>
            </w:pPr>
            <w:r>
              <w:rPr>
                <w:sz w:val="28"/>
                <w:szCs w:val="28"/>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1</w:t>
            </w:r>
          </w:p>
        </w:tc>
        <w:tc>
          <w:tcPr>
            <w:tcW w:w="3543" w:type="dxa"/>
            <w:vAlign w:val="center"/>
          </w:tcPr>
          <w:p>
            <w:pPr>
              <w:adjustRightInd w:val="0"/>
              <w:jc w:val="center"/>
              <w:rPr>
                <w:sz w:val="28"/>
                <w:szCs w:val="28"/>
              </w:rPr>
            </w:pPr>
            <w:r>
              <w:rPr>
                <w:sz w:val="28"/>
                <w:szCs w:val="28"/>
              </w:rPr>
              <w:t>结构型式</w:t>
            </w:r>
          </w:p>
        </w:tc>
        <w:tc>
          <w:tcPr>
            <w:tcW w:w="3878" w:type="dxa"/>
            <w:vAlign w:val="center"/>
          </w:tcPr>
          <w:p>
            <w:pPr>
              <w:adjustRightInd w:val="0"/>
              <w:jc w:val="center"/>
              <w:rPr>
                <w:sz w:val="28"/>
                <w:szCs w:val="28"/>
              </w:rPr>
            </w:pPr>
            <w:r>
              <w:rPr>
                <w:sz w:val="28"/>
                <w:szCs w:val="28"/>
              </w:rPr>
              <w:t>履带自走式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2</w:t>
            </w:r>
          </w:p>
        </w:tc>
        <w:tc>
          <w:tcPr>
            <w:tcW w:w="3543" w:type="dxa"/>
            <w:vAlign w:val="center"/>
          </w:tcPr>
          <w:p>
            <w:pPr>
              <w:adjustRightInd w:val="0"/>
              <w:jc w:val="center"/>
              <w:rPr>
                <w:sz w:val="28"/>
                <w:szCs w:val="28"/>
              </w:rPr>
            </w:pPr>
            <w:r>
              <w:rPr>
                <w:sz w:val="28"/>
                <w:szCs w:val="28"/>
              </w:rPr>
              <w:t>喂入方式</w:t>
            </w:r>
          </w:p>
        </w:tc>
        <w:tc>
          <w:tcPr>
            <w:tcW w:w="3878" w:type="dxa"/>
            <w:vAlign w:val="center"/>
          </w:tcPr>
          <w:p>
            <w:pPr>
              <w:adjustRightInd w:val="0"/>
              <w:jc w:val="center"/>
              <w:rPr>
                <w:sz w:val="28"/>
                <w:szCs w:val="28"/>
              </w:rPr>
            </w:pPr>
            <w:r>
              <w:rPr>
                <w:sz w:val="28"/>
                <w:szCs w:val="28"/>
              </w:rPr>
              <w:t>全喂入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3</w:t>
            </w:r>
          </w:p>
        </w:tc>
        <w:tc>
          <w:tcPr>
            <w:tcW w:w="3543" w:type="dxa"/>
            <w:vAlign w:val="center"/>
          </w:tcPr>
          <w:p>
            <w:pPr>
              <w:adjustRightInd w:val="0"/>
              <w:jc w:val="center"/>
              <w:rPr>
                <w:sz w:val="28"/>
                <w:szCs w:val="28"/>
              </w:rPr>
            </w:pPr>
            <w:r>
              <w:rPr>
                <w:sz w:val="28"/>
                <w:szCs w:val="28"/>
              </w:rPr>
              <w:t>喂入量</w:t>
            </w:r>
            <w:r>
              <w:rPr>
                <w:rFonts w:hint="eastAsia"/>
                <w:sz w:val="28"/>
                <w:szCs w:val="28"/>
              </w:rPr>
              <w:t>设计值（kg/s）</w:t>
            </w:r>
          </w:p>
        </w:tc>
        <w:tc>
          <w:tcPr>
            <w:tcW w:w="3878" w:type="dxa"/>
            <w:vAlign w:val="center"/>
          </w:tcPr>
          <w:p>
            <w:pPr>
              <w:adjustRightInd w:val="0"/>
              <w:jc w:val="center"/>
              <w:rPr>
                <w:sz w:val="28"/>
                <w:szCs w:val="28"/>
              </w:rPr>
            </w:pPr>
            <w:r>
              <w:rPr>
                <w:sz w:val="28"/>
                <w:szCs w:val="2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rFonts w:hint="eastAsia"/>
                <w:sz w:val="28"/>
                <w:szCs w:val="28"/>
              </w:rPr>
              <w:t>4</w:t>
            </w:r>
          </w:p>
        </w:tc>
        <w:tc>
          <w:tcPr>
            <w:tcW w:w="3543" w:type="dxa"/>
            <w:vAlign w:val="center"/>
          </w:tcPr>
          <w:p>
            <w:pPr>
              <w:adjustRightInd w:val="0"/>
              <w:jc w:val="center"/>
              <w:rPr>
                <w:sz w:val="28"/>
                <w:szCs w:val="28"/>
              </w:rPr>
            </w:pPr>
            <w:r>
              <w:rPr>
                <w:rFonts w:hint="eastAsia"/>
                <w:sz w:val="28"/>
                <w:szCs w:val="28"/>
              </w:rPr>
              <w:t>发动机标定功率（</w:t>
            </w:r>
            <w:r>
              <w:rPr>
                <w:sz w:val="28"/>
                <w:szCs w:val="28"/>
              </w:rPr>
              <w:t>kW</w:t>
            </w:r>
            <w:r>
              <w:rPr>
                <w:rFonts w:hint="eastAsia"/>
                <w:sz w:val="28"/>
                <w:szCs w:val="28"/>
              </w:rPr>
              <w:t>）</w:t>
            </w:r>
          </w:p>
        </w:tc>
        <w:tc>
          <w:tcPr>
            <w:tcW w:w="3878" w:type="dxa"/>
            <w:vAlign w:val="center"/>
          </w:tcPr>
          <w:p>
            <w:pPr>
              <w:adjustRightInd w:val="0"/>
              <w:jc w:val="center"/>
              <w:rPr>
                <w:sz w:val="28"/>
                <w:szCs w:val="28"/>
              </w:rPr>
            </w:pPr>
            <w:r>
              <w:rPr>
                <w:sz w:val="28"/>
                <w:szCs w:val="28"/>
              </w:rPr>
              <w:t>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1101" w:type="dxa"/>
            <w:vAlign w:val="center"/>
          </w:tcPr>
          <w:p>
            <w:pPr>
              <w:adjustRightInd w:val="0"/>
              <w:jc w:val="center"/>
              <w:rPr>
                <w:sz w:val="28"/>
                <w:szCs w:val="28"/>
              </w:rPr>
            </w:pPr>
            <w:r>
              <w:rPr>
                <w:sz w:val="28"/>
                <w:szCs w:val="28"/>
              </w:rPr>
              <w:t>5</w:t>
            </w:r>
          </w:p>
        </w:tc>
        <w:tc>
          <w:tcPr>
            <w:tcW w:w="3543" w:type="dxa"/>
            <w:vAlign w:val="center"/>
          </w:tcPr>
          <w:p>
            <w:pPr>
              <w:adjustRightInd w:val="0"/>
              <w:jc w:val="center"/>
              <w:rPr>
                <w:sz w:val="28"/>
                <w:szCs w:val="28"/>
              </w:rPr>
            </w:pPr>
            <w:r>
              <w:rPr>
                <w:sz w:val="28"/>
                <w:szCs w:val="28"/>
              </w:rPr>
              <w:t>工作幅宽</w:t>
            </w:r>
            <w:r>
              <w:rPr>
                <w:rFonts w:hint="eastAsia"/>
                <w:sz w:val="28"/>
                <w:szCs w:val="28"/>
              </w:rPr>
              <w:t>（mm）</w:t>
            </w:r>
          </w:p>
        </w:tc>
        <w:tc>
          <w:tcPr>
            <w:tcW w:w="3878" w:type="dxa"/>
            <w:vAlign w:val="center"/>
          </w:tcPr>
          <w:p>
            <w:pPr>
              <w:adjustRightInd w:val="0"/>
              <w:jc w:val="center"/>
              <w:rPr>
                <w:sz w:val="28"/>
                <w:szCs w:val="28"/>
              </w:rPr>
            </w:pPr>
            <w:r>
              <w:rPr>
                <w:sz w:val="28"/>
                <w:szCs w:val="28"/>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6</w:t>
            </w:r>
          </w:p>
        </w:tc>
        <w:tc>
          <w:tcPr>
            <w:tcW w:w="3543" w:type="dxa"/>
            <w:vAlign w:val="center"/>
          </w:tcPr>
          <w:p>
            <w:pPr>
              <w:adjustRightInd w:val="0"/>
              <w:jc w:val="center"/>
              <w:rPr>
                <w:sz w:val="28"/>
                <w:szCs w:val="28"/>
              </w:rPr>
            </w:pPr>
            <w:r>
              <w:rPr>
                <w:rFonts w:hint="eastAsia"/>
                <w:sz w:val="28"/>
                <w:szCs w:val="28"/>
              </w:rPr>
              <w:t>履带宽度（mm）</w:t>
            </w:r>
          </w:p>
        </w:tc>
        <w:tc>
          <w:tcPr>
            <w:tcW w:w="3878" w:type="dxa"/>
            <w:vAlign w:val="center"/>
          </w:tcPr>
          <w:p>
            <w:pPr>
              <w:adjustRightInd w:val="0"/>
              <w:jc w:val="center"/>
              <w:rPr>
                <w:sz w:val="28"/>
                <w:szCs w:val="28"/>
              </w:rPr>
            </w:pPr>
            <w:r>
              <w:rPr>
                <w:sz w:val="28"/>
                <w:szCs w:val="28"/>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7</w:t>
            </w:r>
          </w:p>
        </w:tc>
        <w:tc>
          <w:tcPr>
            <w:tcW w:w="3543" w:type="dxa"/>
            <w:vAlign w:val="center"/>
          </w:tcPr>
          <w:p>
            <w:pPr>
              <w:adjustRightInd w:val="0"/>
              <w:jc w:val="center"/>
              <w:rPr>
                <w:sz w:val="28"/>
                <w:szCs w:val="28"/>
              </w:rPr>
            </w:pPr>
            <w:r>
              <w:rPr>
                <w:sz w:val="28"/>
                <w:szCs w:val="28"/>
              </w:rPr>
              <w:t>卸粮方式</w:t>
            </w:r>
          </w:p>
        </w:tc>
        <w:tc>
          <w:tcPr>
            <w:tcW w:w="3878" w:type="dxa"/>
            <w:vAlign w:val="center"/>
          </w:tcPr>
          <w:p>
            <w:pPr>
              <w:adjustRightInd w:val="0"/>
              <w:jc w:val="center"/>
              <w:rPr>
                <w:sz w:val="28"/>
                <w:szCs w:val="28"/>
              </w:rPr>
            </w:pPr>
            <w:r>
              <w:rPr>
                <w:sz w:val="28"/>
                <w:szCs w:val="28"/>
              </w:rPr>
              <w:t>自动卸粮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8</w:t>
            </w:r>
          </w:p>
        </w:tc>
        <w:tc>
          <w:tcPr>
            <w:tcW w:w="3543" w:type="dxa"/>
            <w:vAlign w:val="center"/>
          </w:tcPr>
          <w:p>
            <w:pPr>
              <w:adjustRightInd w:val="0"/>
              <w:jc w:val="center"/>
              <w:rPr>
                <w:sz w:val="28"/>
                <w:szCs w:val="28"/>
              </w:rPr>
            </w:pPr>
            <w:r>
              <w:rPr>
                <w:sz w:val="28"/>
                <w:szCs w:val="28"/>
              </w:rPr>
              <w:t>作业速度（km/h）</w:t>
            </w:r>
          </w:p>
        </w:tc>
        <w:tc>
          <w:tcPr>
            <w:tcW w:w="3878" w:type="dxa"/>
            <w:vAlign w:val="center"/>
          </w:tcPr>
          <w:p>
            <w:pPr>
              <w:adjustRightInd w:val="0"/>
              <w:jc w:val="center"/>
              <w:rPr>
                <w:sz w:val="28"/>
                <w:szCs w:val="28"/>
              </w:rPr>
            </w:pPr>
            <w:r>
              <w:rPr>
                <w:sz w:val="28"/>
                <w:szCs w:val="28"/>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9</w:t>
            </w:r>
          </w:p>
        </w:tc>
        <w:tc>
          <w:tcPr>
            <w:tcW w:w="3543" w:type="dxa"/>
            <w:vAlign w:val="center"/>
          </w:tcPr>
          <w:p>
            <w:pPr>
              <w:adjustRightInd w:val="0"/>
              <w:jc w:val="center"/>
              <w:rPr>
                <w:sz w:val="28"/>
                <w:szCs w:val="28"/>
              </w:rPr>
            </w:pPr>
            <w:r>
              <w:rPr>
                <w:sz w:val="28"/>
                <w:szCs w:val="28"/>
              </w:rPr>
              <w:t>损失率（%）</w:t>
            </w:r>
          </w:p>
        </w:tc>
        <w:tc>
          <w:tcPr>
            <w:tcW w:w="3878" w:type="dxa"/>
            <w:vAlign w:val="center"/>
          </w:tcPr>
          <w:p>
            <w:pPr>
              <w:adjustRightInd w:val="0"/>
              <w:jc w:val="center"/>
              <w:rPr>
                <w:sz w:val="28"/>
                <w:szCs w:val="28"/>
              </w:rPr>
            </w:pPr>
            <w:r>
              <w:rPr>
                <w:sz w:val="28"/>
                <w:szCs w:val="28"/>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10</w:t>
            </w:r>
          </w:p>
        </w:tc>
        <w:tc>
          <w:tcPr>
            <w:tcW w:w="3543" w:type="dxa"/>
            <w:vAlign w:val="center"/>
          </w:tcPr>
          <w:p>
            <w:pPr>
              <w:adjustRightInd w:val="0"/>
              <w:jc w:val="center"/>
              <w:rPr>
                <w:sz w:val="28"/>
                <w:szCs w:val="28"/>
              </w:rPr>
            </w:pPr>
            <w:r>
              <w:rPr>
                <w:sz w:val="28"/>
                <w:szCs w:val="28"/>
              </w:rPr>
              <w:t>破碎率（%）</w:t>
            </w:r>
          </w:p>
        </w:tc>
        <w:tc>
          <w:tcPr>
            <w:tcW w:w="3878" w:type="dxa"/>
            <w:vAlign w:val="center"/>
          </w:tcPr>
          <w:p>
            <w:pPr>
              <w:adjustRightInd w:val="0"/>
              <w:jc w:val="center"/>
              <w:rPr>
                <w:sz w:val="28"/>
                <w:szCs w:val="28"/>
              </w:rPr>
            </w:pPr>
            <w:r>
              <w:rPr>
                <w:sz w:val="28"/>
                <w:szCs w:val="28"/>
              </w:rPr>
              <w:t>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1101" w:type="dxa"/>
            <w:vAlign w:val="center"/>
          </w:tcPr>
          <w:p>
            <w:pPr>
              <w:adjustRightInd w:val="0"/>
              <w:jc w:val="center"/>
              <w:rPr>
                <w:sz w:val="28"/>
                <w:szCs w:val="28"/>
              </w:rPr>
            </w:pPr>
            <w:r>
              <w:rPr>
                <w:sz w:val="28"/>
                <w:szCs w:val="28"/>
              </w:rPr>
              <w:t>11</w:t>
            </w:r>
          </w:p>
        </w:tc>
        <w:tc>
          <w:tcPr>
            <w:tcW w:w="3543" w:type="dxa"/>
            <w:vAlign w:val="center"/>
          </w:tcPr>
          <w:p>
            <w:pPr>
              <w:adjustRightInd w:val="0"/>
              <w:jc w:val="center"/>
              <w:rPr>
                <w:sz w:val="28"/>
                <w:szCs w:val="28"/>
              </w:rPr>
            </w:pPr>
            <w:r>
              <w:rPr>
                <w:sz w:val="28"/>
                <w:szCs w:val="28"/>
              </w:rPr>
              <w:t>含杂率（%）</w:t>
            </w:r>
          </w:p>
        </w:tc>
        <w:tc>
          <w:tcPr>
            <w:tcW w:w="3878" w:type="dxa"/>
            <w:vAlign w:val="center"/>
          </w:tcPr>
          <w:p>
            <w:pPr>
              <w:adjustRightInd w:val="0"/>
              <w:jc w:val="center"/>
              <w:rPr>
                <w:sz w:val="28"/>
                <w:szCs w:val="28"/>
              </w:rPr>
            </w:pPr>
            <w:r>
              <w:rPr>
                <w:sz w:val="28"/>
                <w:szCs w:val="28"/>
              </w:rPr>
              <w:t>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12</w:t>
            </w:r>
          </w:p>
        </w:tc>
        <w:tc>
          <w:tcPr>
            <w:tcW w:w="3543" w:type="dxa"/>
            <w:vAlign w:val="center"/>
          </w:tcPr>
          <w:p>
            <w:pPr>
              <w:adjustRightInd w:val="0"/>
              <w:jc w:val="center"/>
              <w:rPr>
                <w:sz w:val="28"/>
                <w:szCs w:val="28"/>
              </w:rPr>
            </w:pPr>
            <w:r>
              <w:rPr>
                <w:sz w:val="28"/>
                <w:szCs w:val="28"/>
              </w:rPr>
              <w:t>割茬高度合格率（%）</w:t>
            </w:r>
          </w:p>
        </w:tc>
        <w:tc>
          <w:tcPr>
            <w:tcW w:w="3878" w:type="dxa"/>
            <w:vAlign w:val="center"/>
          </w:tcPr>
          <w:p>
            <w:pPr>
              <w:adjustRightInd w:val="0"/>
              <w:jc w:val="center"/>
              <w:rPr>
                <w:sz w:val="28"/>
                <w:szCs w:val="28"/>
              </w:rPr>
            </w:pPr>
            <w:r>
              <w:rPr>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13</w:t>
            </w:r>
          </w:p>
        </w:tc>
        <w:tc>
          <w:tcPr>
            <w:tcW w:w="3543" w:type="dxa"/>
            <w:vAlign w:val="center"/>
          </w:tcPr>
          <w:p>
            <w:pPr>
              <w:adjustRightInd w:val="0"/>
              <w:jc w:val="center"/>
              <w:rPr>
                <w:sz w:val="28"/>
                <w:szCs w:val="28"/>
              </w:rPr>
            </w:pPr>
            <w:r>
              <w:rPr>
                <w:sz w:val="28"/>
                <w:szCs w:val="28"/>
              </w:rPr>
              <w:t>最小离地间隙（mm）</w:t>
            </w:r>
          </w:p>
        </w:tc>
        <w:tc>
          <w:tcPr>
            <w:tcW w:w="3878" w:type="dxa"/>
            <w:vAlign w:val="center"/>
          </w:tcPr>
          <w:p>
            <w:pPr>
              <w:adjustRightInd w:val="0"/>
              <w:jc w:val="center"/>
              <w:rPr>
                <w:sz w:val="28"/>
                <w:szCs w:val="28"/>
              </w:rPr>
            </w:pPr>
            <w:r>
              <w:rPr>
                <w:sz w:val="28"/>
                <w:szCs w:val="28"/>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14</w:t>
            </w:r>
          </w:p>
        </w:tc>
        <w:tc>
          <w:tcPr>
            <w:tcW w:w="3543" w:type="dxa"/>
            <w:vAlign w:val="center"/>
          </w:tcPr>
          <w:p>
            <w:pPr>
              <w:adjustRightInd w:val="0"/>
              <w:jc w:val="center"/>
              <w:rPr>
                <w:sz w:val="28"/>
                <w:szCs w:val="28"/>
              </w:rPr>
            </w:pPr>
            <w:r>
              <w:rPr>
                <w:sz w:val="28"/>
                <w:szCs w:val="28"/>
              </w:rPr>
              <w:t>平均接地压力（kpa）</w:t>
            </w:r>
          </w:p>
        </w:tc>
        <w:tc>
          <w:tcPr>
            <w:tcW w:w="3878" w:type="dxa"/>
            <w:vAlign w:val="center"/>
          </w:tcPr>
          <w:p>
            <w:pPr>
              <w:adjustRightInd w:val="0"/>
              <w:jc w:val="center"/>
              <w:rPr>
                <w:sz w:val="28"/>
                <w:szCs w:val="28"/>
              </w:rPr>
            </w:pPr>
            <w:r>
              <w:rPr>
                <w:sz w:val="28"/>
                <w:szCs w:val="28"/>
              </w:rPr>
              <w:t>29.55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15</w:t>
            </w:r>
          </w:p>
        </w:tc>
        <w:tc>
          <w:tcPr>
            <w:tcW w:w="3543" w:type="dxa"/>
            <w:vAlign w:val="center"/>
          </w:tcPr>
          <w:p>
            <w:pPr>
              <w:adjustRightInd w:val="0"/>
              <w:jc w:val="center"/>
              <w:rPr>
                <w:sz w:val="28"/>
                <w:szCs w:val="28"/>
              </w:rPr>
            </w:pPr>
            <w:r>
              <w:rPr>
                <w:sz w:val="28"/>
                <w:szCs w:val="28"/>
              </w:rPr>
              <w:t>直行碾压率（%）</w:t>
            </w:r>
          </w:p>
        </w:tc>
        <w:tc>
          <w:tcPr>
            <w:tcW w:w="3878" w:type="dxa"/>
            <w:vAlign w:val="center"/>
          </w:tcPr>
          <w:p>
            <w:pPr>
              <w:adjustRightInd w:val="0"/>
              <w:jc w:val="center"/>
              <w:rPr>
                <w:sz w:val="28"/>
                <w:szCs w:val="28"/>
              </w:rPr>
            </w:pPr>
            <w:r>
              <w:rPr>
                <w:sz w:val="28"/>
                <w:szCs w:val="28"/>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101" w:type="dxa"/>
            <w:vAlign w:val="center"/>
          </w:tcPr>
          <w:p>
            <w:pPr>
              <w:adjustRightInd w:val="0"/>
              <w:jc w:val="center"/>
              <w:rPr>
                <w:sz w:val="28"/>
                <w:szCs w:val="28"/>
              </w:rPr>
            </w:pPr>
            <w:r>
              <w:rPr>
                <w:sz w:val="28"/>
                <w:szCs w:val="28"/>
              </w:rPr>
              <w:t>16</w:t>
            </w:r>
          </w:p>
        </w:tc>
        <w:tc>
          <w:tcPr>
            <w:tcW w:w="3543" w:type="dxa"/>
            <w:vAlign w:val="center"/>
          </w:tcPr>
          <w:p>
            <w:pPr>
              <w:adjustRightInd w:val="0"/>
              <w:jc w:val="center"/>
              <w:rPr>
                <w:sz w:val="28"/>
                <w:szCs w:val="28"/>
              </w:rPr>
            </w:pPr>
            <w:r>
              <w:rPr>
                <w:sz w:val="28"/>
                <w:szCs w:val="28"/>
              </w:rPr>
              <w:t>作业效率（亩/小时）</w:t>
            </w:r>
          </w:p>
        </w:tc>
        <w:tc>
          <w:tcPr>
            <w:tcW w:w="3878" w:type="dxa"/>
            <w:vAlign w:val="center"/>
          </w:tcPr>
          <w:p>
            <w:pPr>
              <w:adjustRightInd w:val="0"/>
              <w:jc w:val="center"/>
              <w:rPr>
                <w:sz w:val="28"/>
                <w:szCs w:val="28"/>
              </w:rPr>
            </w:pPr>
            <w:r>
              <w:rPr>
                <w:sz w:val="28"/>
                <w:szCs w:val="28"/>
              </w:rPr>
              <w:t>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1101" w:type="dxa"/>
            <w:vAlign w:val="center"/>
          </w:tcPr>
          <w:p>
            <w:pPr>
              <w:adjustRightInd w:val="0"/>
              <w:jc w:val="center"/>
              <w:rPr>
                <w:sz w:val="28"/>
                <w:szCs w:val="28"/>
              </w:rPr>
            </w:pPr>
            <w:r>
              <w:rPr>
                <w:sz w:val="28"/>
                <w:szCs w:val="28"/>
              </w:rPr>
              <w:t>17</w:t>
            </w:r>
          </w:p>
        </w:tc>
        <w:tc>
          <w:tcPr>
            <w:tcW w:w="3543" w:type="dxa"/>
            <w:vAlign w:val="center"/>
          </w:tcPr>
          <w:p>
            <w:pPr>
              <w:adjustRightInd w:val="0"/>
              <w:jc w:val="center"/>
              <w:rPr>
                <w:sz w:val="28"/>
                <w:szCs w:val="28"/>
              </w:rPr>
            </w:pPr>
            <w:r>
              <w:rPr>
                <w:sz w:val="28"/>
                <w:szCs w:val="28"/>
              </w:rPr>
              <w:t>粮箱容积设计值（m3）</w:t>
            </w:r>
          </w:p>
        </w:tc>
        <w:tc>
          <w:tcPr>
            <w:tcW w:w="3878" w:type="dxa"/>
            <w:vAlign w:val="center"/>
          </w:tcPr>
          <w:p>
            <w:pPr>
              <w:adjustRightInd w:val="0"/>
              <w:jc w:val="center"/>
              <w:rPr>
                <w:sz w:val="28"/>
                <w:szCs w:val="28"/>
              </w:rPr>
            </w:pPr>
            <w:r>
              <w:rPr>
                <w:sz w:val="28"/>
                <w:szCs w:val="28"/>
              </w:rPr>
              <w:t>1.5m3</w:t>
            </w:r>
          </w:p>
        </w:tc>
      </w:tr>
    </w:tbl>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3.湖南龙舟农机股份有限公司4LZ—4.0型再生稻谷物联合收割机有关参数如下：</w:t>
      </w:r>
    </w:p>
    <w:tbl>
      <w:tblPr>
        <w:tblStyle w:val="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3402"/>
        <w:gridCol w:w="4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rFonts w:eastAsia="黑体"/>
                <w:sz w:val="28"/>
                <w:szCs w:val="28"/>
              </w:rPr>
            </w:pPr>
            <w:r>
              <w:rPr>
                <w:rFonts w:eastAsia="黑体"/>
                <w:sz w:val="28"/>
                <w:szCs w:val="28"/>
              </w:rPr>
              <w:t>序号</w:t>
            </w:r>
          </w:p>
        </w:tc>
        <w:tc>
          <w:tcPr>
            <w:tcW w:w="3402" w:type="dxa"/>
            <w:vAlign w:val="center"/>
          </w:tcPr>
          <w:p>
            <w:pPr>
              <w:adjustRightInd w:val="0"/>
              <w:jc w:val="center"/>
              <w:rPr>
                <w:rFonts w:eastAsia="黑体"/>
                <w:sz w:val="28"/>
                <w:szCs w:val="28"/>
              </w:rPr>
            </w:pPr>
            <w:r>
              <w:rPr>
                <w:rFonts w:eastAsia="黑体"/>
                <w:sz w:val="28"/>
                <w:szCs w:val="28"/>
              </w:rPr>
              <w:t>项目</w:t>
            </w:r>
          </w:p>
        </w:tc>
        <w:tc>
          <w:tcPr>
            <w:tcW w:w="4019" w:type="dxa"/>
            <w:vAlign w:val="center"/>
          </w:tcPr>
          <w:p>
            <w:pPr>
              <w:adjustRightInd w:val="0"/>
              <w:jc w:val="center"/>
              <w:rPr>
                <w:rFonts w:eastAsia="黑体"/>
                <w:sz w:val="28"/>
                <w:szCs w:val="28"/>
              </w:rPr>
            </w:pPr>
            <w:r>
              <w:rPr>
                <w:rFonts w:eastAsia="黑体"/>
                <w:sz w:val="28"/>
                <w:szCs w:val="28"/>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1</w:t>
            </w:r>
          </w:p>
        </w:tc>
        <w:tc>
          <w:tcPr>
            <w:tcW w:w="3402" w:type="dxa"/>
            <w:vAlign w:val="center"/>
          </w:tcPr>
          <w:p>
            <w:pPr>
              <w:adjustRightInd w:val="0"/>
              <w:rPr>
                <w:rFonts w:asciiTheme="minorEastAsia" w:hAnsiTheme="minorEastAsia"/>
                <w:sz w:val="28"/>
                <w:szCs w:val="28"/>
              </w:rPr>
            </w:pPr>
            <w:r>
              <w:rPr>
                <w:rFonts w:asciiTheme="minorEastAsia" w:hAnsiTheme="minorEastAsia"/>
                <w:sz w:val="28"/>
                <w:szCs w:val="28"/>
              </w:rPr>
              <w:t>结构型式</w:t>
            </w:r>
          </w:p>
        </w:tc>
        <w:tc>
          <w:tcPr>
            <w:tcW w:w="4019" w:type="dxa"/>
            <w:vAlign w:val="center"/>
          </w:tcPr>
          <w:p>
            <w:pPr>
              <w:adjustRightInd w:val="0"/>
              <w:jc w:val="center"/>
              <w:rPr>
                <w:rFonts w:asciiTheme="minorEastAsia" w:hAnsiTheme="minorEastAsia"/>
                <w:sz w:val="28"/>
                <w:szCs w:val="28"/>
              </w:rPr>
            </w:pPr>
            <w:r>
              <w:rPr>
                <w:rFonts w:asciiTheme="minorEastAsia" w:hAnsiTheme="minorEastAsia"/>
                <w:sz w:val="28"/>
                <w:szCs w:val="28"/>
              </w:rPr>
              <w:t>履带自走式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2</w:t>
            </w:r>
          </w:p>
        </w:tc>
        <w:tc>
          <w:tcPr>
            <w:tcW w:w="3402" w:type="dxa"/>
            <w:vAlign w:val="center"/>
          </w:tcPr>
          <w:p>
            <w:pPr>
              <w:adjustRightInd w:val="0"/>
              <w:rPr>
                <w:rFonts w:asciiTheme="minorEastAsia" w:hAnsiTheme="minorEastAsia"/>
                <w:sz w:val="28"/>
                <w:szCs w:val="28"/>
              </w:rPr>
            </w:pPr>
            <w:r>
              <w:rPr>
                <w:rFonts w:asciiTheme="minorEastAsia" w:hAnsiTheme="minorEastAsia"/>
                <w:sz w:val="28"/>
                <w:szCs w:val="28"/>
              </w:rPr>
              <w:t>喂入方式</w:t>
            </w:r>
          </w:p>
        </w:tc>
        <w:tc>
          <w:tcPr>
            <w:tcW w:w="4019" w:type="dxa"/>
            <w:vAlign w:val="center"/>
          </w:tcPr>
          <w:p>
            <w:pPr>
              <w:adjustRightInd w:val="0"/>
              <w:jc w:val="center"/>
              <w:rPr>
                <w:rFonts w:asciiTheme="minorEastAsia" w:hAnsiTheme="minorEastAsia"/>
                <w:sz w:val="28"/>
                <w:szCs w:val="28"/>
              </w:rPr>
            </w:pPr>
            <w:r>
              <w:rPr>
                <w:rFonts w:asciiTheme="minorEastAsia" w:hAnsiTheme="minorEastAsia"/>
                <w:sz w:val="28"/>
                <w:szCs w:val="28"/>
              </w:rPr>
              <w:t>全喂入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3</w:t>
            </w:r>
          </w:p>
        </w:tc>
        <w:tc>
          <w:tcPr>
            <w:tcW w:w="3402" w:type="dxa"/>
            <w:vAlign w:val="center"/>
          </w:tcPr>
          <w:p>
            <w:pPr>
              <w:adjustRightInd w:val="0"/>
              <w:rPr>
                <w:rFonts w:asciiTheme="minorEastAsia" w:hAnsiTheme="minorEastAsia"/>
                <w:sz w:val="28"/>
                <w:szCs w:val="28"/>
              </w:rPr>
            </w:pPr>
            <w:r>
              <w:rPr>
                <w:rFonts w:asciiTheme="minorEastAsia" w:hAnsiTheme="minorEastAsia"/>
                <w:sz w:val="28"/>
                <w:szCs w:val="28"/>
              </w:rPr>
              <w:t>喂入量</w:t>
            </w:r>
            <w:r>
              <w:rPr>
                <w:rFonts w:hint="eastAsia" w:asciiTheme="minorEastAsia" w:hAnsiTheme="minorEastAsia"/>
                <w:sz w:val="28"/>
                <w:szCs w:val="28"/>
              </w:rPr>
              <w:t>设计值（kg/s）</w:t>
            </w:r>
          </w:p>
        </w:tc>
        <w:tc>
          <w:tcPr>
            <w:tcW w:w="4019" w:type="dxa"/>
            <w:vAlign w:val="center"/>
          </w:tcPr>
          <w:p>
            <w:pPr>
              <w:adjustRightInd w:val="0"/>
              <w:jc w:val="center"/>
              <w:rPr>
                <w:rFonts w:asciiTheme="minorEastAsia" w:hAnsiTheme="minorEastAsia"/>
                <w:sz w:val="28"/>
                <w:szCs w:val="28"/>
              </w:rPr>
            </w:pPr>
            <w:r>
              <w:rPr>
                <w:rFonts w:asciiTheme="minorEastAsia" w:hAnsiTheme="minorEastAsia"/>
                <w:sz w:val="28"/>
                <w:szCs w:val="2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rFonts w:hint="eastAsia"/>
                <w:sz w:val="28"/>
                <w:szCs w:val="28"/>
              </w:rPr>
              <w:t>4</w:t>
            </w:r>
          </w:p>
        </w:tc>
        <w:tc>
          <w:tcPr>
            <w:tcW w:w="3402" w:type="dxa"/>
            <w:vAlign w:val="center"/>
          </w:tcPr>
          <w:p>
            <w:pPr>
              <w:adjustRightInd w:val="0"/>
              <w:rPr>
                <w:rFonts w:asciiTheme="minorEastAsia" w:hAnsiTheme="minorEastAsia"/>
                <w:sz w:val="28"/>
                <w:szCs w:val="28"/>
              </w:rPr>
            </w:pPr>
            <w:r>
              <w:rPr>
                <w:rFonts w:hint="eastAsia" w:asciiTheme="minorEastAsia" w:hAnsiTheme="minorEastAsia"/>
                <w:sz w:val="28"/>
                <w:szCs w:val="28"/>
              </w:rPr>
              <w:t>发动机标定功率（</w:t>
            </w:r>
            <w:r>
              <w:rPr>
                <w:rFonts w:asciiTheme="minorEastAsia" w:hAnsiTheme="minorEastAsia"/>
                <w:sz w:val="28"/>
                <w:szCs w:val="28"/>
              </w:rPr>
              <w:t>kW</w:t>
            </w:r>
            <w:r>
              <w:rPr>
                <w:rFonts w:hint="eastAsia" w:asciiTheme="minorEastAsia" w:hAnsiTheme="minorEastAsia"/>
                <w:sz w:val="28"/>
                <w:szCs w:val="28"/>
              </w:rPr>
              <w:t>）</w:t>
            </w:r>
          </w:p>
        </w:tc>
        <w:tc>
          <w:tcPr>
            <w:tcW w:w="4019" w:type="dxa"/>
            <w:vAlign w:val="center"/>
          </w:tcPr>
          <w:p>
            <w:pPr>
              <w:adjustRightInd w:val="0"/>
              <w:jc w:val="center"/>
              <w:rPr>
                <w:rFonts w:asciiTheme="minorEastAsia" w:hAnsiTheme="minorEastAsia"/>
                <w:sz w:val="28"/>
                <w:szCs w:val="28"/>
              </w:rPr>
            </w:pPr>
            <w:r>
              <w:rPr>
                <w:rFonts w:hint="eastAsia" w:asciiTheme="minorEastAsia" w:hAnsiTheme="minorEastAsia"/>
                <w:sz w:val="28"/>
                <w:szCs w:val="28"/>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exact"/>
          <w:jc w:val="center"/>
        </w:trPr>
        <w:tc>
          <w:tcPr>
            <w:tcW w:w="1101" w:type="dxa"/>
            <w:vAlign w:val="center"/>
          </w:tcPr>
          <w:p>
            <w:pPr>
              <w:adjustRightInd w:val="0"/>
              <w:jc w:val="center"/>
              <w:rPr>
                <w:sz w:val="28"/>
                <w:szCs w:val="28"/>
              </w:rPr>
            </w:pPr>
            <w:r>
              <w:rPr>
                <w:sz w:val="28"/>
                <w:szCs w:val="28"/>
              </w:rPr>
              <w:t>5</w:t>
            </w:r>
          </w:p>
        </w:tc>
        <w:tc>
          <w:tcPr>
            <w:tcW w:w="3402" w:type="dxa"/>
            <w:vAlign w:val="center"/>
          </w:tcPr>
          <w:p>
            <w:pPr>
              <w:adjustRightInd w:val="0"/>
              <w:rPr>
                <w:rFonts w:asciiTheme="minorEastAsia" w:hAnsiTheme="minorEastAsia"/>
                <w:sz w:val="28"/>
                <w:szCs w:val="28"/>
              </w:rPr>
            </w:pPr>
            <w:r>
              <w:rPr>
                <w:rFonts w:asciiTheme="minorEastAsia" w:hAnsiTheme="minorEastAsia"/>
                <w:sz w:val="28"/>
                <w:szCs w:val="28"/>
              </w:rPr>
              <w:t>工作幅宽</w:t>
            </w:r>
            <w:r>
              <w:rPr>
                <w:rFonts w:hint="eastAsia" w:asciiTheme="minorEastAsia" w:hAnsiTheme="minorEastAsia"/>
                <w:sz w:val="28"/>
                <w:szCs w:val="28"/>
              </w:rPr>
              <w:t>（mm）</w:t>
            </w:r>
          </w:p>
        </w:tc>
        <w:tc>
          <w:tcPr>
            <w:tcW w:w="4019" w:type="dxa"/>
            <w:vAlign w:val="center"/>
          </w:tcPr>
          <w:p>
            <w:pPr>
              <w:adjustRightInd w:val="0"/>
              <w:jc w:val="center"/>
              <w:rPr>
                <w:rFonts w:asciiTheme="minorEastAsia" w:hAnsiTheme="minorEastAsia"/>
                <w:sz w:val="28"/>
                <w:szCs w:val="28"/>
              </w:rPr>
            </w:pPr>
            <w:r>
              <w:rPr>
                <w:rFonts w:hint="eastAsia" w:asciiTheme="minorEastAsia" w:hAnsiTheme="minorEastAsia"/>
                <w:sz w:val="28"/>
                <w:szCs w:val="28"/>
              </w:rPr>
              <w:t>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6</w:t>
            </w:r>
          </w:p>
        </w:tc>
        <w:tc>
          <w:tcPr>
            <w:tcW w:w="3402" w:type="dxa"/>
            <w:vAlign w:val="center"/>
          </w:tcPr>
          <w:p>
            <w:pPr>
              <w:adjustRightInd w:val="0"/>
              <w:rPr>
                <w:rFonts w:asciiTheme="minorEastAsia" w:hAnsiTheme="minorEastAsia"/>
                <w:sz w:val="28"/>
                <w:szCs w:val="28"/>
              </w:rPr>
            </w:pPr>
            <w:r>
              <w:rPr>
                <w:rFonts w:hint="eastAsia" w:asciiTheme="minorEastAsia" w:hAnsiTheme="minorEastAsia"/>
                <w:sz w:val="28"/>
                <w:szCs w:val="28"/>
              </w:rPr>
              <w:t>履带宽度（mm）</w:t>
            </w:r>
          </w:p>
        </w:tc>
        <w:tc>
          <w:tcPr>
            <w:tcW w:w="4019" w:type="dxa"/>
            <w:vAlign w:val="center"/>
          </w:tcPr>
          <w:p>
            <w:pPr>
              <w:adjustRightInd w:val="0"/>
              <w:jc w:val="center"/>
              <w:rPr>
                <w:rFonts w:asciiTheme="minorEastAsia" w:hAnsiTheme="minorEastAsia"/>
                <w:sz w:val="28"/>
                <w:szCs w:val="28"/>
              </w:rPr>
            </w:pPr>
            <w:r>
              <w:rPr>
                <w:rFonts w:hint="eastAsia" w:asciiTheme="minorEastAsia" w:hAnsiTheme="minorEastAsia"/>
                <w:sz w:val="28"/>
                <w:szCs w:val="28"/>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7</w:t>
            </w:r>
          </w:p>
        </w:tc>
        <w:tc>
          <w:tcPr>
            <w:tcW w:w="3402" w:type="dxa"/>
            <w:vAlign w:val="center"/>
          </w:tcPr>
          <w:p>
            <w:pPr>
              <w:adjustRightInd w:val="0"/>
              <w:rPr>
                <w:rFonts w:asciiTheme="minorEastAsia" w:hAnsiTheme="minorEastAsia"/>
                <w:sz w:val="28"/>
                <w:szCs w:val="28"/>
              </w:rPr>
            </w:pPr>
            <w:r>
              <w:rPr>
                <w:rFonts w:asciiTheme="minorEastAsia" w:hAnsiTheme="minorEastAsia"/>
                <w:sz w:val="28"/>
                <w:szCs w:val="28"/>
              </w:rPr>
              <w:t>卸粮方式</w:t>
            </w:r>
          </w:p>
        </w:tc>
        <w:tc>
          <w:tcPr>
            <w:tcW w:w="4019" w:type="dxa"/>
            <w:vAlign w:val="center"/>
          </w:tcPr>
          <w:p>
            <w:pPr>
              <w:adjustRightInd w:val="0"/>
              <w:jc w:val="center"/>
              <w:rPr>
                <w:rFonts w:asciiTheme="minorEastAsia" w:hAnsiTheme="minorEastAsia"/>
                <w:sz w:val="28"/>
                <w:szCs w:val="28"/>
              </w:rPr>
            </w:pPr>
            <w:r>
              <w:rPr>
                <w:rFonts w:asciiTheme="minorEastAsia" w:hAnsiTheme="minorEastAsia"/>
                <w:sz w:val="28"/>
                <w:szCs w:val="28"/>
              </w:rPr>
              <w:t>自动卸粮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8</w:t>
            </w:r>
          </w:p>
        </w:tc>
        <w:tc>
          <w:tcPr>
            <w:tcW w:w="3402" w:type="dxa"/>
            <w:vAlign w:val="center"/>
          </w:tcPr>
          <w:p>
            <w:pPr>
              <w:adjustRightInd w:val="0"/>
              <w:rPr>
                <w:sz w:val="28"/>
                <w:szCs w:val="28"/>
              </w:rPr>
            </w:pPr>
            <w:r>
              <w:rPr>
                <w:sz w:val="28"/>
                <w:szCs w:val="28"/>
              </w:rPr>
              <w:t>作业速度（km/h）</w:t>
            </w:r>
          </w:p>
        </w:tc>
        <w:tc>
          <w:tcPr>
            <w:tcW w:w="4019" w:type="dxa"/>
            <w:vAlign w:val="center"/>
          </w:tcPr>
          <w:p>
            <w:pPr>
              <w:adjustRightInd w:val="0"/>
              <w:jc w:val="center"/>
              <w:rPr>
                <w:sz w:val="28"/>
                <w:szCs w:val="28"/>
              </w:rPr>
            </w:pPr>
            <w:r>
              <w:rPr>
                <w:rFonts w:hint="eastAsia"/>
                <w:sz w:val="28"/>
                <w:szCs w:val="28"/>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9</w:t>
            </w:r>
          </w:p>
        </w:tc>
        <w:tc>
          <w:tcPr>
            <w:tcW w:w="3402" w:type="dxa"/>
            <w:vAlign w:val="center"/>
          </w:tcPr>
          <w:p>
            <w:pPr>
              <w:adjustRightInd w:val="0"/>
              <w:rPr>
                <w:sz w:val="28"/>
                <w:szCs w:val="28"/>
              </w:rPr>
            </w:pPr>
            <w:r>
              <w:rPr>
                <w:sz w:val="28"/>
                <w:szCs w:val="28"/>
              </w:rPr>
              <w:t>损失率（%）</w:t>
            </w:r>
          </w:p>
        </w:tc>
        <w:tc>
          <w:tcPr>
            <w:tcW w:w="4019" w:type="dxa"/>
            <w:vAlign w:val="center"/>
          </w:tcPr>
          <w:p>
            <w:pPr>
              <w:adjustRightInd w:val="0"/>
              <w:jc w:val="center"/>
              <w:rPr>
                <w:sz w:val="28"/>
                <w:szCs w:val="28"/>
              </w:rPr>
            </w:pPr>
            <w:r>
              <w:rPr>
                <w:rFonts w:hint="eastAsia"/>
                <w:sz w:val="28"/>
                <w:szCs w:val="28"/>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10</w:t>
            </w:r>
          </w:p>
        </w:tc>
        <w:tc>
          <w:tcPr>
            <w:tcW w:w="3402" w:type="dxa"/>
            <w:vAlign w:val="center"/>
          </w:tcPr>
          <w:p>
            <w:pPr>
              <w:adjustRightInd w:val="0"/>
              <w:rPr>
                <w:sz w:val="28"/>
                <w:szCs w:val="28"/>
              </w:rPr>
            </w:pPr>
            <w:r>
              <w:rPr>
                <w:sz w:val="28"/>
                <w:szCs w:val="28"/>
              </w:rPr>
              <w:t>破碎率（%）</w:t>
            </w:r>
          </w:p>
        </w:tc>
        <w:tc>
          <w:tcPr>
            <w:tcW w:w="4019" w:type="dxa"/>
            <w:vAlign w:val="center"/>
          </w:tcPr>
          <w:p>
            <w:pPr>
              <w:adjustRightInd w:val="0"/>
              <w:jc w:val="center"/>
              <w:rPr>
                <w:sz w:val="28"/>
                <w:szCs w:val="28"/>
              </w:rPr>
            </w:pPr>
            <w:r>
              <w:rPr>
                <w:rFonts w:hint="eastAsia"/>
                <w:sz w:val="28"/>
                <w:szCs w:val="28"/>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exact"/>
          <w:jc w:val="center"/>
        </w:trPr>
        <w:tc>
          <w:tcPr>
            <w:tcW w:w="1101" w:type="dxa"/>
            <w:vAlign w:val="center"/>
          </w:tcPr>
          <w:p>
            <w:pPr>
              <w:adjustRightInd w:val="0"/>
              <w:jc w:val="center"/>
              <w:rPr>
                <w:sz w:val="28"/>
                <w:szCs w:val="28"/>
              </w:rPr>
            </w:pPr>
            <w:r>
              <w:rPr>
                <w:sz w:val="28"/>
                <w:szCs w:val="28"/>
              </w:rPr>
              <w:t>11</w:t>
            </w:r>
          </w:p>
        </w:tc>
        <w:tc>
          <w:tcPr>
            <w:tcW w:w="3402" w:type="dxa"/>
            <w:vAlign w:val="center"/>
          </w:tcPr>
          <w:p>
            <w:pPr>
              <w:adjustRightInd w:val="0"/>
              <w:rPr>
                <w:sz w:val="28"/>
                <w:szCs w:val="28"/>
              </w:rPr>
            </w:pPr>
            <w:r>
              <w:rPr>
                <w:sz w:val="28"/>
                <w:szCs w:val="28"/>
              </w:rPr>
              <w:t>含杂率（%）</w:t>
            </w:r>
          </w:p>
        </w:tc>
        <w:tc>
          <w:tcPr>
            <w:tcW w:w="4019" w:type="dxa"/>
            <w:vAlign w:val="center"/>
          </w:tcPr>
          <w:p>
            <w:pPr>
              <w:adjustRightInd w:val="0"/>
              <w:jc w:val="center"/>
              <w:rPr>
                <w:sz w:val="28"/>
                <w:szCs w:val="28"/>
              </w:rPr>
            </w:pPr>
            <w:r>
              <w:rPr>
                <w:rFonts w:hint="eastAsia"/>
                <w:sz w:val="28"/>
                <w:szCs w:val="28"/>
              </w:rPr>
              <w:t>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12</w:t>
            </w:r>
          </w:p>
        </w:tc>
        <w:tc>
          <w:tcPr>
            <w:tcW w:w="3402" w:type="dxa"/>
            <w:vAlign w:val="center"/>
          </w:tcPr>
          <w:p>
            <w:pPr>
              <w:adjustRightInd w:val="0"/>
              <w:rPr>
                <w:sz w:val="28"/>
                <w:szCs w:val="28"/>
              </w:rPr>
            </w:pPr>
            <w:r>
              <w:rPr>
                <w:sz w:val="28"/>
                <w:szCs w:val="28"/>
              </w:rPr>
              <w:t>割茬高度合格率（%）</w:t>
            </w:r>
          </w:p>
        </w:tc>
        <w:tc>
          <w:tcPr>
            <w:tcW w:w="4019" w:type="dxa"/>
            <w:vAlign w:val="center"/>
          </w:tcPr>
          <w:p>
            <w:pPr>
              <w:adjustRightInd w:val="0"/>
              <w:jc w:val="center"/>
              <w:rPr>
                <w:sz w:val="28"/>
                <w:szCs w:val="28"/>
              </w:rPr>
            </w:pPr>
            <w:r>
              <w:rPr>
                <w:rFonts w:hint="eastAsia"/>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13</w:t>
            </w:r>
          </w:p>
        </w:tc>
        <w:tc>
          <w:tcPr>
            <w:tcW w:w="3402" w:type="dxa"/>
            <w:vAlign w:val="center"/>
          </w:tcPr>
          <w:p>
            <w:pPr>
              <w:adjustRightInd w:val="0"/>
              <w:rPr>
                <w:sz w:val="28"/>
                <w:szCs w:val="28"/>
              </w:rPr>
            </w:pPr>
            <w:r>
              <w:rPr>
                <w:sz w:val="28"/>
                <w:szCs w:val="28"/>
              </w:rPr>
              <w:t>最小离地间隙（mm）</w:t>
            </w:r>
          </w:p>
        </w:tc>
        <w:tc>
          <w:tcPr>
            <w:tcW w:w="4019" w:type="dxa"/>
            <w:vAlign w:val="center"/>
          </w:tcPr>
          <w:p>
            <w:pPr>
              <w:adjustRightInd w:val="0"/>
              <w:jc w:val="center"/>
              <w:rPr>
                <w:sz w:val="28"/>
                <w:szCs w:val="28"/>
              </w:rPr>
            </w:pPr>
            <w:r>
              <w:rPr>
                <w:rFonts w:hint="eastAsia"/>
                <w:sz w:val="28"/>
                <w:szCs w:val="2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14</w:t>
            </w:r>
          </w:p>
        </w:tc>
        <w:tc>
          <w:tcPr>
            <w:tcW w:w="3402" w:type="dxa"/>
            <w:vAlign w:val="center"/>
          </w:tcPr>
          <w:p>
            <w:pPr>
              <w:adjustRightInd w:val="0"/>
              <w:rPr>
                <w:sz w:val="28"/>
                <w:szCs w:val="28"/>
              </w:rPr>
            </w:pPr>
            <w:r>
              <w:rPr>
                <w:sz w:val="28"/>
                <w:szCs w:val="28"/>
              </w:rPr>
              <w:t>平均接地压力（kpa）</w:t>
            </w:r>
          </w:p>
        </w:tc>
        <w:tc>
          <w:tcPr>
            <w:tcW w:w="4019" w:type="dxa"/>
            <w:vAlign w:val="center"/>
          </w:tcPr>
          <w:p>
            <w:pPr>
              <w:adjustRightInd w:val="0"/>
              <w:jc w:val="center"/>
              <w:rPr>
                <w:sz w:val="28"/>
                <w:szCs w:val="28"/>
              </w:rPr>
            </w:pPr>
            <w:r>
              <w:rPr>
                <w:rFonts w:hint="eastAsia"/>
                <w:sz w:val="28"/>
                <w:szCs w:val="28"/>
              </w:rPr>
              <w:t>30.84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15</w:t>
            </w:r>
          </w:p>
        </w:tc>
        <w:tc>
          <w:tcPr>
            <w:tcW w:w="3402" w:type="dxa"/>
            <w:vAlign w:val="center"/>
          </w:tcPr>
          <w:p>
            <w:pPr>
              <w:adjustRightInd w:val="0"/>
              <w:rPr>
                <w:sz w:val="28"/>
                <w:szCs w:val="28"/>
              </w:rPr>
            </w:pPr>
            <w:r>
              <w:rPr>
                <w:sz w:val="28"/>
                <w:szCs w:val="28"/>
              </w:rPr>
              <w:t>直行碾压率（%）</w:t>
            </w:r>
          </w:p>
        </w:tc>
        <w:tc>
          <w:tcPr>
            <w:tcW w:w="4019" w:type="dxa"/>
            <w:vAlign w:val="center"/>
          </w:tcPr>
          <w:p>
            <w:pPr>
              <w:adjustRightInd w:val="0"/>
              <w:jc w:val="center"/>
              <w:rPr>
                <w:sz w:val="28"/>
                <w:szCs w:val="28"/>
              </w:rPr>
            </w:pPr>
            <w:r>
              <w:rPr>
                <w:rFonts w:hint="eastAsia"/>
                <w:sz w:val="28"/>
                <w:szCs w:val="28"/>
              </w:rPr>
              <w:t>21.52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101" w:type="dxa"/>
            <w:vAlign w:val="center"/>
          </w:tcPr>
          <w:p>
            <w:pPr>
              <w:adjustRightInd w:val="0"/>
              <w:jc w:val="center"/>
              <w:rPr>
                <w:sz w:val="28"/>
                <w:szCs w:val="28"/>
              </w:rPr>
            </w:pPr>
            <w:r>
              <w:rPr>
                <w:sz w:val="28"/>
                <w:szCs w:val="28"/>
              </w:rPr>
              <w:t>16</w:t>
            </w:r>
          </w:p>
        </w:tc>
        <w:tc>
          <w:tcPr>
            <w:tcW w:w="3402" w:type="dxa"/>
            <w:vAlign w:val="center"/>
          </w:tcPr>
          <w:p>
            <w:pPr>
              <w:adjustRightInd w:val="0"/>
              <w:rPr>
                <w:sz w:val="28"/>
                <w:szCs w:val="28"/>
              </w:rPr>
            </w:pPr>
            <w:r>
              <w:rPr>
                <w:sz w:val="28"/>
                <w:szCs w:val="28"/>
              </w:rPr>
              <w:t>作业效率（亩/小时）</w:t>
            </w:r>
          </w:p>
        </w:tc>
        <w:tc>
          <w:tcPr>
            <w:tcW w:w="4019" w:type="dxa"/>
            <w:vAlign w:val="center"/>
          </w:tcPr>
          <w:p>
            <w:pPr>
              <w:adjustRightInd w:val="0"/>
              <w:jc w:val="center"/>
              <w:rPr>
                <w:sz w:val="28"/>
                <w:szCs w:val="28"/>
              </w:rPr>
            </w:pPr>
            <w:r>
              <w:rPr>
                <w:rFonts w:hint="eastAsia"/>
                <w:sz w:val="28"/>
                <w:szCs w:val="28"/>
              </w:rPr>
              <w:t>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exact"/>
          <w:jc w:val="center"/>
        </w:trPr>
        <w:tc>
          <w:tcPr>
            <w:tcW w:w="1101" w:type="dxa"/>
            <w:vAlign w:val="center"/>
          </w:tcPr>
          <w:p>
            <w:pPr>
              <w:adjustRightInd w:val="0"/>
              <w:jc w:val="center"/>
              <w:rPr>
                <w:sz w:val="28"/>
                <w:szCs w:val="28"/>
              </w:rPr>
            </w:pPr>
            <w:r>
              <w:rPr>
                <w:sz w:val="28"/>
                <w:szCs w:val="28"/>
              </w:rPr>
              <w:t>17</w:t>
            </w:r>
          </w:p>
        </w:tc>
        <w:tc>
          <w:tcPr>
            <w:tcW w:w="3402" w:type="dxa"/>
            <w:vAlign w:val="center"/>
          </w:tcPr>
          <w:p>
            <w:pPr>
              <w:adjustRightInd w:val="0"/>
              <w:rPr>
                <w:sz w:val="28"/>
                <w:szCs w:val="28"/>
              </w:rPr>
            </w:pPr>
            <w:r>
              <w:rPr>
                <w:sz w:val="28"/>
                <w:szCs w:val="28"/>
              </w:rPr>
              <w:t>粮箱容积设计值（m</w:t>
            </w:r>
            <w:r>
              <w:rPr>
                <w:sz w:val="28"/>
                <w:szCs w:val="28"/>
                <w:vertAlign w:val="superscript"/>
              </w:rPr>
              <w:t>3</w:t>
            </w:r>
            <w:r>
              <w:rPr>
                <w:sz w:val="28"/>
                <w:szCs w:val="28"/>
              </w:rPr>
              <w:t>）</w:t>
            </w:r>
          </w:p>
        </w:tc>
        <w:tc>
          <w:tcPr>
            <w:tcW w:w="4019" w:type="dxa"/>
            <w:vAlign w:val="center"/>
          </w:tcPr>
          <w:p>
            <w:pPr>
              <w:adjustRightInd w:val="0"/>
              <w:jc w:val="center"/>
              <w:rPr>
                <w:sz w:val="28"/>
                <w:szCs w:val="28"/>
              </w:rPr>
            </w:pPr>
            <w:r>
              <w:rPr>
                <w:rFonts w:hint="eastAsia"/>
                <w:sz w:val="28"/>
                <w:szCs w:val="28"/>
              </w:rPr>
              <w:t>1.0m</w:t>
            </w:r>
            <w:r>
              <w:rPr>
                <w:rFonts w:hint="eastAsia"/>
                <w:sz w:val="28"/>
                <w:szCs w:val="28"/>
                <w:vertAlign w:val="superscript"/>
              </w:rPr>
              <w:t>3</w:t>
            </w:r>
          </w:p>
        </w:tc>
      </w:tr>
    </w:tbl>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4.湖南省农友农业装备股份有限公司4LZ—4.0型双通道再生稻谷物联合收割机有关参数如下：</w:t>
      </w:r>
    </w:p>
    <w:tbl>
      <w:tblPr>
        <w:tblStyle w:val="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4677"/>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rFonts w:eastAsia="黑体"/>
                <w:sz w:val="28"/>
                <w:szCs w:val="28"/>
              </w:rPr>
            </w:pPr>
            <w:r>
              <w:rPr>
                <w:rFonts w:eastAsia="黑体"/>
                <w:sz w:val="28"/>
                <w:szCs w:val="28"/>
              </w:rPr>
              <w:t>序号</w:t>
            </w:r>
          </w:p>
        </w:tc>
        <w:tc>
          <w:tcPr>
            <w:tcW w:w="4677" w:type="dxa"/>
            <w:vAlign w:val="center"/>
          </w:tcPr>
          <w:p>
            <w:pPr>
              <w:adjustRightInd w:val="0"/>
              <w:jc w:val="center"/>
              <w:rPr>
                <w:rFonts w:eastAsia="黑体"/>
                <w:sz w:val="28"/>
                <w:szCs w:val="28"/>
              </w:rPr>
            </w:pPr>
            <w:r>
              <w:rPr>
                <w:rFonts w:eastAsia="黑体"/>
                <w:sz w:val="28"/>
                <w:szCs w:val="28"/>
              </w:rPr>
              <w:t>项目</w:t>
            </w:r>
          </w:p>
        </w:tc>
        <w:tc>
          <w:tcPr>
            <w:tcW w:w="2744" w:type="dxa"/>
            <w:vAlign w:val="center"/>
          </w:tcPr>
          <w:p>
            <w:pPr>
              <w:adjustRightInd w:val="0"/>
              <w:jc w:val="center"/>
              <w:rPr>
                <w:rFonts w:eastAsia="黑体"/>
                <w:sz w:val="28"/>
                <w:szCs w:val="28"/>
              </w:rPr>
            </w:pPr>
            <w:r>
              <w:rPr>
                <w:rFonts w:eastAsia="黑体"/>
                <w:sz w:val="28"/>
                <w:szCs w:val="28"/>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1</w:t>
            </w:r>
          </w:p>
        </w:tc>
        <w:tc>
          <w:tcPr>
            <w:tcW w:w="4677" w:type="dxa"/>
            <w:vAlign w:val="center"/>
          </w:tcPr>
          <w:p>
            <w:pPr>
              <w:adjustRightInd w:val="0"/>
              <w:rPr>
                <w:rFonts w:asciiTheme="minorEastAsia" w:hAnsiTheme="minorEastAsia"/>
                <w:sz w:val="28"/>
                <w:szCs w:val="28"/>
              </w:rPr>
            </w:pPr>
            <w:r>
              <w:rPr>
                <w:rFonts w:asciiTheme="minorEastAsia" w:hAnsiTheme="minorEastAsia"/>
                <w:sz w:val="28"/>
                <w:szCs w:val="28"/>
              </w:rPr>
              <w:t>结构型式</w:t>
            </w:r>
          </w:p>
        </w:tc>
        <w:tc>
          <w:tcPr>
            <w:tcW w:w="2744" w:type="dxa"/>
            <w:vAlign w:val="center"/>
          </w:tcPr>
          <w:p>
            <w:pPr>
              <w:adjustRightInd w:val="0"/>
              <w:jc w:val="center"/>
              <w:rPr>
                <w:rFonts w:asciiTheme="minorEastAsia" w:hAnsiTheme="minorEastAsia"/>
                <w:sz w:val="28"/>
                <w:szCs w:val="28"/>
              </w:rPr>
            </w:pPr>
            <w:r>
              <w:rPr>
                <w:rFonts w:asciiTheme="minorEastAsia" w:hAnsiTheme="minorEastAsia"/>
                <w:sz w:val="28"/>
                <w:szCs w:val="28"/>
              </w:rPr>
              <w:t>履带自走式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2</w:t>
            </w:r>
          </w:p>
        </w:tc>
        <w:tc>
          <w:tcPr>
            <w:tcW w:w="4677" w:type="dxa"/>
            <w:vAlign w:val="center"/>
          </w:tcPr>
          <w:p>
            <w:pPr>
              <w:adjustRightInd w:val="0"/>
              <w:rPr>
                <w:rFonts w:asciiTheme="minorEastAsia" w:hAnsiTheme="minorEastAsia"/>
                <w:sz w:val="28"/>
                <w:szCs w:val="28"/>
              </w:rPr>
            </w:pPr>
            <w:r>
              <w:rPr>
                <w:rFonts w:asciiTheme="minorEastAsia" w:hAnsiTheme="minorEastAsia"/>
                <w:sz w:val="28"/>
                <w:szCs w:val="28"/>
              </w:rPr>
              <w:t>喂入方式</w:t>
            </w:r>
          </w:p>
        </w:tc>
        <w:tc>
          <w:tcPr>
            <w:tcW w:w="2744" w:type="dxa"/>
            <w:vAlign w:val="center"/>
          </w:tcPr>
          <w:p>
            <w:pPr>
              <w:adjustRightInd w:val="0"/>
              <w:jc w:val="center"/>
              <w:rPr>
                <w:rFonts w:asciiTheme="minorEastAsia" w:hAnsiTheme="minorEastAsia"/>
                <w:sz w:val="28"/>
                <w:szCs w:val="28"/>
              </w:rPr>
            </w:pPr>
            <w:r>
              <w:rPr>
                <w:rFonts w:asciiTheme="minorEastAsia" w:hAnsiTheme="minorEastAsia"/>
                <w:sz w:val="28"/>
                <w:szCs w:val="28"/>
              </w:rPr>
              <w:t>全喂入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3</w:t>
            </w:r>
          </w:p>
        </w:tc>
        <w:tc>
          <w:tcPr>
            <w:tcW w:w="4677" w:type="dxa"/>
            <w:vAlign w:val="center"/>
          </w:tcPr>
          <w:p>
            <w:pPr>
              <w:adjustRightInd w:val="0"/>
              <w:rPr>
                <w:rFonts w:asciiTheme="minorEastAsia" w:hAnsiTheme="minorEastAsia"/>
                <w:sz w:val="28"/>
                <w:szCs w:val="28"/>
              </w:rPr>
            </w:pPr>
            <w:r>
              <w:rPr>
                <w:rFonts w:asciiTheme="minorEastAsia" w:hAnsiTheme="minorEastAsia"/>
                <w:sz w:val="28"/>
                <w:szCs w:val="28"/>
              </w:rPr>
              <w:t>喂入量</w:t>
            </w:r>
            <w:r>
              <w:rPr>
                <w:rFonts w:hint="eastAsia" w:asciiTheme="minorEastAsia" w:hAnsiTheme="minorEastAsia"/>
                <w:sz w:val="28"/>
                <w:szCs w:val="28"/>
              </w:rPr>
              <w:t>设计值（kg/s）</w:t>
            </w:r>
          </w:p>
        </w:tc>
        <w:tc>
          <w:tcPr>
            <w:tcW w:w="2744" w:type="dxa"/>
            <w:vAlign w:val="center"/>
          </w:tcPr>
          <w:p>
            <w:pPr>
              <w:adjustRightInd w:val="0"/>
              <w:jc w:val="center"/>
              <w:rPr>
                <w:rFonts w:asciiTheme="minorEastAsia" w:hAnsiTheme="minorEastAsia"/>
                <w:sz w:val="28"/>
                <w:szCs w:val="28"/>
              </w:rPr>
            </w:pPr>
            <w:r>
              <w:rPr>
                <w:rFonts w:asciiTheme="minorEastAsia" w:hAnsiTheme="minorEastAsia"/>
                <w:sz w:val="28"/>
                <w:szCs w:val="2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rFonts w:hint="eastAsia"/>
                <w:sz w:val="28"/>
                <w:szCs w:val="28"/>
              </w:rPr>
              <w:t>4</w:t>
            </w:r>
          </w:p>
        </w:tc>
        <w:tc>
          <w:tcPr>
            <w:tcW w:w="4677" w:type="dxa"/>
            <w:vAlign w:val="center"/>
          </w:tcPr>
          <w:p>
            <w:pPr>
              <w:adjustRightInd w:val="0"/>
              <w:rPr>
                <w:rFonts w:asciiTheme="minorEastAsia" w:hAnsiTheme="minorEastAsia"/>
                <w:sz w:val="28"/>
                <w:szCs w:val="28"/>
              </w:rPr>
            </w:pPr>
            <w:r>
              <w:rPr>
                <w:rFonts w:hint="eastAsia" w:asciiTheme="minorEastAsia" w:hAnsiTheme="minorEastAsia"/>
                <w:sz w:val="28"/>
                <w:szCs w:val="28"/>
              </w:rPr>
              <w:t>发动机标定功率（</w:t>
            </w:r>
            <w:r>
              <w:rPr>
                <w:rFonts w:asciiTheme="minorEastAsia" w:hAnsiTheme="minorEastAsia"/>
                <w:sz w:val="28"/>
                <w:szCs w:val="28"/>
              </w:rPr>
              <w:t>kW</w:t>
            </w:r>
            <w:r>
              <w:rPr>
                <w:rFonts w:hint="eastAsia" w:asciiTheme="minorEastAsia" w:hAnsiTheme="minorEastAsia"/>
                <w:sz w:val="28"/>
                <w:szCs w:val="28"/>
              </w:rPr>
              <w:t>）</w:t>
            </w:r>
          </w:p>
        </w:tc>
        <w:tc>
          <w:tcPr>
            <w:tcW w:w="2744" w:type="dxa"/>
            <w:vAlign w:val="center"/>
          </w:tcPr>
          <w:p>
            <w:pPr>
              <w:adjustRightInd w:val="0"/>
              <w:jc w:val="center"/>
              <w:rPr>
                <w:rFonts w:asciiTheme="minorEastAsia" w:hAnsiTheme="minorEastAsia"/>
                <w:sz w:val="28"/>
                <w:szCs w:val="28"/>
              </w:rPr>
            </w:pPr>
            <w:r>
              <w:rPr>
                <w:rFonts w:asciiTheme="minorEastAsia" w:hAnsiTheme="minorEastAsia"/>
                <w:sz w:val="28"/>
                <w:szCs w:val="28"/>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1101" w:type="dxa"/>
            <w:vAlign w:val="center"/>
          </w:tcPr>
          <w:p>
            <w:pPr>
              <w:adjustRightInd w:val="0"/>
              <w:jc w:val="center"/>
              <w:rPr>
                <w:sz w:val="28"/>
                <w:szCs w:val="28"/>
              </w:rPr>
            </w:pPr>
            <w:r>
              <w:rPr>
                <w:sz w:val="28"/>
                <w:szCs w:val="28"/>
              </w:rPr>
              <w:t>5</w:t>
            </w:r>
          </w:p>
        </w:tc>
        <w:tc>
          <w:tcPr>
            <w:tcW w:w="4677" w:type="dxa"/>
            <w:vAlign w:val="center"/>
          </w:tcPr>
          <w:p>
            <w:pPr>
              <w:adjustRightInd w:val="0"/>
              <w:rPr>
                <w:rFonts w:asciiTheme="minorEastAsia" w:hAnsiTheme="minorEastAsia"/>
                <w:sz w:val="28"/>
                <w:szCs w:val="28"/>
              </w:rPr>
            </w:pPr>
            <w:r>
              <w:rPr>
                <w:rFonts w:asciiTheme="minorEastAsia" w:hAnsiTheme="minorEastAsia"/>
                <w:sz w:val="28"/>
                <w:szCs w:val="28"/>
              </w:rPr>
              <w:t>工作幅宽</w:t>
            </w:r>
            <w:r>
              <w:rPr>
                <w:rFonts w:hint="eastAsia" w:asciiTheme="minorEastAsia" w:hAnsiTheme="minorEastAsia"/>
                <w:sz w:val="28"/>
                <w:szCs w:val="28"/>
              </w:rPr>
              <w:t>（mm）</w:t>
            </w:r>
          </w:p>
        </w:tc>
        <w:tc>
          <w:tcPr>
            <w:tcW w:w="2744" w:type="dxa"/>
            <w:vAlign w:val="center"/>
          </w:tcPr>
          <w:p>
            <w:pPr>
              <w:adjustRightInd w:val="0"/>
              <w:jc w:val="center"/>
              <w:rPr>
                <w:rFonts w:asciiTheme="minorEastAsia" w:hAnsiTheme="minorEastAsia"/>
                <w:sz w:val="28"/>
                <w:szCs w:val="28"/>
              </w:rPr>
            </w:pPr>
            <w:r>
              <w:rPr>
                <w:rFonts w:asciiTheme="minorEastAsia" w:hAnsiTheme="minorEastAsia"/>
                <w:sz w:val="28"/>
                <w:szCs w:val="28"/>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6</w:t>
            </w:r>
          </w:p>
        </w:tc>
        <w:tc>
          <w:tcPr>
            <w:tcW w:w="4677" w:type="dxa"/>
            <w:vAlign w:val="center"/>
          </w:tcPr>
          <w:p>
            <w:pPr>
              <w:adjustRightInd w:val="0"/>
              <w:rPr>
                <w:rFonts w:asciiTheme="minorEastAsia" w:hAnsiTheme="minorEastAsia"/>
                <w:sz w:val="28"/>
                <w:szCs w:val="28"/>
              </w:rPr>
            </w:pPr>
            <w:r>
              <w:rPr>
                <w:rFonts w:hint="eastAsia" w:asciiTheme="minorEastAsia" w:hAnsiTheme="minorEastAsia"/>
                <w:sz w:val="28"/>
                <w:szCs w:val="28"/>
              </w:rPr>
              <w:t>履带宽度（mm）</w:t>
            </w:r>
          </w:p>
        </w:tc>
        <w:tc>
          <w:tcPr>
            <w:tcW w:w="2744" w:type="dxa"/>
            <w:vAlign w:val="center"/>
          </w:tcPr>
          <w:p>
            <w:pPr>
              <w:adjustRightInd w:val="0"/>
              <w:jc w:val="center"/>
              <w:rPr>
                <w:rFonts w:asciiTheme="minorEastAsia" w:hAnsiTheme="minorEastAsia"/>
                <w:sz w:val="28"/>
                <w:szCs w:val="28"/>
              </w:rPr>
            </w:pPr>
            <w:r>
              <w:rPr>
                <w:rFonts w:hint="eastAsia" w:asciiTheme="minorEastAsia" w:hAnsiTheme="minorEastAsia"/>
                <w:sz w:val="28"/>
                <w:szCs w:val="28"/>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7</w:t>
            </w:r>
          </w:p>
        </w:tc>
        <w:tc>
          <w:tcPr>
            <w:tcW w:w="4677" w:type="dxa"/>
            <w:vAlign w:val="center"/>
          </w:tcPr>
          <w:p>
            <w:pPr>
              <w:adjustRightInd w:val="0"/>
              <w:rPr>
                <w:rFonts w:asciiTheme="minorEastAsia" w:hAnsiTheme="minorEastAsia"/>
                <w:sz w:val="28"/>
                <w:szCs w:val="28"/>
              </w:rPr>
            </w:pPr>
            <w:r>
              <w:rPr>
                <w:rFonts w:asciiTheme="minorEastAsia" w:hAnsiTheme="minorEastAsia"/>
                <w:sz w:val="28"/>
                <w:szCs w:val="28"/>
              </w:rPr>
              <w:t>卸粮方式</w:t>
            </w:r>
          </w:p>
        </w:tc>
        <w:tc>
          <w:tcPr>
            <w:tcW w:w="2744" w:type="dxa"/>
            <w:vAlign w:val="center"/>
          </w:tcPr>
          <w:p>
            <w:pPr>
              <w:adjustRightInd w:val="0"/>
              <w:jc w:val="center"/>
              <w:rPr>
                <w:rFonts w:asciiTheme="minorEastAsia" w:hAnsiTheme="minorEastAsia"/>
                <w:sz w:val="28"/>
                <w:szCs w:val="28"/>
              </w:rPr>
            </w:pPr>
            <w:r>
              <w:rPr>
                <w:rFonts w:asciiTheme="minorEastAsia" w:hAnsiTheme="minorEastAsia"/>
                <w:sz w:val="28"/>
                <w:szCs w:val="28"/>
              </w:rPr>
              <w:t>自动卸粮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8</w:t>
            </w:r>
          </w:p>
        </w:tc>
        <w:tc>
          <w:tcPr>
            <w:tcW w:w="4677" w:type="dxa"/>
            <w:vAlign w:val="center"/>
          </w:tcPr>
          <w:p>
            <w:pPr>
              <w:adjustRightInd w:val="0"/>
              <w:rPr>
                <w:sz w:val="28"/>
                <w:szCs w:val="28"/>
              </w:rPr>
            </w:pPr>
            <w:r>
              <w:rPr>
                <w:sz w:val="28"/>
                <w:szCs w:val="28"/>
              </w:rPr>
              <w:t>作业速度（km/h）</w:t>
            </w:r>
          </w:p>
        </w:tc>
        <w:tc>
          <w:tcPr>
            <w:tcW w:w="2744" w:type="dxa"/>
            <w:vAlign w:val="center"/>
          </w:tcPr>
          <w:p>
            <w:pPr>
              <w:adjustRightInd w:val="0"/>
              <w:jc w:val="center"/>
              <w:rPr>
                <w:sz w:val="28"/>
                <w:szCs w:val="28"/>
              </w:rPr>
            </w:pPr>
            <w:r>
              <w:rPr>
                <w:rFonts w:hint="eastAsia"/>
                <w:sz w:val="28"/>
                <w:szCs w:val="28"/>
              </w:rPr>
              <w:t>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9</w:t>
            </w:r>
          </w:p>
        </w:tc>
        <w:tc>
          <w:tcPr>
            <w:tcW w:w="4677" w:type="dxa"/>
            <w:vAlign w:val="center"/>
          </w:tcPr>
          <w:p>
            <w:pPr>
              <w:adjustRightInd w:val="0"/>
              <w:rPr>
                <w:sz w:val="28"/>
                <w:szCs w:val="28"/>
              </w:rPr>
            </w:pPr>
            <w:r>
              <w:rPr>
                <w:sz w:val="28"/>
                <w:szCs w:val="28"/>
              </w:rPr>
              <w:t>损失率（%）</w:t>
            </w:r>
          </w:p>
        </w:tc>
        <w:tc>
          <w:tcPr>
            <w:tcW w:w="2744" w:type="dxa"/>
            <w:vAlign w:val="center"/>
          </w:tcPr>
          <w:p>
            <w:pPr>
              <w:adjustRightInd w:val="0"/>
              <w:jc w:val="center"/>
              <w:rPr>
                <w:sz w:val="28"/>
                <w:szCs w:val="28"/>
              </w:rPr>
            </w:pPr>
            <w:r>
              <w:rPr>
                <w:rFonts w:hint="eastAsia"/>
                <w:sz w:val="28"/>
                <w:szCs w:val="28"/>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10</w:t>
            </w:r>
          </w:p>
        </w:tc>
        <w:tc>
          <w:tcPr>
            <w:tcW w:w="4677" w:type="dxa"/>
            <w:vAlign w:val="center"/>
          </w:tcPr>
          <w:p>
            <w:pPr>
              <w:adjustRightInd w:val="0"/>
              <w:rPr>
                <w:sz w:val="28"/>
                <w:szCs w:val="28"/>
              </w:rPr>
            </w:pPr>
            <w:r>
              <w:rPr>
                <w:sz w:val="28"/>
                <w:szCs w:val="28"/>
              </w:rPr>
              <w:t>破碎率（%）</w:t>
            </w:r>
          </w:p>
        </w:tc>
        <w:tc>
          <w:tcPr>
            <w:tcW w:w="2744" w:type="dxa"/>
            <w:vAlign w:val="center"/>
          </w:tcPr>
          <w:p>
            <w:pPr>
              <w:adjustRightInd w:val="0"/>
              <w:jc w:val="center"/>
              <w:rPr>
                <w:sz w:val="28"/>
                <w:szCs w:val="28"/>
              </w:rPr>
            </w:pPr>
            <w:r>
              <w:rPr>
                <w:rFonts w:hint="eastAsia"/>
                <w:sz w:val="28"/>
                <w:szCs w:val="28"/>
              </w:rP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1101" w:type="dxa"/>
            <w:vAlign w:val="center"/>
          </w:tcPr>
          <w:p>
            <w:pPr>
              <w:adjustRightInd w:val="0"/>
              <w:jc w:val="center"/>
              <w:rPr>
                <w:sz w:val="28"/>
                <w:szCs w:val="28"/>
              </w:rPr>
            </w:pPr>
            <w:r>
              <w:rPr>
                <w:sz w:val="28"/>
                <w:szCs w:val="28"/>
              </w:rPr>
              <w:t>11</w:t>
            </w:r>
          </w:p>
        </w:tc>
        <w:tc>
          <w:tcPr>
            <w:tcW w:w="4677" w:type="dxa"/>
            <w:vAlign w:val="center"/>
          </w:tcPr>
          <w:p>
            <w:pPr>
              <w:adjustRightInd w:val="0"/>
              <w:rPr>
                <w:sz w:val="28"/>
                <w:szCs w:val="28"/>
              </w:rPr>
            </w:pPr>
            <w:r>
              <w:rPr>
                <w:sz w:val="28"/>
                <w:szCs w:val="28"/>
              </w:rPr>
              <w:t>含杂率（%）</w:t>
            </w:r>
          </w:p>
        </w:tc>
        <w:tc>
          <w:tcPr>
            <w:tcW w:w="2744" w:type="dxa"/>
            <w:vAlign w:val="center"/>
          </w:tcPr>
          <w:p>
            <w:pPr>
              <w:adjustRightInd w:val="0"/>
              <w:jc w:val="center"/>
              <w:rPr>
                <w:sz w:val="28"/>
                <w:szCs w:val="28"/>
              </w:rPr>
            </w:pPr>
            <w:r>
              <w:rPr>
                <w:rFonts w:hint="eastAsia"/>
                <w:sz w:val="28"/>
                <w:szCs w:val="28"/>
              </w:rPr>
              <w:t>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12</w:t>
            </w:r>
          </w:p>
        </w:tc>
        <w:tc>
          <w:tcPr>
            <w:tcW w:w="4677" w:type="dxa"/>
            <w:vAlign w:val="center"/>
          </w:tcPr>
          <w:p>
            <w:pPr>
              <w:adjustRightInd w:val="0"/>
              <w:rPr>
                <w:sz w:val="28"/>
                <w:szCs w:val="28"/>
              </w:rPr>
            </w:pPr>
            <w:r>
              <w:rPr>
                <w:sz w:val="28"/>
                <w:szCs w:val="28"/>
              </w:rPr>
              <w:t>割茬高度合格率（%）</w:t>
            </w:r>
          </w:p>
        </w:tc>
        <w:tc>
          <w:tcPr>
            <w:tcW w:w="2744" w:type="dxa"/>
            <w:vAlign w:val="center"/>
          </w:tcPr>
          <w:p>
            <w:pPr>
              <w:adjustRightInd w:val="0"/>
              <w:jc w:val="center"/>
              <w:rPr>
                <w:sz w:val="28"/>
                <w:szCs w:val="28"/>
              </w:rPr>
            </w:pPr>
            <w:r>
              <w:rPr>
                <w:rFonts w:hint="eastAsia"/>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13</w:t>
            </w:r>
          </w:p>
        </w:tc>
        <w:tc>
          <w:tcPr>
            <w:tcW w:w="4677" w:type="dxa"/>
            <w:vAlign w:val="center"/>
          </w:tcPr>
          <w:p>
            <w:pPr>
              <w:adjustRightInd w:val="0"/>
              <w:rPr>
                <w:sz w:val="28"/>
                <w:szCs w:val="28"/>
              </w:rPr>
            </w:pPr>
            <w:r>
              <w:rPr>
                <w:sz w:val="28"/>
                <w:szCs w:val="28"/>
              </w:rPr>
              <w:t>最小离地间隙（mm）</w:t>
            </w:r>
          </w:p>
        </w:tc>
        <w:tc>
          <w:tcPr>
            <w:tcW w:w="2744" w:type="dxa"/>
            <w:vAlign w:val="center"/>
          </w:tcPr>
          <w:p>
            <w:pPr>
              <w:adjustRightInd w:val="0"/>
              <w:jc w:val="center"/>
              <w:rPr>
                <w:sz w:val="28"/>
                <w:szCs w:val="28"/>
              </w:rPr>
            </w:pPr>
            <w:r>
              <w:rPr>
                <w:rFonts w:hint="eastAsia"/>
                <w:sz w:val="28"/>
                <w:szCs w:val="28"/>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14</w:t>
            </w:r>
          </w:p>
        </w:tc>
        <w:tc>
          <w:tcPr>
            <w:tcW w:w="4677" w:type="dxa"/>
            <w:vAlign w:val="center"/>
          </w:tcPr>
          <w:p>
            <w:pPr>
              <w:adjustRightInd w:val="0"/>
              <w:rPr>
                <w:sz w:val="28"/>
                <w:szCs w:val="28"/>
              </w:rPr>
            </w:pPr>
            <w:r>
              <w:rPr>
                <w:sz w:val="28"/>
                <w:szCs w:val="28"/>
              </w:rPr>
              <w:t>平均接地压力（kpa）</w:t>
            </w:r>
          </w:p>
        </w:tc>
        <w:tc>
          <w:tcPr>
            <w:tcW w:w="2744" w:type="dxa"/>
            <w:vAlign w:val="center"/>
          </w:tcPr>
          <w:p>
            <w:pPr>
              <w:adjustRightInd w:val="0"/>
              <w:jc w:val="center"/>
              <w:rPr>
                <w:sz w:val="28"/>
                <w:szCs w:val="28"/>
              </w:rPr>
            </w:pPr>
            <w:r>
              <w:rPr>
                <w:rFonts w:hint="eastAsia"/>
                <w:sz w:val="28"/>
                <w:szCs w:val="2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15</w:t>
            </w:r>
          </w:p>
        </w:tc>
        <w:tc>
          <w:tcPr>
            <w:tcW w:w="4677" w:type="dxa"/>
            <w:vAlign w:val="center"/>
          </w:tcPr>
          <w:p>
            <w:pPr>
              <w:adjustRightInd w:val="0"/>
              <w:rPr>
                <w:sz w:val="28"/>
                <w:szCs w:val="28"/>
              </w:rPr>
            </w:pPr>
            <w:r>
              <w:rPr>
                <w:sz w:val="28"/>
                <w:szCs w:val="28"/>
              </w:rPr>
              <w:t>直行碾压率（%）</w:t>
            </w:r>
          </w:p>
        </w:tc>
        <w:tc>
          <w:tcPr>
            <w:tcW w:w="2744" w:type="dxa"/>
            <w:vAlign w:val="center"/>
          </w:tcPr>
          <w:p>
            <w:pPr>
              <w:adjustRightInd w:val="0"/>
              <w:jc w:val="center"/>
              <w:rPr>
                <w:sz w:val="28"/>
                <w:szCs w:val="28"/>
              </w:rPr>
            </w:pPr>
            <w:r>
              <w:rPr>
                <w:rFonts w:hint="eastAsia"/>
                <w:sz w:val="28"/>
                <w:szCs w:val="28"/>
              </w:rPr>
              <w:t>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01" w:type="dxa"/>
            <w:vAlign w:val="center"/>
          </w:tcPr>
          <w:p>
            <w:pPr>
              <w:adjustRightInd w:val="0"/>
              <w:jc w:val="center"/>
              <w:rPr>
                <w:sz w:val="28"/>
                <w:szCs w:val="28"/>
              </w:rPr>
            </w:pPr>
            <w:r>
              <w:rPr>
                <w:sz w:val="28"/>
                <w:szCs w:val="28"/>
              </w:rPr>
              <w:t>16</w:t>
            </w:r>
          </w:p>
        </w:tc>
        <w:tc>
          <w:tcPr>
            <w:tcW w:w="4677" w:type="dxa"/>
            <w:vAlign w:val="center"/>
          </w:tcPr>
          <w:p>
            <w:pPr>
              <w:adjustRightInd w:val="0"/>
              <w:rPr>
                <w:sz w:val="28"/>
                <w:szCs w:val="28"/>
              </w:rPr>
            </w:pPr>
            <w:r>
              <w:rPr>
                <w:sz w:val="28"/>
                <w:szCs w:val="28"/>
              </w:rPr>
              <w:t>作业效率（亩/小时）</w:t>
            </w:r>
          </w:p>
        </w:tc>
        <w:tc>
          <w:tcPr>
            <w:tcW w:w="2744" w:type="dxa"/>
            <w:vAlign w:val="center"/>
          </w:tcPr>
          <w:p>
            <w:pPr>
              <w:adjustRightInd w:val="0"/>
              <w:jc w:val="center"/>
              <w:rPr>
                <w:sz w:val="28"/>
                <w:szCs w:val="28"/>
              </w:rPr>
            </w:pPr>
            <w:r>
              <w:rPr>
                <w:rFonts w:hint="eastAsia"/>
                <w:sz w:val="28"/>
                <w:szCs w:val="28"/>
              </w:rPr>
              <w:t>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1101" w:type="dxa"/>
            <w:vAlign w:val="center"/>
          </w:tcPr>
          <w:p>
            <w:pPr>
              <w:adjustRightInd w:val="0"/>
              <w:jc w:val="center"/>
              <w:rPr>
                <w:sz w:val="28"/>
                <w:szCs w:val="28"/>
              </w:rPr>
            </w:pPr>
            <w:r>
              <w:rPr>
                <w:sz w:val="28"/>
                <w:szCs w:val="28"/>
              </w:rPr>
              <w:t>17</w:t>
            </w:r>
          </w:p>
        </w:tc>
        <w:tc>
          <w:tcPr>
            <w:tcW w:w="4677" w:type="dxa"/>
            <w:vAlign w:val="center"/>
          </w:tcPr>
          <w:p>
            <w:pPr>
              <w:adjustRightInd w:val="0"/>
              <w:rPr>
                <w:sz w:val="28"/>
                <w:szCs w:val="28"/>
              </w:rPr>
            </w:pPr>
            <w:r>
              <w:rPr>
                <w:sz w:val="28"/>
                <w:szCs w:val="28"/>
              </w:rPr>
              <w:t>粮箱容积设计值（m</w:t>
            </w:r>
            <w:r>
              <w:rPr>
                <w:sz w:val="28"/>
                <w:szCs w:val="28"/>
                <w:vertAlign w:val="superscript"/>
              </w:rPr>
              <w:t>3</w:t>
            </w:r>
            <w:r>
              <w:rPr>
                <w:sz w:val="28"/>
                <w:szCs w:val="28"/>
              </w:rPr>
              <w:t>）</w:t>
            </w:r>
          </w:p>
        </w:tc>
        <w:tc>
          <w:tcPr>
            <w:tcW w:w="2744" w:type="dxa"/>
            <w:vAlign w:val="center"/>
          </w:tcPr>
          <w:p>
            <w:pPr>
              <w:adjustRightInd w:val="0"/>
              <w:jc w:val="center"/>
              <w:rPr>
                <w:sz w:val="28"/>
                <w:szCs w:val="28"/>
              </w:rPr>
            </w:pPr>
            <w:r>
              <w:rPr>
                <w:rFonts w:hint="eastAsia"/>
                <w:sz w:val="28"/>
                <w:szCs w:val="28"/>
              </w:rPr>
              <w:t>1.5</w:t>
            </w:r>
          </w:p>
        </w:tc>
      </w:tr>
    </w:tbl>
    <w:p>
      <w:pPr>
        <w:snapToGrid w:val="0"/>
        <w:spacing w:line="560" w:lineRule="exact"/>
        <w:ind w:firstLine="640" w:firstLineChars="200"/>
        <w:jc w:val="left"/>
        <w:rPr>
          <w:rFonts w:ascii="黑体" w:hAnsi="黑体" w:eastAsia="黑体" w:cs="黑体"/>
          <w:bCs/>
          <w:sz w:val="32"/>
          <w:szCs w:val="32"/>
        </w:rPr>
      </w:pPr>
      <w:r>
        <w:rPr>
          <w:rFonts w:hint="eastAsia" w:ascii="黑体" w:hAnsi="黑体" w:eastAsia="黑体" w:cs="黑体"/>
          <w:bCs/>
          <w:sz w:val="32"/>
          <w:szCs w:val="32"/>
        </w:rPr>
        <w:t>五、注意事项</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1.作业前，机组人员应进行相应的培训，使用前应充分了解本机的性能和使用方法，熟悉驾驶技术，以便充分发挥机器的效能，同时要注意人身安全。</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2.驾驶员要熟悉机具性能，按预定作业路线行走，尽量保证机具直线行驶。机具底盘参数与再生稻种植株行距匹配的，应对行行走，最大程度降低碾压面积。</w:t>
      </w:r>
    </w:p>
    <w:p>
      <w:pPr>
        <w:snapToGrid w:val="0"/>
        <w:spacing w:line="560" w:lineRule="exact"/>
        <w:ind w:firstLine="640" w:firstLineChars="200"/>
        <w:jc w:val="left"/>
        <w:rPr>
          <w:rFonts w:ascii="黑体" w:hAnsi="黑体" w:eastAsia="黑体" w:cs="黑体"/>
          <w:bCs/>
          <w:sz w:val="32"/>
          <w:szCs w:val="32"/>
        </w:rPr>
      </w:pPr>
      <w:r>
        <w:rPr>
          <w:rFonts w:hint="eastAsia" w:ascii="黑体" w:hAnsi="黑体" w:eastAsia="黑体" w:cs="黑体"/>
          <w:bCs/>
          <w:sz w:val="32"/>
          <w:szCs w:val="32"/>
        </w:rPr>
        <w:t>六、技术依托单位（不超过3个）</w:t>
      </w:r>
    </w:p>
    <w:p>
      <w:pPr>
        <w:snapToGrid w:val="0"/>
        <w:spacing w:line="560" w:lineRule="exact"/>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（一）湖南省农业装备研究所</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联系地址：湖南省长沙市芙蓉区东湖路120号</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邮政编码：410125</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联系人：李明、李辉、周文、胡田</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联系电话：0731-82255137</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电子邮箱：</w:t>
      </w:r>
      <w:r>
        <w:fldChar w:fldCharType="begin"/>
      </w:r>
      <w:r>
        <w:instrText xml:space="preserve"> HYPERLINK "mailto:liming@hunaas.cn" </w:instrText>
      </w:r>
      <w:r>
        <w:fldChar w:fldCharType="separate"/>
      </w:r>
      <w:r>
        <w:rPr>
          <w:rFonts w:hint="eastAsia" w:ascii="仿宋_GB2312" w:hAnsi="仿宋_GB2312" w:eastAsia="仿宋_GB2312" w:cs="仿宋_GB2312"/>
          <w:bCs/>
          <w:sz w:val="32"/>
          <w:szCs w:val="32"/>
        </w:rPr>
        <w:t>liming@hunaas.cn</w:t>
      </w:r>
      <w:r>
        <w:rPr>
          <w:rFonts w:hint="eastAsia" w:ascii="仿宋_GB2312" w:hAnsi="仿宋_GB2312" w:eastAsia="仿宋_GB2312" w:cs="仿宋_GB2312"/>
          <w:bCs/>
          <w:sz w:val="32"/>
          <w:szCs w:val="32"/>
        </w:rPr>
        <w:fldChar w:fldCharType="end"/>
      </w:r>
    </w:p>
    <w:p>
      <w:pPr>
        <w:snapToGrid w:val="0"/>
        <w:spacing w:line="560" w:lineRule="exact"/>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（二）农业农村部农业机械化总站</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联系地址：北京市朝阳区东三环南路96号农丰大厦</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邮政编码：100122</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 系 人：王超、王明磊、徐峰</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联系电话：010-59199189</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电子邮箱：moralzjxc@163.com</w:t>
      </w:r>
    </w:p>
    <w:p>
      <w:pPr>
        <w:snapToGrid w:val="0"/>
        <w:spacing w:line="560" w:lineRule="exact"/>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（三）华中农业大学工学院</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联系地址：湖北省武汉市洪山区狮子山街1号</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邮政编码：430070</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 系 人：张国忠、彭少兵、付建伟</w:t>
      </w:r>
    </w:p>
    <w:p>
      <w:pPr>
        <w:snapToGrid w:val="0"/>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联系电话：18672783365，18602713130，15071480339</w:t>
      </w:r>
    </w:p>
    <w:p>
      <w:pPr>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电子邮箱：</w:t>
      </w:r>
      <w:r>
        <w:fldChar w:fldCharType="begin"/>
      </w:r>
      <w:r>
        <w:instrText xml:space="preserve"> HYPERLINK "mailto:zhanggz@mail.hzau.edu.cn" </w:instrText>
      </w:r>
      <w:r>
        <w:fldChar w:fldCharType="separate"/>
      </w:r>
      <w:r>
        <w:rPr>
          <w:rFonts w:hint="eastAsia" w:ascii="仿宋_GB2312" w:hAnsi="仿宋_GB2312" w:eastAsia="仿宋_GB2312" w:cs="仿宋_GB2312"/>
          <w:bCs/>
          <w:sz w:val="32"/>
          <w:szCs w:val="32"/>
        </w:rPr>
        <w:t>zhanggz@mail.hzau.edu.cn</w:t>
      </w:r>
      <w:r>
        <w:rPr>
          <w:rFonts w:hint="eastAsia" w:ascii="仿宋_GB2312" w:hAnsi="仿宋_GB2312" w:eastAsia="仿宋_GB2312" w:cs="仿宋_GB2312"/>
          <w:bCs/>
          <w:sz w:val="32"/>
          <w:szCs w:val="32"/>
        </w:rPr>
        <w:fldChar w:fldCharType="end"/>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等线">
    <w:altName w:val="微软雅黑"/>
    <w:panose1 w:val="00000000000000000000"/>
    <w:charset w:val="86"/>
    <w:family w:val="auto"/>
    <w:pitch w:val="default"/>
    <w:sig w:usb0="00000000" w:usb1="00000000" w:usb2="00000016" w:usb3="00000000" w:csb0="0004000F" w:csb1="00000000"/>
  </w:font>
  <w:font w:name="Segoe UI">
    <w:panose1 w:val="020B0502040204020203"/>
    <w:charset w:val="00"/>
    <w:family w:val="auto"/>
    <w:pitch w:val="default"/>
    <w:sig w:usb0="E10022FF" w:usb1="C000E47F" w:usb2="00000029" w:usb3="00000000" w:csb0="200001DF" w:csb1="2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0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path/>
          <v:fill on="f" focussize="0,0"/>
          <v:stroke on="f" weight="0.5pt" joinstyle="miter"/>
          <v:imagedata o:title=""/>
          <o:lock v:ext="edit"/>
          <v:textbox inset="0mm,0mm,0mm,0mm" style="mso-fit-shape-to-text:t;">
            <w:txbxContent>
              <w:p>
                <w:pPr>
                  <w:pStyle w:val="3"/>
                  <w:jc w:val="center"/>
                </w:pPr>
                <w:r>
                  <w:fldChar w:fldCharType="begin"/>
                </w:r>
                <w:r>
                  <w:instrText xml:space="preserve">PAGE   \* MERGEFORMAT</w:instrText>
                </w:r>
                <w:r>
                  <w:fldChar w:fldCharType="separate"/>
                </w:r>
                <w:r>
                  <w:rPr>
                    <w:lang w:val="zh-CN"/>
                  </w:rPr>
                  <w:t>10</w:t>
                </w:r>
                <w:r>
                  <w:fldChar w:fldCharType="end"/>
                </w:r>
              </w:p>
              <w:p/>
            </w:txbxContent>
          </v:textbox>
        </v:shape>
      </w:pic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RjZDkwYzU5YzNmN2I0YzgzM2RhYjg1MmYxM2I0ZDEifQ=="/>
    <w:docVar w:name="KSO_WPS_MARK_KEY" w:val="4fe7c442-fc5d-47c5-81e3-632ed1f63e1a"/>
  </w:docVars>
  <w:rsids>
    <w:rsidRoot w:val="3C370513"/>
    <w:rsid w:val="00CD5AFF"/>
    <w:rsid w:val="00E03A2F"/>
    <w:rsid w:val="00E1758E"/>
    <w:rsid w:val="175D1519"/>
    <w:rsid w:val="1FB931AC"/>
    <w:rsid w:val="22B42B14"/>
    <w:rsid w:val="3C370513"/>
    <w:rsid w:val="63AE43BC"/>
    <w:rsid w:val="714C06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endnote text"/>
    <w:basedOn w:val="1"/>
    <w:qFormat/>
    <w:uiPriority w:val="0"/>
    <w:rPr>
      <w:rFonts w:ascii="Times New Roman" w:hAnsi="Times New Roman" w:eastAsia="宋体" w:cs="Times New Roman"/>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8">
    <w:name w:val="Hyperlink"/>
    <w:basedOn w:val="7"/>
    <w:qFormat/>
    <w:uiPriority w:val="0"/>
    <w:rPr>
      <w:color w:val="0000FF"/>
      <w:u w:val="single"/>
    </w:rPr>
  </w:style>
  <w:style w:type="paragraph" w:customStyle="1" w:styleId="9">
    <w:name w:val="Heading1"/>
    <w:next w:val="1"/>
    <w:qFormat/>
    <w:uiPriority w:val="0"/>
    <w:pPr>
      <w:widowControl w:val="0"/>
      <w:spacing w:before="100" w:beforeAutospacing="1" w:after="100" w:afterAutospacing="1"/>
      <w:textAlignment w:val="baseline"/>
    </w:pPr>
    <w:rPr>
      <w:rFonts w:ascii="宋体" w:hAnsi="宋体" w:eastAsia="宋体" w:cs="Times New Roman"/>
      <w:b/>
      <w:kern w:val="44"/>
      <w:sz w:val="48"/>
      <w:szCs w:val="48"/>
      <w:lang w:val="en-US" w:eastAsia="zh-CN" w:bidi="ar-SA"/>
    </w:rPr>
  </w:style>
  <w:style w:type="character" w:customStyle="1" w:styleId="10">
    <w:name w:val="页眉 Char"/>
    <w:basedOn w:val="7"/>
    <w:link w:val="4"/>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671</Words>
  <Characters>3828</Characters>
  <Lines>31</Lines>
  <Paragraphs>8</Paragraphs>
  <TotalTime>0</TotalTime>
  <ScaleCrop>false</ScaleCrop>
  <LinksUpToDate>false</LinksUpToDate>
  <CharactersWithSpaces>4491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2023-02-13T07:46:00Z</dcterms:created>
  <dc:creator>飞龙在天</dc:creator>
  <cp:lastModifiedBy>Administrator</cp:lastModifiedBy>
  <cp:lastPrinted>2023-02-17T03:39:00Z</cp:lastPrinted>
  <dcterms:modified xsi:type="dcterms:W3CDTF">2024-11-21T05:24:31Z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09E95A8FA5AE4F63AAA134ADCDF1752E</vt:lpwstr>
  </property>
</Properties>
</file>