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F8F6C3">
      <w:pPr>
        <w:pStyle w:val="19"/>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rPr>
      </w:pPr>
      <w:bookmarkStart w:id="0" w:name="_Hlk113603907"/>
      <w:bookmarkEnd w:id="0"/>
      <w:bookmarkStart w:id="1" w:name="_Hlk44778488"/>
      <w:r>
        <w:rPr>
          <w:rFonts w:hint="eastAsia" w:ascii="方正黑体_GBK" w:hAnsi="方正黑体_GBK" w:eastAsia="方正黑体_GBK" w:cs="方正黑体_GBK"/>
          <w:color w:val="auto"/>
          <w:sz w:val="32"/>
          <w:szCs w:val="32"/>
          <w:lang w:val="en-US" w:eastAsia="zh-CN"/>
        </w:rPr>
        <w:t>XXDR-2024-01004</w:t>
      </w:r>
    </w:p>
    <w:p w14:paraId="0E01E8E3">
      <w:pPr>
        <w:pStyle w:val="19"/>
        <w:keepNext w:val="0"/>
        <w:keepLines w:val="0"/>
        <w:pageBreakBefore w:val="0"/>
        <w:widowControl/>
        <w:tabs>
          <w:tab w:val="left" w:pos="630"/>
        </w:tabs>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rPr>
      </w:pPr>
    </w:p>
    <w:p w14:paraId="7C732FE5">
      <w:pPr>
        <w:pStyle w:val="19"/>
        <w:keepNext w:val="0"/>
        <w:keepLines w:val="0"/>
        <w:pageBreakBefore w:val="0"/>
        <w:widowControl/>
        <w:tabs>
          <w:tab w:val="left" w:pos="630"/>
        </w:tabs>
        <w:kinsoku/>
        <w:wordWrap/>
        <w:overflowPunct/>
        <w:topLinePunct w:val="0"/>
        <w:autoSpaceDE/>
        <w:autoSpaceDN/>
        <w:bidi w:val="0"/>
        <w:adjustRightInd/>
        <w:snapToGrid/>
        <w:spacing w:line="500" w:lineRule="exact"/>
        <w:ind w:left="0" w:leftChars="0" w:firstLine="0" w:firstLineChars="0"/>
        <w:textAlignment w:val="auto"/>
        <w:rPr>
          <w:rFonts w:ascii="方正仿宋_GBK" w:hAnsi="黑体" w:eastAsia="方正仿宋_GBK" w:cs="仿宋_GB2312"/>
          <w:color w:val="000000"/>
          <w:szCs w:val="32"/>
        </w:rPr>
      </w:pPr>
    </w:p>
    <w:p w14:paraId="52878918">
      <w:pPr>
        <w:keepNext w:val="0"/>
        <w:keepLines w:val="0"/>
        <w:pageBreakBefore w:val="0"/>
        <w:kinsoku/>
        <w:wordWrap/>
        <w:overflowPunct/>
        <w:topLinePunct w:val="0"/>
        <w:autoSpaceDE/>
        <w:autoSpaceDN/>
        <w:bidi w:val="0"/>
        <w:adjustRightInd/>
        <w:snapToGrid/>
        <w:spacing w:line="500" w:lineRule="exact"/>
        <w:textAlignment w:val="auto"/>
        <w:rPr>
          <w:rFonts w:ascii="方正仿宋_GBK" w:hAnsi="黑体" w:eastAsia="方正仿宋_GBK" w:cs="仿宋_GB2312"/>
          <w:color w:val="000000"/>
          <w:szCs w:val="32"/>
        </w:rPr>
      </w:pPr>
    </w:p>
    <w:p w14:paraId="012358BC">
      <w:pPr>
        <w:pStyle w:val="19"/>
        <w:keepNext w:val="0"/>
        <w:keepLines w:val="0"/>
        <w:pageBreakBefore w:val="0"/>
        <w:widowControl w:val="0"/>
        <w:tabs>
          <w:tab w:val="left" w:pos="630"/>
        </w:tabs>
        <w:kinsoku/>
        <w:wordWrap/>
        <w:overflowPunct/>
        <w:topLinePunct w:val="0"/>
        <w:autoSpaceDE/>
        <w:autoSpaceDN/>
        <w:bidi w:val="0"/>
        <w:adjustRightInd/>
        <w:snapToGrid/>
        <w:spacing w:before="157" w:beforeLines="50" w:after="0"/>
        <w:textAlignment w:val="auto"/>
      </w:pPr>
    </w:p>
    <w:p w14:paraId="099CB2C2">
      <w:pPr>
        <w:keepNext w:val="0"/>
        <w:keepLines w:val="0"/>
        <w:pageBreakBefore w:val="0"/>
        <w:widowControl w:val="0"/>
        <w:kinsoku/>
        <w:wordWrap/>
        <w:overflowPunct/>
        <w:topLinePunct w:val="0"/>
        <w:autoSpaceDE/>
        <w:autoSpaceDN/>
        <w:bidi w:val="0"/>
        <w:adjustRightInd/>
        <w:snapToGrid/>
        <w:spacing w:before="157" w:beforeLines="50"/>
        <w:textAlignment w:val="auto"/>
        <w:rPr>
          <w:rFonts w:asciiTheme="minorHAnsi" w:hAnsiTheme="minorHAnsi" w:eastAsiaTheme="minorEastAsia" w:cstheme="minorBidi"/>
        </w:rPr>
      </w:pPr>
    </w:p>
    <w:p w14:paraId="40881172">
      <w:pPr>
        <w:pStyle w:val="19"/>
        <w:keepNext w:val="0"/>
        <w:keepLines w:val="0"/>
        <w:pageBreakBefore w:val="0"/>
        <w:widowControl w:val="0"/>
        <w:tabs>
          <w:tab w:val="left" w:pos="630"/>
        </w:tabs>
        <w:kinsoku/>
        <w:wordWrap/>
        <w:overflowPunct/>
        <w:topLinePunct w:val="0"/>
        <w:autoSpaceDE/>
        <w:autoSpaceDN/>
        <w:bidi w:val="0"/>
        <w:adjustRightInd/>
        <w:snapToGrid/>
        <w:spacing w:line="200" w:lineRule="exact"/>
        <w:ind w:left="0" w:leftChars="0" w:firstLine="0" w:firstLineChars="0"/>
        <w:textAlignment w:val="auto"/>
        <w:rPr>
          <w:color w:val="000000"/>
        </w:rPr>
      </w:pPr>
    </w:p>
    <w:p w14:paraId="512ECA7E">
      <w:pPr>
        <w:keepNext w:val="0"/>
        <w:keepLines w:val="0"/>
        <w:pageBreakBefore w:val="0"/>
        <w:kinsoku/>
        <w:wordWrap/>
        <w:overflowPunct/>
        <w:topLinePunct w:val="0"/>
        <w:autoSpaceDE/>
        <w:autoSpaceDN/>
        <w:bidi w:val="0"/>
        <w:adjustRightInd/>
        <w:snapToGrid/>
        <w:spacing w:beforeAutospacing="0" w:afterAutospacing="0" w:line="640" w:lineRule="exact"/>
        <w:ind w:left="0" w:leftChars="0" w:firstLine="0" w:firstLineChars="0"/>
        <w:textAlignment w:val="auto"/>
        <w:rPr>
          <w:rFonts w:asciiTheme="minorHAnsi" w:hAnsiTheme="minorHAnsi" w:eastAsiaTheme="minorEastAsia" w:cstheme="minorBidi"/>
          <w:color w:val="000000"/>
        </w:rPr>
      </w:pPr>
    </w:p>
    <w:p w14:paraId="62752EFC">
      <w:pPr>
        <w:keepNext w:val="0"/>
        <w:keepLines w:val="0"/>
        <w:pageBreakBefore w:val="0"/>
        <w:widowControl/>
        <w:kinsoku/>
        <w:wordWrap/>
        <w:overflowPunct/>
        <w:topLinePunct w:val="0"/>
        <w:autoSpaceDE/>
        <w:autoSpaceDN/>
        <w:bidi w:val="0"/>
        <w:adjustRightInd/>
        <w:snapToGrid/>
        <w:spacing w:beforeAutospacing="0" w:afterAutospacing="0" w:line="500" w:lineRule="exact"/>
        <w:ind w:left="0" w:leftChars="0" w:firstLine="0" w:firstLineChars="0"/>
        <w:jc w:val="center"/>
        <w:textAlignment w:val="auto"/>
        <w:rPr>
          <w:rFonts w:ascii="方正仿宋_GBK" w:eastAsia="方正仿宋_GBK" w:hAnsiTheme="minorHAnsi" w:cstheme="minorBidi"/>
          <w:color w:val="000000"/>
          <w:sz w:val="32"/>
          <w:szCs w:val="32"/>
        </w:rPr>
      </w:pPr>
      <w:r>
        <w:rPr>
          <w:rFonts w:hint="eastAsia" w:ascii="方正仿宋_GBK" w:hAnsi="方正仿宋_GBK" w:eastAsia="方正仿宋_GBK" w:cs="方正仿宋_GBK"/>
          <w:sz w:val="32"/>
          <w:szCs w:val="32"/>
        </w:rPr>
        <w:t>湘乡政办发〔20</w:t>
      </w:r>
      <w:r>
        <w:rPr>
          <w:rFonts w:hint="eastAsia" w:ascii="方正仿宋_GBK" w:hAnsi="方正仿宋_GBK" w:eastAsia="方正仿宋_GBK" w:cs="方正仿宋_GBK"/>
          <w:sz w:val="32"/>
          <w:szCs w:val="32"/>
          <w:lang w:val="en-US" w:eastAsia="zh-CN"/>
        </w:rPr>
        <w:t>24</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号</w:t>
      </w:r>
    </w:p>
    <w:p w14:paraId="540459D2">
      <w:pPr>
        <w:keepNext w:val="0"/>
        <w:keepLines w:val="0"/>
        <w:pageBreakBefore w:val="0"/>
        <w:widowControl w:val="0"/>
        <w:kinsoku/>
        <w:wordWrap/>
        <w:overflowPunct/>
        <w:topLinePunct w:val="0"/>
        <w:autoSpaceDE/>
        <w:autoSpaceDN/>
        <w:bidi w:val="0"/>
        <w:adjustRightInd/>
        <w:snapToGrid/>
        <w:spacing w:line="600" w:lineRule="exact"/>
        <w:ind w:left="0" w:leftChars="0" w:right="0" w:firstLine="0" w:firstLineChars="0"/>
        <w:jc w:val="both"/>
        <w:textAlignment w:val="auto"/>
        <w:rPr>
          <w:rFonts w:hint="eastAsia" w:ascii="方正小标宋_GBK" w:hAnsi="方正小标宋_GBK" w:eastAsia="方正小标宋_GBK" w:cs="方正小标宋_GBK"/>
          <w:sz w:val="44"/>
          <w:szCs w:val="44"/>
          <w:lang w:val="en-US" w:eastAsia="zh-CN"/>
        </w:rPr>
      </w:pPr>
    </w:p>
    <w:p w14:paraId="60C38EBC">
      <w:pPr>
        <w:pStyle w:val="2"/>
        <w:rPr>
          <w:rFonts w:hint="eastAsia"/>
          <w:lang w:val="en-US" w:eastAsia="zh-CN"/>
        </w:rPr>
      </w:pPr>
    </w:p>
    <w:p w14:paraId="2F795537">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湘乡市人民政府办公室</w:t>
      </w:r>
    </w:p>
    <w:p w14:paraId="31CFB94C">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关于印发《湘乡市重污染天气应急预案》的</w:t>
      </w:r>
    </w:p>
    <w:p w14:paraId="385C0618">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val="en-US" w:eastAsia="zh-CN"/>
        </w:rPr>
        <w:t>通    知</w:t>
      </w:r>
    </w:p>
    <w:p w14:paraId="330FBF78">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sz w:val="32"/>
          <w:szCs w:val="32"/>
          <w:lang w:val="en-US" w:eastAsia="zh-CN"/>
        </w:rPr>
      </w:pPr>
    </w:p>
    <w:p w14:paraId="04AC0F13">
      <w:pPr>
        <w:keepNext w:val="0"/>
        <w:keepLines w:val="0"/>
        <w:pageBreakBefore w:val="0"/>
        <w:widowControl w:val="0"/>
        <w:kinsoku/>
        <w:wordWrap/>
        <w:overflowPunct/>
        <w:topLinePunct w:val="0"/>
        <w:autoSpaceDE/>
        <w:autoSpaceDN/>
        <w:bidi w:val="0"/>
        <w:adjustRightInd/>
        <w:snapToGrid/>
        <w:ind w:left="0" w:leftChars="0" w:firstLine="0" w:firstLineChars="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各乡镇人民政府、街道办事处，经开区管委会，市直机关各单位，市属和驻市各企事业单位，各人民团体：</w:t>
      </w:r>
    </w:p>
    <w:p w14:paraId="5A2A8404">
      <w:pPr>
        <w:keepNext w:val="0"/>
        <w:keepLines w:val="0"/>
        <w:pageBreakBefore w:val="0"/>
        <w:widowControl w:val="0"/>
        <w:kinsoku/>
        <w:wordWrap/>
        <w:overflowPunct/>
        <w:topLinePunct w:val="0"/>
        <w:autoSpaceDE/>
        <w:autoSpaceDN/>
        <w:bidi w:val="0"/>
        <w:adjustRightInd/>
        <w:snapToGrid/>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《湘乡市重污染天气应急预案》已经市人民政府同意，现予印发，请认真组织实施。</w:t>
      </w:r>
    </w:p>
    <w:p w14:paraId="06E4C235">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left="0" w:leftChars="0" w:firstLine="0" w:firstLineChars="0"/>
        <w:textAlignment w:val="auto"/>
        <w:rPr>
          <w:rFonts w:hint="eastAsia" w:ascii="方正仿宋_GBK" w:hAnsi="方正仿宋_GBK" w:eastAsia="方正仿宋_GBK" w:cs="方正仿宋_GBK"/>
          <w:sz w:val="32"/>
          <w:szCs w:val="32"/>
          <w:lang w:val="en-US" w:eastAsia="zh-CN"/>
        </w:rPr>
      </w:pPr>
    </w:p>
    <w:p w14:paraId="0C5C9EAB">
      <w:pPr>
        <w:pStyle w:val="2"/>
        <w:keepNext w:val="0"/>
        <w:keepLines w:val="0"/>
        <w:pageBreakBefore w:val="0"/>
        <w:kinsoku/>
        <w:wordWrap/>
        <w:overflowPunct/>
        <w:topLinePunct w:val="0"/>
        <w:autoSpaceDE/>
        <w:autoSpaceDN/>
        <w:bidi w:val="0"/>
        <w:adjustRightInd/>
        <w:snapToGrid/>
        <w:spacing w:before="0" w:beforeAutospacing="0" w:after="0" w:afterAutospacing="0" w:line="500" w:lineRule="exact"/>
        <w:ind w:left="0"/>
        <w:textAlignment w:val="auto"/>
        <w:rPr>
          <w:rFonts w:hint="eastAsia"/>
          <w:lang w:val="en-US" w:eastAsia="zh-CN"/>
        </w:rPr>
      </w:pPr>
    </w:p>
    <w:p w14:paraId="73C704E2">
      <w:pPr>
        <w:keepNext w:val="0"/>
        <w:keepLines w:val="0"/>
        <w:pageBreakBefore w:val="0"/>
        <w:widowControl w:val="0"/>
        <w:kinsoku/>
        <w:wordWrap w:val="0"/>
        <w:overflowPunct/>
        <w:topLinePunct w:val="0"/>
        <w:autoSpaceDE/>
        <w:autoSpaceDN/>
        <w:bidi w:val="0"/>
        <w:adjustRightInd/>
        <w:snapToGrid/>
        <w:jc w:val="right"/>
        <w:textAlignment w:val="auto"/>
        <w:rPr>
          <w:rFonts w:hint="default" w:ascii="方正仿宋_GBK" w:hAnsi="方正仿宋_GBK" w:eastAsia="方正仿宋_GBK" w:cs="方正仿宋_GBK"/>
          <w:sz w:val="32"/>
          <w:szCs w:val="32"/>
          <w:lang w:val="en-US"/>
        </w:rPr>
      </w:pPr>
      <w:r>
        <w:rPr>
          <w:rFonts w:hint="eastAsia" w:ascii="方正仿宋_GBK" w:hAnsi="方正仿宋_GBK" w:eastAsia="方正仿宋_GBK" w:cs="方正仿宋_GBK"/>
          <w:sz w:val="32"/>
          <w:szCs w:val="32"/>
          <w:lang w:val="en-US" w:eastAsia="zh-CN"/>
        </w:rPr>
        <w:t xml:space="preserve">湘乡市人民政府办公室      </w:t>
      </w:r>
    </w:p>
    <w:p w14:paraId="6D7638C3">
      <w:pPr>
        <w:keepNext w:val="0"/>
        <w:keepLines w:val="0"/>
        <w:pageBreakBefore w:val="0"/>
        <w:widowControl w:val="0"/>
        <w:kinsoku/>
        <w:wordWrap w:val="0"/>
        <w:overflowPunct/>
        <w:topLinePunct w:val="0"/>
        <w:autoSpaceDE/>
        <w:autoSpaceDN/>
        <w:bidi w:val="0"/>
        <w:adjustRightInd/>
        <w:snapToGrid/>
        <w:jc w:val="right"/>
        <w:textAlignment w:val="auto"/>
        <w:rPr>
          <w:rFonts w:hint="default" w:ascii="方正仿宋_GBK" w:hAnsi="方正仿宋_GBK" w:eastAsia="方正仿宋_GBK" w:cs="方正仿宋_GBK"/>
          <w:i w:val="0"/>
          <w:caps w:val="0"/>
          <w:color w:val="333333"/>
          <w:spacing w:val="0"/>
          <w:kern w:val="0"/>
          <w:sz w:val="32"/>
          <w:szCs w:val="32"/>
          <w:shd w:val="clear" w:color="auto" w:fill="FFFFFF"/>
          <w:lang w:val="en-US" w:eastAsia="zh-CN" w:bidi="ar"/>
        </w:rPr>
        <w:sectPr>
          <w:headerReference r:id="rId7" w:type="first"/>
          <w:footerReference r:id="rId10" w:type="first"/>
          <w:headerReference r:id="rId5" w:type="default"/>
          <w:footerReference r:id="rId8" w:type="default"/>
          <w:headerReference r:id="rId6" w:type="even"/>
          <w:footerReference r:id="rId9" w:type="even"/>
          <w:pgSz w:w="11906" w:h="16838"/>
          <w:pgMar w:top="1984" w:right="1531" w:bottom="1587"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方正仿宋_GBK" w:hAnsi="方正仿宋_GBK" w:eastAsia="方正仿宋_GBK" w:cs="方正仿宋_GBK"/>
          <w:sz w:val="32"/>
          <w:szCs w:val="32"/>
          <w:lang w:val="en-US" w:eastAsia="zh-CN"/>
        </w:rPr>
        <w:t xml:space="preserve">2024年11月14日        </w:t>
      </w:r>
    </w:p>
    <w:bookmarkEnd w:id="1"/>
    <w:p w14:paraId="409A54E7">
      <w:pPr>
        <w:spacing w:before="0" w:beforeLines="0" w:after="0" w:afterLines="0" w:line="240" w:lineRule="auto"/>
        <w:ind w:left="0" w:leftChars="0" w:right="0" w:rightChars="0" w:firstLine="0" w:firstLineChars="0"/>
        <w:jc w:val="center"/>
        <w:rPr>
          <w:rFonts w:hint="eastAsia" w:ascii="黑体" w:hAnsi="黑体" w:eastAsia="黑体" w:cs="黑体"/>
          <w:color w:val="auto"/>
          <w:sz w:val="36"/>
          <w:szCs w:val="36"/>
        </w:rPr>
      </w:pPr>
      <w:r>
        <w:rPr>
          <w:rFonts w:hint="eastAsia" w:ascii="方正小标宋_GBK" w:hAnsi="方正小标宋_GBK" w:eastAsia="方正小标宋_GBK" w:cs="方正小标宋_GBK"/>
          <w:sz w:val="44"/>
          <w:szCs w:val="44"/>
          <w:lang w:val="en-US" w:eastAsia="zh-CN"/>
        </w:rPr>
        <w:t>湘乡市重污染天气</w:t>
      </w:r>
      <w:bookmarkStart w:id="157" w:name="_GoBack"/>
      <w:bookmarkEnd w:id="157"/>
      <w:r>
        <w:rPr>
          <w:rFonts w:hint="eastAsia" w:ascii="方正小标宋_GBK" w:hAnsi="方正小标宋_GBK" w:eastAsia="方正小标宋_GBK" w:cs="方正小标宋_GBK"/>
          <w:sz w:val="44"/>
          <w:szCs w:val="44"/>
          <w:lang w:val="en-US" w:eastAsia="zh-CN"/>
        </w:rPr>
        <w:t>应急预案</w:t>
      </w:r>
    </w:p>
    <w:p w14:paraId="368DDFAB">
      <w:pPr>
        <w:spacing w:before="0" w:beforeLines="0" w:after="0" w:afterLines="0" w:line="240" w:lineRule="auto"/>
        <w:ind w:left="0" w:leftChars="0" w:right="0" w:rightChars="0" w:firstLine="0" w:firstLineChars="0"/>
        <w:jc w:val="center"/>
        <w:rPr>
          <w:rFonts w:hint="eastAsia" w:ascii="黑体" w:hAnsi="黑体" w:eastAsia="黑体" w:cs="黑体"/>
          <w:color w:val="auto"/>
          <w:sz w:val="36"/>
          <w:szCs w:val="36"/>
        </w:rPr>
      </w:pPr>
    </w:p>
    <w:p w14:paraId="02DD349D">
      <w:pPr>
        <w:spacing w:before="0" w:beforeLines="0" w:after="0" w:afterLines="0" w:line="240" w:lineRule="auto"/>
        <w:ind w:left="0" w:leftChars="0" w:right="0" w:rightChars="0" w:firstLine="0" w:firstLineChars="0"/>
        <w:jc w:val="center"/>
        <w:rPr>
          <w:rFonts w:hint="eastAsia" w:ascii="黑体" w:hAnsi="黑体" w:eastAsia="黑体" w:cs="黑体"/>
          <w:color w:val="auto"/>
          <w:sz w:val="36"/>
          <w:szCs w:val="36"/>
        </w:rPr>
      </w:pPr>
      <w:r>
        <w:rPr>
          <w:rFonts w:hint="eastAsia" w:ascii="黑体" w:hAnsi="黑体" w:eastAsia="黑体" w:cs="黑体"/>
          <w:color w:val="auto"/>
          <w:sz w:val="36"/>
          <w:szCs w:val="36"/>
        </w:rPr>
        <w:t>目</w:t>
      </w:r>
      <w:r>
        <w:rPr>
          <w:rFonts w:hint="eastAsia" w:ascii="黑体" w:hAnsi="黑体" w:eastAsia="黑体" w:cs="黑体"/>
          <w:color w:val="auto"/>
          <w:sz w:val="36"/>
          <w:szCs w:val="36"/>
          <w:lang w:val="en-US" w:eastAsia="zh-CN"/>
        </w:rPr>
        <w:t xml:space="preserve">  </w:t>
      </w:r>
      <w:r>
        <w:rPr>
          <w:rFonts w:hint="eastAsia" w:ascii="黑体" w:hAnsi="黑体" w:eastAsia="黑体" w:cs="黑体"/>
          <w:color w:val="auto"/>
          <w:sz w:val="36"/>
          <w:szCs w:val="36"/>
        </w:rPr>
        <w:t>录</w:t>
      </w:r>
    </w:p>
    <w:p w14:paraId="43875CBD">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30" w:firstLineChars="300"/>
        <w:textAlignment w:val="auto"/>
        <w:rPr>
          <w:rFonts w:hint="eastAsia" w:ascii="黑体" w:hAnsi="黑体" w:eastAsia="黑体" w:cs="黑体"/>
          <w:color w:val="auto"/>
        </w:rPr>
      </w:pPr>
      <w:r>
        <w:rPr>
          <w:rFonts w:hint="eastAsia" w:ascii="方正仿宋_GBK" w:hAnsi="方正仿宋_GBK" w:eastAsia="方正仿宋_GBK" w:cs="方正仿宋_GBK"/>
          <w:color w:val="auto"/>
          <w:sz w:val="21"/>
        </w:rPr>
        <w:fldChar w:fldCharType="begin"/>
      </w:r>
      <w:r>
        <w:rPr>
          <w:rFonts w:hint="eastAsia" w:ascii="方正仿宋_GBK" w:hAnsi="方正仿宋_GBK" w:eastAsia="方正仿宋_GBK" w:cs="方正仿宋_GBK"/>
          <w:color w:val="auto"/>
          <w:sz w:val="21"/>
        </w:rPr>
        <w:instrText xml:space="preserve">TOC \o "1-3" \h \u </w:instrText>
      </w:r>
      <w:r>
        <w:rPr>
          <w:rFonts w:hint="eastAsia" w:ascii="方正仿宋_GBK" w:hAnsi="方正仿宋_GBK" w:eastAsia="方正仿宋_GBK" w:cs="方正仿宋_GBK"/>
          <w:color w:val="auto"/>
          <w:sz w:val="21"/>
        </w:rPr>
        <w:fldChar w:fldCharType="separate"/>
      </w: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_Toc13461 </w:instrText>
      </w:r>
      <w:r>
        <w:rPr>
          <w:rFonts w:hint="eastAsia" w:ascii="黑体" w:hAnsi="黑体" w:eastAsia="黑体" w:cs="黑体"/>
          <w:color w:val="auto"/>
        </w:rPr>
        <w:fldChar w:fldCharType="separate"/>
      </w:r>
      <w:r>
        <w:rPr>
          <w:rFonts w:hint="eastAsia" w:ascii="黑体" w:hAnsi="黑体" w:eastAsia="黑体" w:cs="黑体"/>
          <w:bCs/>
          <w:color w:val="auto"/>
          <w:kern w:val="44"/>
          <w:szCs w:val="44"/>
          <w:lang w:val="en-US" w:eastAsia="zh-CN" w:bidi="ar-SA"/>
        </w:rPr>
        <w:t>1.</w:t>
      </w:r>
      <w:r>
        <w:rPr>
          <w:rFonts w:hint="eastAsia" w:ascii="黑体" w:hAnsi="黑体" w:eastAsia="黑体" w:cs="黑体"/>
          <w:color w:val="auto"/>
          <w:lang w:eastAsia="zh-CN"/>
        </w:rPr>
        <w:t>总则</w:t>
      </w:r>
      <w:r>
        <w:rPr>
          <w:rFonts w:hint="eastAsia" w:ascii="黑体" w:hAnsi="黑体" w:eastAsia="黑体" w:cs="黑体"/>
          <w:color w:val="auto"/>
        </w:rPr>
        <w:fldChar w:fldCharType="end"/>
      </w:r>
    </w:p>
    <w:p w14:paraId="26C08281">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_Toc8124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1.1</w:t>
      </w:r>
      <w:r>
        <w:rPr>
          <w:rFonts w:hint="eastAsia" w:ascii="方正仿宋_GBK" w:hAnsi="方正仿宋_GBK" w:eastAsia="方正仿宋_GBK" w:cs="方正仿宋_GBK"/>
          <w:color w:val="auto"/>
          <w:lang w:eastAsia="zh-CN"/>
        </w:rPr>
        <w:t>编制目的</w:t>
      </w:r>
      <w:r>
        <w:rPr>
          <w:rFonts w:hint="eastAsia" w:ascii="方正仿宋_GBK" w:hAnsi="方正仿宋_GBK" w:eastAsia="方正仿宋_GBK" w:cs="方正仿宋_GBK"/>
          <w:color w:val="auto"/>
        </w:rPr>
        <w:fldChar w:fldCharType="end"/>
      </w:r>
    </w:p>
    <w:p w14:paraId="49672F6F">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_Toc25065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1.2</w:t>
      </w:r>
      <w:r>
        <w:rPr>
          <w:rFonts w:hint="eastAsia" w:ascii="方正仿宋_GBK" w:hAnsi="方正仿宋_GBK" w:eastAsia="方正仿宋_GBK" w:cs="方正仿宋_GBK"/>
          <w:color w:val="auto"/>
          <w:lang w:eastAsia="zh-CN"/>
        </w:rPr>
        <w:t>编制依据</w:t>
      </w:r>
      <w:r>
        <w:rPr>
          <w:rFonts w:hint="eastAsia" w:ascii="方正仿宋_GBK" w:hAnsi="方正仿宋_GBK" w:eastAsia="方正仿宋_GBK" w:cs="方正仿宋_GBK"/>
          <w:color w:val="auto"/>
        </w:rPr>
        <w:fldChar w:fldCharType="end"/>
      </w:r>
    </w:p>
    <w:p w14:paraId="61A68E3A">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_Toc4266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1.3</w:t>
      </w:r>
      <w:r>
        <w:rPr>
          <w:rFonts w:hint="eastAsia" w:ascii="方正仿宋_GBK" w:hAnsi="方正仿宋_GBK" w:eastAsia="方正仿宋_GBK" w:cs="方正仿宋_GBK"/>
          <w:color w:val="auto"/>
          <w:lang w:eastAsia="zh-CN"/>
        </w:rPr>
        <w:t>适用范围</w:t>
      </w:r>
      <w:r>
        <w:rPr>
          <w:rFonts w:hint="eastAsia" w:ascii="方正仿宋_GBK" w:hAnsi="方正仿宋_GBK" w:eastAsia="方正仿宋_GBK" w:cs="方正仿宋_GBK"/>
          <w:color w:val="auto"/>
        </w:rPr>
        <w:fldChar w:fldCharType="end"/>
      </w:r>
    </w:p>
    <w:p w14:paraId="537743C3">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_Toc25594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1.4</w:t>
      </w:r>
      <w:r>
        <w:rPr>
          <w:rFonts w:hint="eastAsia" w:ascii="方正仿宋_GBK" w:hAnsi="方正仿宋_GBK" w:eastAsia="方正仿宋_GBK" w:cs="方正仿宋_GBK"/>
          <w:color w:val="auto"/>
          <w:lang w:eastAsia="zh-CN"/>
        </w:rPr>
        <w:t>工作原则</w:t>
      </w:r>
      <w:r>
        <w:rPr>
          <w:rFonts w:hint="eastAsia" w:ascii="方正仿宋_GBK" w:hAnsi="方正仿宋_GBK" w:eastAsia="方正仿宋_GBK" w:cs="方正仿宋_GBK"/>
          <w:color w:val="auto"/>
        </w:rPr>
        <w:fldChar w:fldCharType="end"/>
      </w:r>
    </w:p>
    <w:p w14:paraId="0B51A728">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_Toc19709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1.5</w:t>
      </w:r>
      <w:r>
        <w:rPr>
          <w:rFonts w:hint="eastAsia" w:ascii="方正仿宋_GBK" w:hAnsi="方正仿宋_GBK" w:eastAsia="方正仿宋_GBK" w:cs="方正仿宋_GBK"/>
          <w:color w:val="auto"/>
          <w:lang w:eastAsia="zh-CN"/>
        </w:rPr>
        <w:t>预案体系</w:t>
      </w:r>
      <w:r>
        <w:rPr>
          <w:rFonts w:hint="eastAsia" w:ascii="方正仿宋_GBK" w:hAnsi="方正仿宋_GBK" w:eastAsia="方正仿宋_GBK" w:cs="方正仿宋_GBK"/>
          <w:color w:val="auto"/>
        </w:rPr>
        <w:fldChar w:fldCharType="end"/>
      </w:r>
    </w:p>
    <w:p w14:paraId="6D41E731">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color w:val="auto"/>
        </w:rPr>
      </w:pP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_Toc9231 </w:instrText>
      </w:r>
      <w:r>
        <w:rPr>
          <w:rFonts w:hint="eastAsia" w:ascii="黑体" w:hAnsi="黑体" w:eastAsia="黑体" w:cs="黑体"/>
          <w:color w:val="auto"/>
        </w:rPr>
        <w:fldChar w:fldCharType="separate"/>
      </w:r>
      <w:r>
        <w:rPr>
          <w:rFonts w:hint="eastAsia" w:ascii="黑体" w:hAnsi="黑体" w:eastAsia="黑体" w:cs="黑体"/>
          <w:bCs/>
          <w:color w:val="auto"/>
          <w:kern w:val="44"/>
          <w:szCs w:val="44"/>
          <w:lang w:val="en-US" w:eastAsia="zh-CN" w:bidi="ar-SA"/>
        </w:rPr>
        <w:t>2.</w:t>
      </w:r>
      <w:r>
        <w:rPr>
          <w:rFonts w:hint="eastAsia" w:ascii="黑体" w:hAnsi="黑体" w:eastAsia="黑体" w:cs="黑体"/>
          <w:color w:val="auto"/>
          <w:lang w:eastAsia="zh-CN"/>
        </w:rPr>
        <w:t>组织机构及工作职责</w:t>
      </w:r>
      <w:r>
        <w:rPr>
          <w:rFonts w:hint="eastAsia" w:ascii="黑体" w:hAnsi="黑体" w:eastAsia="黑体" w:cs="黑体"/>
          <w:color w:val="auto"/>
        </w:rPr>
        <w:fldChar w:fldCharType="end"/>
      </w:r>
    </w:p>
    <w:p w14:paraId="322FD699">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_Toc30651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2.1</w:t>
      </w:r>
      <w:r>
        <w:rPr>
          <w:rFonts w:hint="eastAsia" w:ascii="方正仿宋_GBK" w:hAnsi="方正仿宋_GBK" w:eastAsia="方正仿宋_GBK" w:cs="方正仿宋_GBK"/>
          <w:color w:val="auto"/>
          <w:lang w:eastAsia="zh-CN"/>
        </w:rPr>
        <w:t>市重污染天气应急指挥部</w:t>
      </w:r>
      <w:r>
        <w:rPr>
          <w:rFonts w:hint="eastAsia" w:ascii="方正仿宋_GBK" w:hAnsi="方正仿宋_GBK" w:eastAsia="方正仿宋_GBK" w:cs="方正仿宋_GBK"/>
          <w:color w:val="auto"/>
        </w:rPr>
        <w:fldChar w:fldCharType="end"/>
      </w:r>
    </w:p>
    <w:p w14:paraId="76A48D91">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_Toc1152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2.2</w:t>
      </w:r>
      <w:r>
        <w:rPr>
          <w:rFonts w:hint="eastAsia" w:ascii="方正仿宋_GBK" w:hAnsi="方正仿宋_GBK" w:eastAsia="方正仿宋_GBK" w:cs="方正仿宋_GBK"/>
          <w:color w:val="auto"/>
          <w:lang w:eastAsia="zh-CN"/>
        </w:rPr>
        <w:t>市重污染天气应急指挥部办公室</w:t>
      </w:r>
      <w:r>
        <w:rPr>
          <w:rFonts w:hint="eastAsia" w:ascii="方正仿宋_GBK" w:hAnsi="方正仿宋_GBK" w:eastAsia="方正仿宋_GBK" w:cs="方正仿宋_GBK"/>
          <w:color w:val="auto"/>
        </w:rPr>
        <w:fldChar w:fldCharType="end"/>
      </w:r>
    </w:p>
    <w:p w14:paraId="276D7830">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_Toc20356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2.3</w:t>
      </w:r>
      <w:r>
        <w:rPr>
          <w:rFonts w:hint="eastAsia" w:ascii="方正仿宋_GBK" w:hAnsi="方正仿宋_GBK" w:eastAsia="方正仿宋_GBK" w:cs="方正仿宋_GBK"/>
          <w:color w:val="auto"/>
          <w:lang w:eastAsia="zh-CN"/>
        </w:rPr>
        <w:t>市重污染天气应急指挥部成员单位</w:t>
      </w:r>
      <w:r>
        <w:rPr>
          <w:rFonts w:hint="eastAsia" w:ascii="方正仿宋_GBK" w:hAnsi="方正仿宋_GBK" w:eastAsia="方正仿宋_GBK" w:cs="方正仿宋_GBK"/>
          <w:color w:val="auto"/>
        </w:rPr>
        <w:fldChar w:fldCharType="end"/>
      </w:r>
    </w:p>
    <w:p w14:paraId="684AAC89">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_Toc16502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2.4</w:t>
      </w:r>
      <w:r>
        <w:rPr>
          <w:rFonts w:hint="eastAsia" w:ascii="方正仿宋_GBK" w:hAnsi="方正仿宋_GBK" w:eastAsia="方正仿宋_GBK" w:cs="方正仿宋_GBK"/>
          <w:color w:val="auto"/>
          <w:lang w:eastAsia="zh-CN"/>
        </w:rPr>
        <w:t>专家组</w:t>
      </w:r>
      <w:r>
        <w:rPr>
          <w:rFonts w:hint="eastAsia" w:ascii="方正仿宋_GBK" w:hAnsi="方正仿宋_GBK" w:eastAsia="方正仿宋_GBK" w:cs="方正仿宋_GBK"/>
          <w:color w:val="auto"/>
        </w:rPr>
        <w:fldChar w:fldCharType="end"/>
      </w:r>
    </w:p>
    <w:p w14:paraId="4FC6CEEF">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_Toc17878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2.5</w:t>
      </w:r>
      <w:r>
        <w:rPr>
          <w:rFonts w:hint="eastAsia" w:ascii="方正仿宋_GBK" w:hAnsi="方正仿宋_GBK" w:eastAsia="方正仿宋_GBK" w:cs="方正仿宋_GBK"/>
          <w:color w:val="auto"/>
          <w:lang w:eastAsia="zh-CN"/>
        </w:rPr>
        <w:t>组织体系框架图</w:t>
      </w:r>
      <w:r>
        <w:rPr>
          <w:rFonts w:hint="eastAsia" w:ascii="方正仿宋_GBK" w:hAnsi="方正仿宋_GBK" w:eastAsia="方正仿宋_GBK" w:cs="方正仿宋_GBK"/>
          <w:color w:val="auto"/>
        </w:rPr>
        <w:fldChar w:fldCharType="end"/>
      </w:r>
    </w:p>
    <w:p w14:paraId="50712329">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color w:val="auto"/>
        </w:rPr>
      </w:pP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_Toc641 </w:instrText>
      </w:r>
      <w:r>
        <w:rPr>
          <w:rFonts w:hint="eastAsia" w:ascii="黑体" w:hAnsi="黑体" w:eastAsia="黑体" w:cs="黑体"/>
          <w:color w:val="auto"/>
        </w:rPr>
        <w:fldChar w:fldCharType="separate"/>
      </w:r>
      <w:r>
        <w:rPr>
          <w:rFonts w:hint="eastAsia" w:ascii="黑体" w:hAnsi="黑体" w:eastAsia="黑体" w:cs="黑体"/>
          <w:color w:val="auto"/>
          <w:lang w:val="en-US" w:eastAsia="zh-CN"/>
        </w:rPr>
        <w:t>3.</w:t>
      </w:r>
      <w:r>
        <w:rPr>
          <w:rFonts w:hint="eastAsia" w:ascii="黑体" w:hAnsi="黑体" w:eastAsia="黑体" w:cs="黑体"/>
          <w:color w:val="auto"/>
          <w:lang w:eastAsia="zh-CN"/>
        </w:rPr>
        <w:t>应急准备</w:t>
      </w:r>
      <w:r>
        <w:rPr>
          <w:rFonts w:hint="eastAsia" w:ascii="黑体" w:hAnsi="黑体" w:eastAsia="黑体" w:cs="黑体"/>
          <w:color w:val="auto"/>
        </w:rPr>
        <w:fldChar w:fldCharType="end"/>
      </w:r>
    </w:p>
    <w:p w14:paraId="7A5ECA46">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_Toc9677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3.1</w:t>
      </w:r>
      <w:r>
        <w:rPr>
          <w:rFonts w:hint="eastAsia" w:ascii="方正仿宋_GBK" w:hAnsi="方正仿宋_GBK" w:eastAsia="方正仿宋_GBK" w:cs="方正仿宋_GBK"/>
          <w:color w:val="auto"/>
          <w:lang w:eastAsia="zh-CN"/>
        </w:rPr>
        <w:t>修订应急减排清单</w:t>
      </w:r>
      <w:r>
        <w:rPr>
          <w:rFonts w:hint="eastAsia" w:ascii="方正仿宋_GBK" w:hAnsi="方正仿宋_GBK" w:eastAsia="方正仿宋_GBK" w:cs="方正仿宋_GBK"/>
          <w:color w:val="auto"/>
        </w:rPr>
        <w:fldChar w:fldCharType="end"/>
      </w:r>
    </w:p>
    <w:p w14:paraId="5668386F">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_Toc12534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snapToGrid w:val="0"/>
          <w:color w:val="auto"/>
          <w:kern w:val="21"/>
          <w:szCs w:val="32"/>
          <w:highlight w:val="none"/>
        </w:rPr>
        <w:t>3.2夯实应急减排措施</w:t>
      </w:r>
      <w:r>
        <w:rPr>
          <w:rFonts w:hint="eastAsia" w:ascii="方正仿宋_GBK" w:hAnsi="方正仿宋_GBK" w:eastAsia="方正仿宋_GBK" w:cs="方正仿宋_GBK"/>
          <w:color w:val="auto"/>
        </w:rPr>
        <w:fldChar w:fldCharType="end"/>
      </w:r>
    </w:p>
    <w:p w14:paraId="5FFA84ED">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_Toc28032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snapToGrid w:val="0"/>
          <w:color w:val="auto"/>
          <w:kern w:val="21"/>
          <w:szCs w:val="32"/>
          <w:highlight w:val="none"/>
        </w:rPr>
        <w:t>3.3指导企业制定“一厂一策”实施方案</w:t>
      </w:r>
      <w:r>
        <w:rPr>
          <w:rFonts w:hint="eastAsia" w:ascii="方正仿宋_GBK" w:hAnsi="方正仿宋_GBK" w:eastAsia="方正仿宋_GBK" w:cs="方正仿宋_GBK"/>
          <w:color w:val="auto"/>
        </w:rPr>
        <w:fldChar w:fldCharType="end"/>
      </w:r>
    </w:p>
    <w:p w14:paraId="5F0762B3">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_Toc9788 </w:instrText>
      </w:r>
      <w:r>
        <w:rPr>
          <w:rFonts w:hint="eastAsia" w:ascii="黑体" w:hAnsi="黑体" w:eastAsia="黑体" w:cs="黑体"/>
          <w:color w:val="auto"/>
        </w:rPr>
        <w:fldChar w:fldCharType="separate"/>
      </w:r>
      <w:r>
        <w:rPr>
          <w:rFonts w:hint="eastAsia" w:ascii="黑体" w:hAnsi="黑体" w:eastAsia="黑体" w:cs="黑体"/>
          <w:color w:val="auto"/>
          <w:lang w:val="en-US" w:eastAsia="zh-CN"/>
        </w:rPr>
        <w:t>4.</w:t>
      </w:r>
      <w:r>
        <w:rPr>
          <w:rFonts w:hint="eastAsia" w:ascii="黑体" w:hAnsi="黑体" w:eastAsia="黑体" w:cs="黑体"/>
          <w:color w:val="auto"/>
          <w:lang w:eastAsia="zh-CN"/>
        </w:rPr>
        <w:t>监测与预警</w:t>
      </w:r>
      <w:r>
        <w:rPr>
          <w:rFonts w:hint="eastAsia" w:ascii="黑体" w:hAnsi="黑体" w:eastAsia="黑体" w:cs="黑体"/>
          <w:color w:val="auto"/>
        </w:rPr>
        <w:fldChar w:fldCharType="end"/>
      </w:r>
    </w:p>
    <w:p w14:paraId="62F5A8F5">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_Toc22443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4.1</w:t>
      </w:r>
      <w:r>
        <w:rPr>
          <w:rFonts w:hint="eastAsia" w:ascii="方正仿宋_GBK" w:hAnsi="方正仿宋_GBK" w:eastAsia="方正仿宋_GBK" w:cs="方正仿宋_GBK"/>
          <w:color w:val="auto"/>
          <w:lang w:eastAsia="zh-CN"/>
        </w:rPr>
        <w:t>监测与预报</w:t>
      </w:r>
      <w:r>
        <w:rPr>
          <w:rFonts w:hint="eastAsia" w:ascii="方正仿宋_GBK" w:hAnsi="方正仿宋_GBK" w:eastAsia="方正仿宋_GBK" w:cs="方正仿宋_GBK"/>
          <w:color w:val="auto"/>
        </w:rPr>
        <w:fldChar w:fldCharType="end"/>
      </w:r>
    </w:p>
    <w:p w14:paraId="47DC1F63">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default"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4.2预警分级</w:t>
      </w:r>
    </w:p>
    <w:p w14:paraId="40C56AE6">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_Toc10687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4.3</w:t>
      </w:r>
      <w:r>
        <w:rPr>
          <w:rFonts w:hint="eastAsia" w:ascii="方正仿宋_GBK" w:hAnsi="方正仿宋_GBK" w:eastAsia="方正仿宋_GBK" w:cs="方正仿宋_GBK"/>
          <w:color w:val="auto"/>
          <w:lang w:eastAsia="zh-CN"/>
        </w:rPr>
        <w:t>预警会商、发布、调级与解除</w:t>
      </w:r>
      <w:r>
        <w:rPr>
          <w:rFonts w:hint="eastAsia" w:ascii="方正仿宋_GBK" w:hAnsi="方正仿宋_GBK" w:eastAsia="方正仿宋_GBK" w:cs="方正仿宋_GBK"/>
          <w:color w:val="auto"/>
        </w:rPr>
        <w:fldChar w:fldCharType="end"/>
      </w:r>
    </w:p>
    <w:p w14:paraId="14291BF4">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_Toc28282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4.4</w:t>
      </w:r>
      <w:r>
        <w:rPr>
          <w:rFonts w:hint="eastAsia" w:ascii="方正仿宋_GBK" w:hAnsi="方正仿宋_GBK" w:eastAsia="方正仿宋_GBK" w:cs="方正仿宋_GBK"/>
          <w:color w:val="auto"/>
          <w:lang w:val="en-US" w:eastAsia="zh-CN"/>
        </w:rPr>
        <w:t>预警措施</w:t>
      </w:r>
      <w:r>
        <w:rPr>
          <w:rFonts w:hint="eastAsia" w:ascii="方正仿宋_GBK" w:hAnsi="方正仿宋_GBK" w:eastAsia="方正仿宋_GBK" w:cs="方正仿宋_GBK"/>
          <w:color w:val="auto"/>
        </w:rPr>
        <w:fldChar w:fldCharType="end"/>
      </w:r>
    </w:p>
    <w:p w14:paraId="096D9C02">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_Toc7231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4.5</w:t>
      </w:r>
      <w:r>
        <w:rPr>
          <w:rFonts w:hint="eastAsia" w:ascii="方正仿宋_GBK" w:hAnsi="方正仿宋_GBK" w:eastAsia="方正仿宋_GBK" w:cs="方正仿宋_GBK"/>
          <w:color w:val="auto"/>
          <w:lang w:eastAsia="zh-CN"/>
        </w:rPr>
        <w:t>应急响应</w:t>
      </w:r>
      <w:r>
        <w:rPr>
          <w:rFonts w:hint="eastAsia" w:ascii="方正仿宋_GBK" w:hAnsi="方正仿宋_GBK" w:eastAsia="方正仿宋_GBK" w:cs="方正仿宋_GBK"/>
          <w:color w:val="auto"/>
        </w:rPr>
        <w:fldChar w:fldCharType="end"/>
      </w:r>
    </w:p>
    <w:p w14:paraId="2525444C">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_Toc8029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4.6</w:t>
      </w:r>
      <w:r>
        <w:rPr>
          <w:rFonts w:hint="eastAsia" w:ascii="方正仿宋_GBK" w:hAnsi="方正仿宋_GBK" w:eastAsia="方正仿宋_GBK" w:cs="方正仿宋_GBK"/>
          <w:color w:val="auto"/>
          <w:lang w:eastAsia="zh-CN"/>
        </w:rPr>
        <w:t>响应级别调整或终止</w:t>
      </w:r>
      <w:r>
        <w:rPr>
          <w:rFonts w:hint="eastAsia" w:ascii="方正仿宋_GBK" w:hAnsi="方正仿宋_GBK" w:eastAsia="方正仿宋_GBK" w:cs="方正仿宋_GBK"/>
          <w:color w:val="auto"/>
        </w:rPr>
        <w:fldChar w:fldCharType="end"/>
      </w:r>
    </w:p>
    <w:p w14:paraId="0EAD089E">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_Toc13026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4.7</w:t>
      </w:r>
      <w:r>
        <w:rPr>
          <w:rFonts w:hint="eastAsia" w:ascii="方正仿宋_GBK" w:hAnsi="方正仿宋_GBK" w:eastAsia="方正仿宋_GBK" w:cs="方正仿宋_GBK"/>
          <w:color w:val="auto"/>
          <w:lang w:eastAsia="zh-CN"/>
        </w:rPr>
        <w:t>部门联动与职责分工</w:t>
      </w:r>
      <w:r>
        <w:rPr>
          <w:rFonts w:hint="eastAsia" w:ascii="方正仿宋_GBK" w:hAnsi="方正仿宋_GBK" w:eastAsia="方正仿宋_GBK" w:cs="方正仿宋_GBK"/>
          <w:color w:val="auto"/>
        </w:rPr>
        <w:fldChar w:fldCharType="end"/>
      </w:r>
    </w:p>
    <w:p w14:paraId="611293BE">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_Toc9067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4.8</w:t>
      </w:r>
      <w:r>
        <w:rPr>
          <w:rFonts w:hint="eastAsia" w:ascii="方正仿宋_GBK" w:hAnsi="方正仿宋_GBK" w:eastAsia="方正仿宋_GBK" w:cs="方正仿宋_GBK"/>
          <w:color w:val="auto"/>
          <w:lang w:eastAsia="zh-CN"/>
        </w:rPr>
        <w:t>区域应急联动</w:t>
      </w:r>
      <w:r>
        <w:rPr>
          <w:rFonts w:hint="eastAsia" w:ascii="方正仿宋_GBK" w:hAnsi="方正仿宋_GBK" w:eastAsia="方正仿宋_GBK" w:cs="方正仿宋_GBK"/>
          <w:color w:val="auto"/>
        </w:rPr>
        <w:fldChar w:fldCharType="end"/>
      </w:r>
    </w:p>
    <w:p w14:paraId="3E9CB5C0">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color w:val="auto"/>
        </w:rPr>
      </w:pP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_Toc15095 </w:instrText>
      </w:r>
      <w:r>
        <w:rPr>
          <w:rFonts w:hint="eastAsia" w:ascii="黑体" w:hAnsi="黑体" w:eastAsia="黑体" w:cs="黑体"/>
          <w:color w:val="auto"/>
        </w:rPr>
        <w:fldChar w:fldCharType="separate"/>
      </w:r>
      <w:r>
        <w:rPr>
          <w:rFonts w:hint="eastAsia" w:ascii="黑体" w:hAnsi="黑体" w:eastAsia="黑体" w:cs="黑体"/>
          <w:color w:val="auto"/>
          <w:lang w:val="en-US" w:eastAsia="zh-CN"/>
        </w:rPr>
        <w:t>5.总结评估</w:t>
      </w:r>
      <w:r>
        <w:rPr>
          <w:rFonts w:hint="eastAsia" w:ascii="黑体" w:hAnsi="黑体" w:eastAsia="黑体" w:cs="黑体"/>
          <w:color w:val="auto"/>
        </w:rPr>
        <w:fldChar w:fldCharType="end"/>
      </w:r>
    </w:p>
    <w:p w14:paraId="104B5398">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color w:val="auto"/>
        </w:rPr>
      </w:pP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_Toc14730 </w:instrText>
      </w:r>
      <w:r>
        <w:rPr>
          <w:rFonts w:hint="eastAsia" w:ascii="黑体" w:hAnsi="黑体" w:eastAsia="黑体" w:cs="黑体"/>
          <w:color w:val="auto"/>
        </w:rPr>
        <w:fldChar w:fldCharType="separate"/>
      </w:r>
      <w:r>
        <w:rPr>
          <w:rFonts w:hint="eastAsia" w:ascii="黑体" w:hAnsi="黑体" w:eastAsia="黑体" w:cs="黑体"/>
          <w:color w:val="auto"/>
          <w:lang w:val="en-US" w:eastAsia="zh-CN"/>
        </w:rPr>
        <w:t>6.检查监督</w:t>
      </w:r>
      <w:r>
        <w:rPr>
          <w:rFonts w:hint="eastAsia" w:ascii="黑体" w:hAnsi="黑体" w:eastAsia="黑体" w:cs="黑体"/>
          <w:color w:val="auto"/>
        </w:rPr>
        <w:fldChar w:fldCharType="end"/>
      </w:r>
    </w:p>
    <w:p w14:paraId="72BCA1EE">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_Toc11294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6.1事后检查</w:t>
      </w:r>
      <w:r>
        <w:rPr>
          <w:rFonts w:hint="eastAsia" w:ascii="方正仿宋_GBK" w:hAnsi="方正仿宋_GBK" w:eastAsia="方正仿宋_GBK" w:cs="方正仿宋_GBK"/>
          <w:color w:val="auto"/>
        </w:rPr>
        <w:fldChar w:fldCharType="end"/>
      </w:r>
    </w:p>
    <w:p w14:paraId="23AB831A">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_Toc4015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6.2社会监督</w:t>
      </w:r>
      <w:r>
        <w:rPr>
          <w:rFonts w:hint="eastAsia" w:ascii="方正仿宋_GBK" w:hAnsi="方正仿宋_GBK" w:eastAsia="方正仿宋_GBK" w:cs="方正仿宋_GBK"/>
          <w:color w:val="auto"/>
        </w:rPr>
        <w:fldChar w:fldCharType="end"/>
      </w:r>
    </w:p>
    <w:p w14:paraId="7F355F28">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color w:val="auto"/>
        </w:rPr>
      </w:pP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_Toc24709 </w:instrText>
      </w:r>
      <w:r>
        <w:rPr>
          <w:rFonts w:hint="eastAsia" w:ascii="黑体" w:hAnsi="黑体" w:eastAsia="黑体" w:cs="黑体"/>
          <w:color w:val="auto"/>
        </w:rPr>
        <w:fldChar w:fldCharType="separate"/>
      </w:r>
      <w:r>
        <w:rPr>
          <w:rFonts w:hint="eastAsia" w:ascii="黑体" w:hAnsi="黑体" w:eastAsia="黑体" w:cs="黑体"/>
          <w:color w:val="auto"/>
          <w:lang w:val="en-US" w:eastAsia="zh-CN"/>
        </w:rPr>
        <w:t>7.工作保障</w:t>
      </w:r>
      <w:r>
        <w:rPr>
          <w:rFonts w:hint="eastAsia" w:ascii="黑体" w:hAnsi="黑体" w:eastAsia="黑体" w:cs="黑体"/>
          <w:color w:val="auto"/>
        </w:rPr>
        <w:fldChar w:fldCharType="end"/>
      </w:r>
    </w:p>
    <w:p w14:paraId="186C677E">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_Toc13075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7.1</w:t>
      </w:r>
      <w:r>
        <w:rPr>
          <w:rFonts w:hint="eastAsia" w:ascii="方正仿宋_GBK" w:hAnsi="方正仿宋_GBK" w:eastAsia="方正仿宋_GBK" w:cs="方正仿宋_GBK"/>
          <w:color w:val="auto"/>
          <w:lang w:eastAsia="zh-CN"/>
        </w:rPr>
        <w:t>组织保障</w:t>
      </w:r>
      <w:r>
        <w:rPr>
          <w:rFonts w:hint="eastAsia" w:ascii="方正仿宋_GBK" w:hAnsi="方正仿宋_GBK" w:eastAsia="方正仿宋_GBK" w:cs="方正仿宋_GBK"/>
          <w:color w:val="auto"/>
        </w:rPr>
        <w:fldChar w:fldCharType="end"/>
      </w:r>
    </w:p>
    <w:p w14:paraId="4124677B">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_Toc1318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7.2人力资源保障</w:t>
      </w:r>
      <w:r>
        <w:rPr>
          <w:rFonts w:hint="eastAsia" w:ascii="方正仿宋_GBK" w:hAnsi="方正仿宋_GBK" w:eastAsia="方正仿宋_GBK" w:cs="方正仿宋_GBK"/>
          <w:color w:val="auto"/>
        </w:rPr>
        <w:fldChar w:fldCharType="end"/>
      </w:r>
    </w:p>
    <w:p w14:paraId="2FEA41E6">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_Toc9960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7.3资金和物资保障</w:t>
      </w:r>
      <w:r>
        <w:rPr>
          <w:rFonts w:hint="eastAsia" w:ascii="方正仿宋_GBK" w:hAnsi="方正仿宋_GBK" w:eastAsia="方正仿宋_GBK" w:cs="方正仿宋_GBK"/>
          <w:color w:val="auto"/>
        </w:rPr>
        <w:fldChar w:fldCharType="end"/>
      </w:r>
    </w:p>
    <w:p w14:paraId="1BDEAB63">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_Toc23066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7.4</w:t>
      </w:r>
      <w:r>
        <w:rPr>
          <w:rFonts w:hint="eastAsia" w:ascii="方正仿宋_GBK" w:hAnsi="方正仿宋_GBK" w:eastAsia="方正仿宋_GBK" w:cs="方正仿宋_GBK"/>
          <w:color w:val="auto"/>
          <w:lang w:eastAsia="zh-CN"/>
        </w:rPr>
        <w:t>监测预警能力保障</w:t>
      </w:r>
      <w:r>
        <w:rPr>
          <w:rFonts w:hint="eastAsia" w:ascii="方正仿宋_GBK" w:hAnsi="方正仿宋_GBK" w:eastAsia="方正仿宋_GBK" w:cs="方正仿宋_GBK"/>
          <w:color w:val="auto"/>
        </w:rPr>
        <w:fldChar w:fldCharType="end"/>
      </w:r>
    </w:p>
    <w:p w14:paraId="4465713D">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_Toc5581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7.5</w:t>
      </w:r>
      <w:r>
        <w:rPr>
          <w:rFonts w:hint="eastAsia" w:ascii="方正仿宋_GBK" w:hAnsi="方正仿宋_GBK" w:eastAsia="方正仿宋_GBK" w:cs="方正仿宋_GBK"/>
          <w:color w:val="auto"/>
          <w:lang w:eastAsia="zh-CN"/>
        </w:rPr>
        <w:t>通信保障</w:t>
      </w:r>
      <w:r>
        <w:rPr>
          <w:rFonts w:hint="eastAsia" w:ascii="方正仿宋_GBK" w:hAnsi="方正仿宋_GBK" w:eastAsia="方正仿宋_GBK" w:cs="方正仿宋_GBK"/>
          <w:color w:val="auto"/>
        </w:rPr>
        <w:fldChar w:fldCharType="end"/>
      </w:r>
    </w:p>
    <w:p w14:paraId="7FC847BF">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color w:val="auto"/>
        </w:rPr>
      </w:pP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_Toc21624 </w:instrText>
      </w:r>
      <w:r>
        <w:rPr>
          <w:rFonts w:hint="eastAsia" w:ascii="黑体" w:hAnsi="黑体" w:eastAsia="黑体" w:cs="黑体"/>
          <w:color w:val="auto"/>
        </w:rPr>
        <w:fldChar w:fldCharType="separate"/>
      </w:r>
      <w:r>
        <w:rPr>
          <w:rFonts w:hint="eastAsia" w:ascii="黑体" w:hAnsi="黑体" w:eastAsia="黑体" w:cs="黑体"/>
          <w:color w:val="auto"/>
          <w:lang w:val="en-US" w:eastAsia="zh-CN"/>
        </w:rPr>
        <w:t>8.责任与奖惩</w:t>
      </w:r>
      <w:r>
        <w:rPr>
          <w:rFonts w:hint="eastAsia" w:ascii="黑体" w:hAnsi="黑体" w:eastAsia="黑体" w:cs="黑体"/>
          <w:color w:val="auto"/>
        </w:rPr>
        <w:fldChar w:fldCharType="end"/>
      </w:r>
    </w:p>
    <w:p w14:paraId="65036A87">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黑体" w:hAnsi="黑体" w:eastAsia="黑体" w:cs="黑体"/>
          <w:color w:val="auto"/>
        </w:rPr>
      </w:pP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_Toc14368 </w:instrText>
      </w:r>
      <w:r>
        <w:rPr>
          <w:rFonts w:hint="eastAsia" w:ascii="黑体" w:hAnsi="黑体" w:eastAsia="黑体" w:cs="黑体"/>
          <w:color w:val="auto"/>
        </w:rPr>
        <w:fldChar w:fldCharType="separate"/>
      </w:r>
      <w:r>
        <w:rPr>
          <w:rFonts w:hint="eastAsia" w:ascii="黑体" w:hAnsi="黑体" w:eastAsia="黑体" w:cs="黑体"/>
          <w:color w:val="auto"/>
          <w:lang w:val="en-US" w:eastAsia="zh-CN"/>
        </w:rPr>
        <w:t>9.</w:t>
      </w:r>
      <w:r>
        <w:rPr>
          <w:rFonts w:hint="eastAsia" w:ascii="黑体" w:hAnsi="黑体" w:eastAsia="黑体" w:cs="黑体"/>
          <w:color w:val="auto"/>
          <w:lang w:eastAsia="zh-CN"/>
        </w:rPr>
        <w:t>预案管理</w:t>
      </w:r>
      <w:r>
        <w:rPr>
          <w:rFonts w:hint="eastAsia" w:ascii="黑体" w:hAnsi="黑体" w:eastAsia="黑体" w:cs="黑体"/>
          <w:color w:val="auto"/>
        </w:rPr>
        <w:fldChar w:fldCharType="end"/>
      </w:r>
    </w:p>
    <w:p w14:paraId="410CAC11">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_Toc31483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9.1</w:t>
      </w:r>
      <w:r>
        <w:rPr>
          <w:rFonts w:hint="eastAsia" w:ascii="方正仿宋_GBK" w:hAnsi="方正仿宋_GBK" w:eastAsia="方正仿宋_GBK" w:cs="方正仿宋_GBK"/>
          <w:color w:val="auto"/>
          <w:lang w:eastAsia="zh-CN"/>
        </w:rPr>
        <w:t>预案宣传</w:t>
      </w:r>
      <w:r>
        <w:rPr>
          <w:rFonts w:hint="eastAsia" w:ascii="方正仿宋_GBK" w:hAnsi="方正仿宋_GBK" w:eastAsia="方正仿宋_GBK" w:cs="方正仿宋_GBK"/>
          <w:color w:val="auto"/>
        </w:rPr>
        <w:fldChar w:fldCharType="end"/>
      </w:r>
    </w:p>
    <w:p w14:paraId="231B2774">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_Toc32612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9.2</w:t>
      </w:r>
      <w:r>
        <w:rPr>
          <w:rFonts w:hint="eastAsia" w:ascii="方正仿宋_GBK" w:hAnsi="方正仿宋_GBK" w:eastAsia="方正仿宋_GBK" w:cs="方正仿宋_GBK"/>
          <w:color w:val="auto"/>
          <w:lang w:eastAsia="zh-CN"/>
        </w:rPr>
        <w:t>预案培训与演练</w:t>
      </w:r>
      <w:r>
        <w:rPr>
          <w:rFonts w:hint="eastAsia" w:ascii="方正仿宋_GBK" w:hAnsi="方正仿宋_GBK" w:eastAsia="方正仿宋_GBK" w:cs="方正仿宋_GBK"/>
          <w:color w:val="auto"/>
        </w:rPr>
        <w:fldChar w:fldCharType="end"/>
      </w:r>
    </w:p>
    <w:p w14:paraId="0501DD28">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_Toc2034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9.3</w:t>
      </w:r>
      <w:r>
        <w:rPr>
          <w:rFonts w:hint="eastAsia" w:ascii="方正仿宋_GBK" w:hAnsi="方正仿宋_GBK" w:eastAsia="方正仿宋_GBK" w:cs="方正仿宋_GBK"/>
          <w:color w:val="auto"/>
          <w:lang w:eastAsia="zh-CN"/>
        </w:rPr>
        <w:t>预案修订</w:t>
      </w:r>
      <w:r>
        <w:rPr>
          <w:rFonts w:hint="eastAsia" w:ascii="方正仿宋_GBK" w:hAnsi="方正仿宋_GBK" w:eastAsia="方正仿宋_GBK" w:cs="方正仿宋_GBK"/>
          <w:color w:val="auto"/>
        </w:rPr>
        <w:fldChar w:fldCharType="end"/>
      </w:r>
    </w:p>
    <w:p w14:paraId="15BFCB63">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_Toc30425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9.4</w:t>
      </w:r>
      <w:r>
        <w:rPr>
          <w:rFonts w:hint="eastAsia" w:ascii="方正仿宋_GBK" w:hAnsi="方正仿宋_GBK" w:eastAsia="方正仿宋_GBK" w:cs="方正仿宋_GBK"/>
          <w:color w:val="auto"/>
          <w:lang w:eastAsia="zh-CN"/>
        </w:rPr>
        <w:t>预案备案</w:t>
      </w:r>
      <w:r>
        <w:rPr>
          <w:rFonts w:hint="eastAsia" w:ascii="方正仿宋_GBK" w:hAnsi="方正仿宋_GBK" w:eastAsia="方正仿宋_GBK" w:cs="方正仿宋_GBK"/>
          <w:color w:val="auto"/>
        </w:rPr>
        <w:fldChar w:fldCharType="end"/>
      </w:r>
    </w:p>
    <w:p w14:paraId="2BFA2AEF">
      <w:pPr>
        <w:pStyle w:val="18"/>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方正仿宋_GBK" w:hAnsi="方正仿宋_GBK" w:eastAsia="方正仿宋_GBK" w:cs="方正仿宋_GBK"/>
          <w:color w:val="auto"/>
        </w:rPr>
        <w:fldChar w:fldCharType="begin"/>
      </w:r>
      <w:r>
        <w:rPr>
          <w:rFonts w:hint="eastAsia" w:ascii="方正仿宋_GBK" w:hAnsi="方正仿宋_GBK" w:eastAsia="方正仿宋_GBK" w:cs="方正仿宋_GBK"/>
          <w:color w:val="auto"/>
        </w:rPr>
        <w:instrText xml:space="preserve"> HYPERLINK \l _Toc29340 </w:instrText>
      </w:r>
      <w:r>
        <w:rPr>
          <w:rFonts w:hint="eastAsia" w:ascii="方正仿宋_GBK" w:hAnsi="方正仿宋_GBK" w:eastAsia="方正仿宋_GBK" w:cs="方正仿宋_GBK"/>
          <w:color w:val="auto"/>
        </w:rPr>
        <w:fldChar w:fldCharType="separate"/>
      </w:r>
      <w:r>
        <w:rPr>
          <w:rFonts w:hint="eastAsia" w:ascii="方正仿宋_GBK" w:hAnsi="方正仿宋_GBK" w:eastAsia="方正仿宋_GBK" w:cs="方正仿宋_GBK"/>
          <w:bCs/>
          <w:color w:val="auto"/>
          <w:kern w:val="2"/>
          <w:szCs w:val="32"/>
          <w:lang w:val="en-US" w:eastAsia="zh-CN" w:bidi="ar-SA"/>
        </w:rPr>
        <w:t>9.5预案实施</w:t>
      </w:r>
      <w:r>
        <w:rPr>
          <w:rFonts w:hint="eastAsia" w:ascii="方正仿宋_GBK" w:hAnsi="方正仿宋_GBK" w:eastAsia="方正仿宋_GBK" w:cs="方正仿宋_GBK"/>
          <w:color w:val="auto"/>
        </w:rPr>
        <w:fldChar w:fldCharType="end"/>
      </w:r>
    </w:p>
    <w:p w14:paraId="0F8E6E91">
      <w:pPr>
        <w:pStyle w:val="17"/>
        <w:keepNext w:val="0"/>
        <w:keepLines w:val="0"/>
        <w:pageBreakBefore w:val="0"/>
        <w:widowControl w:val="0"/>
        <w:tabs>
          <w:tab w:val="right" w:leader="dot" w:pos="8306"/>
        </w:tabs>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rPr>
      </w:pPr>
      <w:r>
        <w:rPr>
          <w:rFonts w:hint="eastAsia" w:ascii="黑体" w:hAnsi="黑体" w:eastAsia="黑体" w:cs="黑体"/>
          <w:color w:val="auto"/>
        </w:rPr>
        <w:fldChar w:fldCharType="begin"/>
      </w:r>
      <w:r>
        <w:rPr>
          <w:rFonts w:hint="eastAsia" w:ascii="黑体" w:hAnsi="黑体" w:eastAsia="黑体" w:cs="黑体"/>
          <w:color w:val="auto"/>
        </w:rPr>
        <w:instrText xml:space="preserve"> HYPERLINK \l _Toc16222 </w:instrText>
      </w:r>
      <w:r>
        <w:rPr>
          <w:rFonts w:hint="eastAsia" w:ascii="黑体" w:hAnsi="黑体" w:eastAsia="黑体" w:cs="黑体"/>
          <w:color w:val="auto"/>
        </w:rPr>
        <w:fldChar w:fldCharType="separate"/>
      </w:r>
      <w:r>
        <w:rPr>
          <w:rFonts w:hint="eastAsia" w:ascii="黑体" w:hAnsi="黑体" w:eastAsia="黑体" w:cs="黑体"/>
          <w:color w:val="auto"/>
          <w:lang w:val="en-US" w:eastAsia="zh-CN"/>
        </w:rPr>
        <w:t>10.附则</w:t>
      </w:r>
      <w:r>
        <w:rPr>
          <w:rFonts w:hint="eastAsia" w:ascii="黑体" w:hAnsi="黑体" w:eastAsia="黑体" w:cs="黑体"/>
          <w:color w:val="auto"/>
        </w:rPr>
        <w:fldChar w:fldCharType="end"/>
      </w:r>
    </w:p>
    <w:p w14:paraId="00192F3E">
      <w:pPr>
        <w:keepNext w:val="0"/>
        <w:keepLines w:val="0"/>
        <w:pageBreakBefore w:val="0"/>
        <w:widowControl w:val="0"/>
        <w:kinsoku/>
        <w:wordWrap/>
        <w:overflowPunct/>
        <w:topLinePunct w:val="0"/>
        <w:autoSpaceDE/>
        <w:autoSpaceDN/>
        <w:bidi w:val="0"/>
        <w:adjustRightInd/>
        <w:snapToGrid/>
        <w:spacing w:before="0" w:after="0" w:line="600" w:lineRule="exact"/>
        <w:ind w:left="0" w:leftChars="0" w:right="0" w:rightChars="0" w:firstLine="640" w:firstLineChars="200"/>
        <w:jc w:val="center"/>
        <w:textAlignment w:val="auto"/>
        <w:rPr>
          <w:rFonts w:ascii="宋体" w:hAnsi="宋体" w:eastAsia="宋体"/>
          <w:color w:val="auto"/>
          <w:sz w:val="21"/>
        </w:rPr>
        <w:sectPr>
          <w:headerReference r:id="rId11" w:type="default"/>
          <w:footerReference r:id="rId12" w:type="default"/>
          <w:pgSz w:w="11906" w:h="16838"/>
          <w:pgMar w:top="1984" w:right="1531" w:bottom="1587"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方正仿宋_GBK" w:hAnsi="方正仿宋_GBK" w:eastAsia="方正仿宋_GBK" w:cs="方正仿宋_GBK"/>
          <w:color w:val="auto"/>
        </w:rPr>
        <w:fldChar w:fldCharType="end"/>
      </w:r>
    </w:p>
    <w:p w14:paraId="6F333A42">
      <w:pPr>
        <w:pStyle w:val="3"/>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2" w:name="_Toc12069"/>
      <w:bookmarkStart w:id="3" w:name="_Toc18206"/>
      <w:bookmarkStart w:id="4" w:name="_Toc14954"/>
      <w:bookmarkStart w:id="5" w:name="_Toc10364"/>
      <w:bookmarkStart w:id="6" w:name="_Toc17775"/>
      <w:bookmarkStart w:id="7" w:name="_Toc13461"/>
      <w:bookmarkStart w:id="8" w:name="_Toc18629"/>
      <w:bookmarkStart w:id="9" w:name="_Toc30846"/>
      <w:bookmarkStart w:id="10" w:name="_Toc20828"/>
      <w:r>
        <w:rPr>
          <w:rFonts w:hint="default" w:ascii="Times New Roman" w:hAnsi="Times New Roman" w:eastAsia="仿宋" w:cs="Times New Roman"/>
          <w:b/>
          <w:bCs/>
          <w:color w:val="auto"/>
          <w:kern w:val="44"/>
          <w:sz w:val="32"/>
          <w:szCs w:val="44"/>
          <w:lang w:val="en-US" w:eastAsia="zh-CN" w:bidi="ar-SA"/>
        </w:rPr>
        <w:t>1.</w:t>
      </w:r>
      <w:r>
        <w:rPr>
          <w:rFonts w:hint="eastAsia" w:ascii="方正仿宋_GBK" w:hAnsi="方正仿宋_GBK" w:eastAsia="方正仿宋_GBK" w:cs="方正仿宋_GBK"/>
          <w:color w:val="auto"/>
          <w:lang w:eastAsia="zh-CN"/>
        </w:rPr>
        <w:t>总则</w:t>
      </w:r>
      <w:bookmarkEnd w:id="2"/>
      <w:bookmarkEnd w:id="3"/>
      <w:bookmarkEnd w:id="4"/>
      <w:bookmarkEnd w:id="5"/>
      <w:bookmarkEnd w:id="6"/>
      <w:bookmarkEnd w:id="7"/>
      <w:bookmarkEnd w:id="8"/>
      <w:bookmarkEnd w:id="9"/>
      <w:bookmarkEnd w:id="10"/>
    </w:p>
    <w:p w14:paraId="7E585AC9">
      <w:pPr>
        <w:pStyle w:val="4"/>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1" w:name="_Toc10437"/>
      <w:bookmarkStart w:id="12" w:name="_Toc26504"/>
      <w:bookmarkStart w:id="13" w:name="_Toc2140"/>
      <w:bookmarkStart w:id="14" w:name="_Toc27913"/>
      <w:bookmarkStart w:id="15" w:name="_Toc8124"/>
      <w:bookmarkStart w:id="16" w:name="_Toc9412"/>
      <w:bookmarkStart w:id="17" w:name="_Toc10509"/>
      <w:bookmarkStart w:id="18" w:name="_Toc15164"/>
      <w:bookmarkStart w:id="19" w:name="_Toc18327"/>
      <w:r>
        <w:rPr>
          <w:rFonts w:hint="eastAsia" w:ascii="方正仿宋_GBK" w:hAnsi="方正仿宋_GBK" w:eastAsia="方正仿宋_GBK" w:cs="方正仿宋_GBK"/>
          <w:b/>
          <w:bCs/>
          <w:color w:val="auto"/>
          <w:kern w:val="2"/>
          <w:sz w:val="32"/>
          <w:szCs w:val="32"/>
          <w:lang w:val="en-US" w:eastAsia="zh-CN" w:bidi="ar-SA"/>
        </w:rPr>
        <w:t>1.1</w:t>
      </w:r>
      <w:r>
        <w:rPr>
          <w:rFonts w:hint="eastAsia" w:ascii="方正仿宋_GBK" w:hAnsi="方正仿宋_GBK" w:eastAsia="方正仿宋_GBK" w:cs="方正仿宋_GBK"/>
          <w:color w:val="auto"/>
          <w:lang w:eastAsia="zh-CN"/>
        </w:rPr>
        <w:t>编制目的</w:t>
      </w:r>
      <w:bookmarkEnd w:id="11"/>
      <w:bookmarkEnd w:id="12"/>
      <w:bookmarkEnd w:id="13"/>
      <w:bookmarkEnd w:id="14"/>
      <w:bookmarkEnd w:id="15"/>
      <w:bookmarkEnd w:id="16"/>
      <w:bookmarkEnd w:id="17"/>
      <w:bookmarkEnd w:id="18"/>
      <w:bookmarkEnd w:id="19"/>
    </w:p>
    <w:p w14:paraId="06740A4B">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建立健全湘乡市重污染天气环境应急响应机制，落实《湖南省大气污染防治“守护蓝天”攻坚行动计划（2023-2025年）》，统筹全市重污染天气应急响应工作，提高预防、预警、应对能力，及时有效应对重污染天气，不断提高环境管理精细化水平，保障人民群众身体健康，满足人民日益增长的优美生态环境需要，制定本预案。</w:t>
      </w:r>
    </w:p>
    <w:p w14:paraId="4F27C82B">
      <w:pPr>
        <w:pStyle w:val="4"/>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20" w:name="_Toc20461"/>
      <w:bookmarkStart w:id="21" w:name="_Toc32243"/>
      <w:bookmarkStart w:id="22" w:name="_Toc17322"/>
      <w:bookmarkStart w:id="23" w:name="_Toc826"/>
      <w:bookmarkStart w:id="24" w:name="_Toc607"/>
      <w:bookmarkStart w:id="25" w:name="_Toc25556"/>
      <w:bookmarkStart w:id="26" w:name="_Toc8424"/>
      <w:bookmarkStart w:id="27" w:name="_Toc25065"/>
      <w:bookmarkStart w:id="28" w:name="_Toc10177"/>
      <w:r>
        <w:rPr>
          <w:rFonts w:hint="eastAsia" w:ascii="方正仿宋_GBK" w:hAnsi="方正仿宋_GBK" w:eastAsia="方正仿宋_GBK" w:cs="方正仿宋_GBK"/>
          <w:b/>
          <w:bCs/>
          <w:color w:val="auto"/>
          <w:kern w:val="2"/>
          <w:sz w:val="32"/>
          <w:szCs w:val="32"/>
          <w:lang w:val="en-US" w:eastAsia="zh-CN" w:bidi="ar-SA"/>
        </w:rPr>
        <w:t>1.2</w:t>
      </w:r>
      <w:r>
        <w:rPr>
          <w:rFonts w:hint="eastAsia" w:ascii="方正仿宋_GBK" w:hAnsi="方正仿宋_GBK" w:eastAsia="方正仿宋_GBK" w:cs="方正仿宋_GBK"/>
          <w:color w:val="auto"/>
          <w:lang w:eastAsia="zh-CN"/>
        </w:rPr>
        <w:t>编制依据</w:t>
      </w:r>
      <w:bookmarkEnd w:id="20"/>
      <w:bookmarkEnd w:id="21"/>
      <w:bookmarkEnd w:id="22"/>
      <w:bookmarkEnd w:id="23"/>
      <w:bookmarkEnd w:id="24"/>
      <w:bookmarkEnd w:id="25"/>
      <w:bookmarkEnd w:id="26"/>
      <w:bookmarkEnd w:id="27"/>
      <w:bookmarkEnd w:id="28"/>
    </w:p>
    <w:p w14:paraId="5F25BD58">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方正仿宋_GBK" w:hAnsi="方正仿宋_GBK" w:eastAsia="方正仿宋_GBK" w:cs="方正仿宋_GBK"/>
          <w:color w:val="auto"/>
          <w:highlight w:val="none"/>
          <w:u w:val="none"/>
          <w:lang w:eastAsia="zh-CN"/>
        </w:rPr>
      </w:pPr>
      <w:r>
        <w:rPr>
          <w:rFonts w:hint="eastAsia" w:ascii="方正仿宋_GBK" w:hAnsi="方正仿宋_GBK" w:eastAsia="方正仿宋_GBK" w:cs="方正仿宋_GBK"/>
          <w:color w:val="auto"/>
          <w:highlight w:val="none"/>
          <w:u w:val="none"/>
          <w:lang w:eastAsia="zh-CN"/>
        </w:rPr>
        <w:t>《中华人民共和国突发事件应对法》《中华人民共和国环境保护法》《中华人民共和国大气污染防治法》《城市大气重污染应急预案编制指南》《重污染天气重点企业行业应急减排措施制定技术指南（2020年修订版）》《湖南省环境保护条例》《湖南省大气污染防治条例》</w:t>
      </w:r>
      <w:r>
        <w:rPr>
          <w:rFonts w:hint="eastAsia" w:ascii="方正仿宋_GBK" w:hAnsi="方正仿宋_GBK" w:eastAsia="方正仿宋_GBK" w:cs="方正仿宋_GBK"/>
          <w:color w:val="auto"/>
          <w:sz w:val="32"/>
          <w:szCs w:val="32"/>
          <w:highlight w:val="none"/>
        </w:rPr>
        <w:t>《湖南省重污染天气应急预案》</w:t>
      </w:r>
      <w:r>
        <w:rPr>
          <w:rFonts w:hint="eastAsia" w:ascii="方正仿宋_GBK" w:hAnsi="方正仿宋_GBK" w:eastAsia="方正仿宋_GBK" w:cs="方正仿宋_GBK"/>
          <w:color w:val="auto"/>
          <w:sz w:val="32"/>
          <w:szCs w:val="32"/>
          <w:highlight w:val="none"/>
          <w:shd w:val="clear" w:color="auto" w:fill="FFFFFF"/>
        </w:rPr>
        <w:t>（湘政办发〔2023〕53号）</w:t>
      </w:r>
      <w:r>
        <w:rPr>
          <w:rFonts w:hint="eastAsia" w:ascii="方正仿宋_GBK" w:hAnsi="方正仿宋_GBK" w:eastAsia="方正仿宋_GBK" w:cs="方正仿宋_GBK"/>
          <w:color w:val="auto"/>
          <w:sz w:val="32"/>
          <w:szCs w:val="32"/>
          <w:highlight w:val="none"/>
          <w:shd w:val="clear" w:color="auto" w:fill="FFFFFF"/>
          <w:lang w:eastAsia="zh-CN"/>
        </w:rPr>
        <w:t>、</w:t>
      </w:r>
      <w:r>
        <w:rPr>
          <w:rFonts w:hint="eastAsia" w:ascii="方正仿宋_GBK" w:hAnsi="方正仿宋_GBK" w:eastAsia="方正仿宋_GBK" w:cs="方正仿宋_GBK"/>
          <w:color w:val="auto"/>
          <w:sz w:val="32"/>
          <w:szCs w:val="32"/>
          <w:highlight w:val="none"/>
          <w:shd w:val="clear" w:color="auto" w:fill="FFFFFF"/>
        </w:rPr>
        <w:t>《湖南省大气污染防治“守护蓝天”攻坚行动计划（2023-2025年）》</w:t>
      </w:r>
      <w:r>
        <w:rPr>
          <w:rFonts w:hint="eastAsia" w:ascii="方正仿宋_GBK" w:hAnsi="方正仿宋_GBK" w:eastAsia="方正仿宋_GBK" w:cs="方正仿宋_GBK"/>
          <w:color w:val="auto"/>
          <w:sz w:val="32"/>
          <w:szCs w:val="32"/>
          <w:highlight w:val="none"/>
          <w:shd w:val="clear" w:color="auto" w:fill="FFFFFF"/>
          <w:lang w:eastAsia="zh-CN"/>
        </w:rPr>
        <w:t>《湘潭市突发事件总体应急预案》（潭政发〔2022〕2号）、《湘潭市突发环境事件应急预案》（潭政发〔2019〕6号）、《湘潭市重污染天气应急预案》（</w:t>
      </w:r>
      <w:r>
        <w:rPr>
          <w:rFonts w:hint="eastAsia" w:ascii="方正仿宋_GBK" w:hAnsi="方正仿宋_GBK" w:eastAsia="方正仿宋_GBK" w:cs="方正仿宋_GBK"/>
          <w:color w:val="auto"/>
          <w:sz w:val="32"/>
          <w:szCs w:val="32"/>
          <w:highlight w:val="none"/>
          <w:shd w:val="clear" w:color="auto" w:fill="FFFFFF"/>
          <w:lang w:val="en-US" w:eastAsia="zh-CN"/>
        </w:rPr>
        <w:t>潭政办发</w:t>
      </w:r>
      <w:r>
        <w:rPr>
          <w:rFonts w:hint="eastAsia" w:ascii="方正仿宋_GBK" w:hAnsi="方正仿宋_GBK" w:eastAsia="方正仿宋_GBK" w:cs="方正仿宋_GBK"/>
          <w:color w:val="auto"/>
          <w:sz w:val="32"/>
          <w:szCs w:val="32"/>
          <w:highlight w:val="none"/>
          <w:shd w:val="clear" w:color="auto" w:fill="FFFFFF"/>
          <w:lang w:eastAsia="zh-CN"/>
        </w:rPr>
        <w:t>〔202</w:t>
      </w:r>
      <w:r>
        <w:rPr>
          <w:rFonts w:hint="eastAsia" w:ascii="方正仿宋_GBK" w:hAnsi="方正仿宋_GBK" w:eastAsia="方正仿宋_GBK" w:cs="方正仿宋_GBK"/>
          <w:color w:val="auto"/>
          <w:sz w:val="32"/>
          <w:szCs w:val="32"/>
          <w:highlight w:val="none"/>
          <w:shd w:val="clear" w:color="auto" w:fill="FFFFFF"/>
          <w:lang w:val="en-US" w:eastAsia="zh-CN"/>
        </w:rPr>
        <w:t>2</w:t>
      </w:r>
      <w:r>
        <w:rPr>
          <w:rFonts w:hint="eastAsia" w:ascii="方正仿宋_GBK" w:hAnsi="方正仿宋_GBK" w:eastAsia="方正仿宋_GBK" w:cs="方正仿宋_GBK"/>
          <w:color w:val="auto"/>
          <w:sz w:val="32"/>
          <w:szCs w:val="32"/>
          <w:highlight w:val="none"/>
          <w:shd w:val="clear" w:color="auto" w:fill="FFFFFF"/>
          <w:lang w:eastAsia="zh-CN"/>
        </w:rPr>
        <w:t>〕</w:t>
      </w:r>
      <w:r>
        <w:rPr>
          <w:rFonts w:hint="eastAsia" w:ascii="方正仿宋_GBK" w:hAnsi="方正仿宋_GBK" w:eastAsia="方正仿宋_GBK" w:cs="方正仿宋_GBK"/>
          <w:color w:val="auto"/>
          <w:sz w:val="32"/>
          <w:szCs w:val="32"/>
          <w:highlight w:val="none"/>
          <w:shd w:val="clear" w:color="auto" w:fill="FFFFFF"/>
          <w:lang w:val="en-US" w:eastAsia="zh-CN"/>
        </w:rPr>
        <w:t>44号）、</w:t>
      </w:r>
      <w:r>
        <w:rPr>
          <w:rFonts w:hint="eastAsia" w:ascii="方正仿宋_GBK" w:hAnsi="方正仿宋_GBK" w:eastAsia="方正仿宋_GBK" w:cs="方正仿宋_GBK"/>
          <w:color w:val="auto"/>
          <w:sz w:val="32"/>
          <w:szCs w:val="32"/>
          <w:highlight w:val="none"/>
          <w:shd w:val="clear" w:color="auto" w:fill="FFFFFF"/>
          <w:lang w:eastAsia="zh-CN"/>
        </w:rPr>
        <w:t>《湘乡市突发事件总体应急预案》（湘乡政发〔2023〕9号）</w:t>
      </w:r>
      <w:r>
        <w:rPr>
          <w:rFonts w:hint="eastAsia" w:ascii="方正仿宋_GBK" w:hAnsi="方正仿宋_GBK" w:eastAsia="方正仿宋_GBK" w:cs="方正仿宋_GBK"/>
          <w:color w:val="auto"/>
          <w:highlight w:val="none"/>
          <w:u w:val="none"/>
          <w:lang w:eastAsia="zh-CN"/>
        </w:rPr>
        <w:t>等相关法律法规和有关规定。</w:t>
      </w:r>
    </w:p>
    <w:p w14:paraId="31DEF11A">
      <w:pPr>
        <w:pStyle w:val="4"/>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29" w:name="_Toc12314"/>
      <w:bookmarkStart w:id="30" w:name="_Toc4266"/>
      <w:bookmarkStart w:id="31" w:name="_Toc8233"/>
      <w:bookmarkStart w:id="32" w:name="_Toc6415"/>
      <w:bookmarkStart w:id="33" w:name="_Toc14338"/>
      <w:bookmarkStart w:id="34" w:name="_Toc23701"/>
      <w:bookmarkStart w:id="35" w:name="_Toc30953"/>
      <w:bookmarkStart w:id="36" w:name="_Toc8113"/>
      <w:bookmarkStart w:id="37" w:name="_Toc28484"/>
      <w:r>
        <w:rPr>
          <w:rFonts w:hint="eastAsia" w:ascii="方正仿宋_GBK" w:hAnsi="方正仿宋_GBK" w:eastAsia="方正仿宋_GBK" w:cs="方正仿宋_GBK"/>
          <w:b/>
          <w:bCs/>
          <w:color w:val="auto"/>
          <w:kern w:val="2"/>
          <w:sz w:val="32"/>
          <w:szCs w:val="32"/>
          <w:lang w:val="en-US" w:eastAsia="zh-CN" w:bidi="ar-SA"/>
        </w:rPr>
        <w:t>1.3</w:t>
      </w:r>
      <w:r>
        <w:rPr>
          <w:rFonts w:hint="eastAsia" w:ascii="方正仿宋_GBK" w:hAnsi="方正仿宋_GBK" w:eastAsia="方正仿宋_GBK" w:cs="方正仿宋_GBK"/>
          <w:color w:val="auto"/>
          <w:lang w:eastAsia="zh-CN"/>
        </w:rPr>
        <w:t>适用范围</w:t>
      </w:r>
      <w:bookmarkEnd w:id="29"/>
      <w:bookmarkEnd w:id="30"/>
      <w:bookmarkEnd w:id="31"/>
      <w:bookmarkEnd w:id="32"/>
      <w:bookmarkEnd w:id="33"/>
      <w:bookmarkEnd w:id="34"/>
      <w:bookmarkEnd w:id="35"/>
      <w:bookmarkEnd w:id="36"/>
      <w:bookmarkEnd w:id="37"/>
    </w:p>
    <w:p w14:paraId="24A39189">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本预案适用于湘乡市行政区域内发生的重污染天气的防范</w:t>
      </w:r>
      <w:r>
        <w:rPr>
          <w:rFonts w:hint="eastAsia" w:ascii="方正仿宋_GBK" w:hAnsi="方正仿宋_GBK" w:eastAsia="方正仿宋_GBK" w:cs="方正仿宋_GBK"/>
          <w:color w:val="auto"/>
          <w:spacing w:val="-6"/>
          <w:sz w:val="32"/>
          <w:lang w:eastAsia="zh-CN"/>
        </w:rPr>
        <w:t>与应对工作。国、省出台相应标准严于本文件的，执行上级标准。</w:t>
      </w:r>
    </w:p>
    <w:p w14:paraId="0F076409">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本预案所称重污染天气，是指根据《环境空气质量指数（AQI）技术规定（试行）》（HJ</w:t>
      </w:r>
      <w:r>
        <w:rPr>
          <w:rFonts w:hint="eastAsia" w:ascii="方正仿宋_GBK" w:hAnsi="方正仿宋_GBK" w:eastAsia="方正仿宋_GBK" w:cs="方正仿宋_GBK"/>
          <w:color w:val="auto"/>
          <w:lang w:val="en-US" w:eastAsia="zh-CN"/>
        </w:rPr>
        <w:t xml:space="preserve"> </w:t>
      </w:r>
      <w:r>
        <w:rPr>
          <w:rFonts w:hint="eastAsia" w:ascii="方正仿宋_GBK" w:hAnsi="方正仿宋_GBK" w:eastAsia="方正仿宋_GBK" w:cs="方正仿宋_GBK"/>
          <w:color w:val="auto"/>
          <w:lang w:eastAsia="zh-CN"/>
        </w:rPr>
        <w:t>633-2012），环境空气质量指数（AQI）大于20</w:t>
      </w:r>
      <w:r>
        <w:rPr>
          <w:rFonts w:hint="eastAsia" w:ascii="方正仿宋_GBK" w:hAnsi="方正仿宋_GBK" w:eastAsia="方正仿宋_GBK" w:cs="方正仿宋_GBK"/>
          <w:color w:val="auto"/>
          <w:lang w:val="en-US" w:eastAsia="zh-CN"/>
        </w:rPr>
        <w:t>0</w:t>
      </w:r>
      <w:r>
        <w:rPr>
          <w:rFonts w:hint="eastAsia" w:ascii="方正仿宋_GBK" w:hAnsi="方正仿宋_GBK" w:eastAsia="方正仿宋_GBK" w:cs="方正仿宋_GBK"/>
          <w:color w:val="auto"/>
          <w:lang w:eastAsia="zh-CN"/>
        </w:rPr>
        <w:t>，即空气质量达到5级（重度污染）及以上污染程度的大气污染。因沙尘造成的重污染天气，参照沙尘天气相关要求执行，不纳入应急预案范畴。</w:t>
      </w:r>
    </w:p>
    <w:p w14:paraId="5F11C6B8">
      <w:pPr>
        <w:pStyle w:val="4"/>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38" w:name="_Toc25594"/>
      <w:r>
        <w:rPr>
          <w:rFonts w:hint="eastAsia" w:ascii="方正仿宋_GBK" w:hAnsi="方正仿宋_GBK" w:eastAsia="方正仿宋_GBK" w:cs="方正仿宋_GBK"/>
          <w:b/>
          <w:bCs/>
          <w:color w:val="auto"/>
          <w:kern w:val="2"/>
          <w:sz w:val="32"/>
          <w:szCs w:val="32"/>
          <w:lang w:val="en-US" w:eastAsia="zh-CN" w:bidi="ar-SA"/>
        </w:rPr>
        <w:t>1.4</w:t>
      </w:r>
      <w:r>
        <w:rPr>
          <w:rFonts w:hint="eastAsia" w:ascii="方正仿宋_GBK" w:hAnsi="方正仿宋_GBK" w:eastAsia="方正仿宋_GBK" w:cs="方正仿宋_GBK"/>
          <w:color w:val="auto"/>
          <w:lang w:eastAsia="zh-CN"/>
        </w:rPr>
        <w:t>工作原则</w:t>
      </w:r>
      <w:bookmarkEnd w:id="38"/>
    </w:p>
    <w:p w14:paraId="10557436">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firstLine="643"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b/>
          <w:bCs/>
          <w:color w:val="auto"/>
          <w:lang w:eastAsia="zh-CN"/>
        </w:rPr>
        <w:t>以人为本，预防为主。</w:t>
      </w:r>
      <w:r>
        <w:rPr>
          <w:rFonts w:hint="eastAsia" w:ascii="方正仿宋_GBK" w:hAnsi="方正仿宋_GBK" w:eastAsia="方正仿宋_GBK" w:cs="方正仿宋_GBK"/>
          <w:color w:val="auto"/>
          <w:sz w:val="32"/>
          <w:szCs w:val="32"/>
          <w:highlight w:val="none"/>
        </w:rPr>
        <w:t>坚持以人为本，把</w:t>
      </w:r>
      <w:r>
        <w:rPr>
          <w:rFonts w:hint="eastAsia" w:ascii="方正仿宋_GBK" w:hAnsi="方正仿宋_GBK" w:eastAsia="方正仿宋_GBK" w:cs="方正仿宋_GBK"/>
          <w:color w:val="auto"/>
          <w:lang w:eastAsia="zh-CN"/>
        </w:rPr>
        <w:t>保障公众身体健康作为重污染天气应急工作的出发点和落脚点，</w:t>
      </w:r>
      <w:r>
        <w:rPr>
          <w:rFonts w:hint="eastAsia" w:ascii="方正仿宋_GBK" w:hAnsi="方正仿宋_GBK" w:eastAsia="方正仿宋_GBK" w:cs="方正仿宋_GBK"/>
          <w:color w:val="auto"/>
          <w:sz w:val="32"/>
          <w:szCs w:val="32"/>
          <w:highlight w:val="none"/>
        </w:rPr>
        <w:t>加强各类大气污染排放源日常监测与管理，切实预防重污染天气的发生，最大程度降低重污染天气造成的危害。</w:t>
      </w:r>
    </w:p>
    <w:p w14:paraId="233E3437">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b/>
          <w:snapToGrid w:val="0"/>
          <w:color w:val="auto"/>
          <w:kern w:val="21"/>
          <w:sz w:val="32"/>
          <w:szCs w:val="32"/>
          <w:highlight w:val="none"/>
        </w:rPr>
        <w:t>科学预警，分级管控。</w:t>
      </w:r>
      <w:r>
        <w:rPr>
          <w:rFonts w:hint="eastAsia" w:ascii="方正仿宋_GBK" w:hAnsi="方正仿宋_GBK" w:eastAsia="方正仿宋_GBK" w:cs="方正仿宋_GBK"/>
          <w:snapToGrid w:val="0"/>
          <w:color w:val="auto"/>
          <w:kern w:val="21"/>
          <w:sz w:val="32"/>
          <w:szCs w:val="32"/>
          <w:highlight w:val="none"/>
        </w:rPr>
        <w:t>完善空气质量监测监控体系，加强分析研判，实行定期会商，科学预警。积极实施差异化管控措施，动态更新重污染天气应急减排清单，根据不同预警等级，采取相应级别的应急响应措施，有效降低污染影响程度。</w:t>
      </w:r>
    </w:p>
    <w:p w14:paraId="51FAB35A">
      <w:pPr>
        <w:keepNext w:val="0"/>
        <w:keepLines w:val="0"/>
        <w:pageBreakBefore w:val="0"/>
        <w:widowControl w:val="0"/>
        <w:kinsoku/>
        <w:wordWrap/>
        <w:overflowPunct/>
        <w:topLinePunct w:val="0"/>
        <w:autoSpaceDE/>
        <w:autoSpaceDN/>
        <w:bidi w:val="0"/>
        <w:adjustRightInd/>
        <w:snapToGrid/>
        <w:spacing w:line="570" w:lineRule="exact"/>
        <w:ind w:left="0" w:firstLine="643"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b/>
          <w:bCs/>
          <w:color w:val="auto"/>
          <w:lang w:eastAsia="zh-CN"/>
        </w:rPr>
        <w:t>统一领导，属地管理。</w:t>
      </w:r>
      <w:r>
        <w:rPr>
          <w:rFonts w:hint="eastAsia" w:ascii="方正仿宋_GBK" w:hAnsi="方正仿宋_GBK" w:eastAsia="方正仿宋_GBK" w:cs="方正仿宋_GBK"/>
          <w:color w:val="auto"/>
          <w:sz w:val="32"/>
          <w:szCs w:val="32"/>
          <w:highlight w:val="none"/>
        </w:rPr>
        <w:t>市重污染天气应急指挥部统筹实施全市重污染天气应对工作，经开区管委会、乡镇人民政府、</w:t>
      </w:r>
      <w:r>
        <w:rPr>
          <w:rFonts w:hint="eastAsia" w:ascii="方正仿宋_GBK" w:hAnsi="方正仿宋_GBK" w:eastAsia="方正仿宋_GBK" w:cs="方正仿宋_GBK"/>
          <w:color w:val="auto"/>
          <w:sz w:val="32"/>
          <w:szCs w:val="32"/>
          <w:highlight w:val="none"/>
          <w:lang w:eastAsia="zh-CN"/>
        </w:rPr>
        <w:t>街道办事处</w:t>
      </w:r>
      <w:r>
        <w:rPr>
          <w:rFonts w:hint="eastAsia" w:ascii="方正仿宋_GBK" w:hAnsi="方正仿宋_GBK" w:eastAsia="方正仿宋_GBK" w:cs="方正仿宋_GBK"/>
          <w:color w:val="auto"/>
          <w:sz w:val="32"/>
          <w:szCs w:val="32"/>
          <w:highlight w:val="none"/>
        </w:rPr>
        <w:t>负责本辖区重污染天气应对工作，市有关单位各司其职、密切配合。</w:t>
      </w:r>
    </w:p>
    <w:p w14:paraId="27DC7520">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b/>
          <w:bCs/>
          <w:color w:val="auto"/>
          <w:lang w:eastAsia="zh-CN"/>
        </w:rPr>
        <w:t>部门联动，社会参与</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sz w:val="32"/>
          <w:szCs w:val="32"/>
          <w:highlight w:val="none"/>
        </w:rPr>
        <w:t>加强各相关单位协调联动，</w:t>
      </w:r>
      <w:r>
        <w:rPr>
          <w:rFonts w:hint="eastAsia" w:ascii="方正仿宋_GBK" w:hAnsi="方正仿宋_GBK" w:eastAsia="方正仿宋_GBK" w:cs="方正仿宋_GBK"/>
          <w:snapToGrid w:val="0"/>
          <w:color w:val="auto"/>
          <w:kern w:val="21"/>
          <w:sz w:val="32"/>
          <w:szCs w:val="32"/>
          <w:highlight w:val="none"/>
        </w:rPr>
        <w:t>建立健全信息共享机制，协同做好重污染天气应对工作。完善信息公开制度，及时准确发布空气质量监测和预警相关信息，</w:t>
      </w:r>
      <w:r>
        <w:rPr>
          <w:rFonts w:hint="eastAsia" w:ascii="方正仿宋_GBK" w:hAnsi="方正仿宋_GBK" w:eastAsia="方正仿宋_GBK" w:cs="方正仿宋_GBK"/>
          <w:color w:val="auto"/>
          <w:lang w:eastAsia="zh-CN"/>
        </w:rPr>
        <w:t>加强对重污染天气应急防护知识的</w:t>
      </w:r>
      <w:r>
        <w:rPr>
          <w:rFonts w:hint="eastAsia" w:ascii="方正仿宋_GBK" w:hAnsi="方正仿宋_GBK" w:eastAsia="方正仿宋_GBK" w:cs="方正仿宋_GBK"/>
          <w:snapToGrid w:val="0"/>
          <w:color w:val="auto"/>
          <w:kern w:val="21"/>
          <w:sz w:val="32"/>
          <w:szCs w:val="32"/>
          <w:highlight w:val="none"/>
        </w:rPr>
        <w:t>宣传引导</w:t>
      </w: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snapToGrid w:val="0"/>
          <w:color w:val="auto"/>
          <w:kern w:val="21"/>
          <w:sz w:val="32"/>
          <w:szCs w:val="32"/>
          <w:highlight w:val="none"/>
        </w:rPr>
        <w:t>提高公众自我防护意识、参与意识，共同改善环境空气质量。</w:t>
      </w:r>
    </w:p>
    <w:p w14:paraId="22A61F33">
      <w:pPr>
        <w:pStyle w:val="4"/>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39" w:name="_Toc30490"/>
      <w:bookmarkStart w:id="40" w:name="_Toc19709"/>
      <w:bookmarkStart w:id="41" w:name="_Toc14045"/>
      <w:r>
        <w:rPr>
          <w:rFonts w:hint="eastAsia" w:ascii="方正仿宋_GBK" w:hAnsi="方正仿宋_GBK" w:eastAsia="方正仿宋_GBK" w:cs="方正仿宋_GBK"/>
          <w:b/>
          <w:bCs/>
          <w:color w:val="auto"/>
          <w:kern w:val="2"/>
          <w:sz w:val="32"/>
          <w:szCs w:val="32"/>
          <w:lang w:val="en-US" w:eastAsia="zh-CN" w:bidi="ar-SA"/>
        </w:rPr>
        <w:t>1.5</w:t>
      </w:r>
      <w:r>
        <w:rPr>
          <w:rFonts w:hint="eastAsia" w:ascii="方正仿宋_GBK" w:hAnsi="方正仿宋_GBK" w:eastAsia="方正仿宋_GBK" w:cs="方正仿宋_GBK"/>
          <w:color w:val="auto"/>
          <w:lang w:eastAsia="zh-CN"/>
        </w:rPr>
        <w:t>预案体系</w:t>
      </w:r>
      <w:bookmarkEnd w:id="39"/>
      <w:bookmarkEnd w:id="40"/>
      <w:bookmarkEnd w:id="41"/>
    </w:p>
    <w:p w14:paraId="17C5A996">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本预案是湘乡市</w:t>
      </w:r>
      <w:r>
        <w:rPr>
          <w:rFonts w:hint="eastAsia" w:ascii="方正仿宋_GBK" w:hAnsi="方正仿宋_GBK" w:eastAsia="方正仿宋_GBK" w:cs="方正仿宋_GBK"/>
          <w:color w:val="auto"/>
          <w:highlight w:val="none"/>
          <w:u w:val="none"/>
          <w:lang w:eastAsia="zh-CN"/>
        </w:rPr>
        <w:t>突发事件总体应急预案和湘潭市重污染天气应急预案体系下的专项应急预案，其下级预案（子预案）包括</w:t>
      </w:r>
      <w:r>
        <w:rPr>
          <w:rFonts w:hint="eastAsia" w:ascii="方正仿宋_GBK" w:hAnsi="方正仿宋_GBK" w:eastAsia="方正仿宋_GBK" w:cs="方正仿宋_GBK"/>
          <w:color w:val="auto"/>
          <w:lang w:eastAsia="zh-CN"/>
        </w:rPr>
        <w:t>经开区管委会</w:t>
      </w:r>
      <w:r>
        <w:rPr>
          <w:rFonts w:hint="eastAsia" w:ascii="方正仿宋_GBK" w:hAnsi="方正仿宋_GBK" w:eastAsia="方正仿宋_GBK" w:cs="方正仿宋_GBK"/>
          <w:color w:val="auto"/>
          <w:highlight w:val="none"/>
          <w:u w:val="none"/>
          <w:lang w:eastAsia="zh-CN"/>
        </w:rPr>
        <w:t>、</w:t>
      </w:r>
      <w:r>
        <w:rPr>
          <w:rFonts w:hint="eastAsia" w:ascii="方正仿宋_GBK" w:hAnsi="方正仿宋_GBK" w:eastAsia="方正仿宋_GBK" w:cs="方正仿宋_GBK"/>
          <w:color w:val="auto"/>
          <w:lang w:eastAsia="zh-CN"/>
        </w:rPr>
        <w:t>乡镇人民政府、街道办事处</w:t>
      </w:r>
      <w:r>
        <w:rPr>
          <w:rFonts w:hint="eastAsia" w:ascii="方正仿宋_GBK" w:hAnsi="方正仿宋_GBK" w:eastAsia="方正仿宋_GBK" w:cs="方正仿宋_GBK"/>
          <w:color w:val="auto"/>
          <w:highlight w:val="none"/>
          <w:u w:val="none"/>
          <w:lang w:eastAsia="zh-CN"/>
        </w:rPr>
        <w:t>、市直相关部门及单位应对重污染天气专项实施方案及应急减排项目清单、企业重污染天气应急响应实施方案（以下简称“一厂一策”实施方案）。本预案与下级预案共同组成湘乡市重污染天气应急预案体系。</w:t>
      </w:r>
    </w:p>
    <w:p w14:paraId="0630E238">
      <w:pPr>
        <w:pStyle w:val="3"/>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42" w:name="_Toc9231"/>
      <w:r>
        <w:rPr>
          <w:rFonts w:hint="eastAsia" w:ascii="方正仿宋_GBK" w:hAnsi="方正仿宋_GBK" w:eastAsia="方正仿宋_GBK" w:cs="方正仿宋_GBK"/>
          <w:b/>
          <w:bCs/>
          <w:color w:val="auto"/>
          <w:kern w:val="44"/>
          <w:sz w:val="32"/>
          <w:szCs w:val="44"/>
          <w:lang w:val="en-US" w:eastAsia="zh-CN" w:bidi="ar-SA"/>
        </w:rPr>
        <w:t>2.</w:t>
      </w:r>
      <w:r>
        <w:rPr>
          <w:rFonts w:hint="eastAsia" w:ascii="方正仿宋_GBK" w:hAnsi="方正仿宋_GBK" w:eastAsia="方正仿宋_GBK" w:cs="方正仿宋_GBK"/>
          <w:color w:val="auto"/>
          <w:lang w:eastAsia="zh-CN"/>
        </w:rPr>
        <w:t>组织机构及工作职责</w:t>
      </w:r>
      <w:bookmarkEnd w:id="42"/>
    </w:p>
    <w:p w14:paraId="7CC260C0">
      <w:pPr>
        <w:pStyle w:val="4"/>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43" w:name="_Toc30651"/>
      <w:bookmarkStart w:id="44" w:name="_Toc21801"/>
      <w:bookmarkStart w:id="45" w:name="_Toc17524"/>
      <w:bookmarkStart w:id="46" w:name="_Toc11702"/>
      <w:bookmarkStart w:id="47" w:name="_Toc26539"/>
      <w:bookmarkStart w:id="48" w:name="_Toc4691"/>
      <w:bookmarkStart w:id="49" w:name="_Toc8556"/>
      <w:bookmarkStart w:id="50" w:name="_Toc13180"/>
      <w:bookmarkStart w:id="51" w:name="_Toc28019"/>
      <w:r>
        <w:rPr>
          <w:rFonts w:hint="eastAsia" w:ascii="方正仿宋_GBK" w:hAnsi="方正仿宋_GBK" w:eastAsia="方正仿宋_GBK" w:cs="方正仿宋_GBK"/>
          <w:b/>
          <w:bCs/>
          <w:color w:val="auto"/>
          <w:kern w:val="2"/>
          <w:sz w:val="32"/>
          <w:szCs w:val="32"/>
          <w:lang w:val="en-US" w:eastAsia="zh-CN" w:bidi="ar-SA"/>
        </w:rPr>
        <w:t>2.1</w:t>
      </w:r>
      <w:r>
        <w:rPr>
          <w:rFonts w:hint="eastAsia" w:ascii="方正仿宋_GBK" w:hAnsi="方正仿宋_GBK" w:eastAsia="方正仿宋_GBK" w:cs="方正仿宋_GBK"/>
          <w:color w:val="auto"/>
          <w:lang w:eastAsia="zh-CN"/>
        </w:rPr>
        <w:t>市重污染天气应急指挥部</w:t>
      </w:r>
      <w:bookmarkEnd w:id="43"/>
    </w:p>
    <w:p w14:paraId="3A4A7BE3">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湘乡市人民政府设立湘乡市重污染天气应急指挥部（以下简称市指挥部），由市人民政府分管生态环境工作的副市长任指挥长，市政府办公室协管副主任、</w:t>
      </w:r>
      <w:r>
        <w:rPr>
          <w:rFonts w:hint="eastAsia" w:ascii="方正仿宋_GBK" w:hAnsi="方正仿宋_GBK" w:eastAsia="方正仿宋_GBK" w:cs="方正仿宋_GBK"/>
          <w:color w:val="auto"/>
          <w:lang w:val="en-US" w:eastAsia="zh-CN"/>
        </w:rPr>
        <w:t>市生态环境保护委员会办公室（以下简称市生环办）</w:t>
      </w:r>
      <w:r>
        <w:rPr>
          <w:rFonts w:hint="eastAsia" w:ascii="方正仿宋_GBK" w:hAnsi="方正仿宋_GBK" w:eastAsia="方正仿宋_GBK" w:cs="方正仿宋_GBK"/>
          <w:color w:val="auto"/>
          <w:lang w:eastAsia="zh-CN"/>
        </w:rPr>
        <w:t>副主任任副指挥长。生态环境湘乡分局、市卫生健康局、市气象局、市科技和工业信息化局、市公安局、市住房和城乡建设局、市城市管理和综合执法局、市交通运输局、市教育局、市财政局、市水利局、市农业农村局、市委宣传部等单位负责人为市指挥部成员。</w:t>
      </w:r>
    </w:p>
    <w:p w14:paraId="7A99DE1B">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市指挥部负责重污染天气应急预案组织实施，决定应急预案的启动、调整、终止；负责指挥、组织、协调和督促各地各有关部门单位及重点废气排放企业成立重污染天气应急指挥部，并制定应急预案，落实重污染天气应急响应；负责向市人民政府报告重污染天气情况，报请市人民政府向湘潭市人民政府报告重污染天气情况，协调湘潭市、娄底市、韶山市协同控制大气污染；负责应急响应总结及评估。</w:t>
      </w:r>
    </w:p>
    <w:bookmarkEnd w:id="44"/>
    <w:bookmarkEnd w:id="45"/>
    <w:bookmarkEnd w:id="46"/>
    <w:bookmarkEnd w:id="47"/>
    <w:bookmarkEnd w:id="48"/>
    <w:bookmarkEnd w:id="49"/>
    <w:bookmarkEnd w:id="50"/>
    <w:bookmarkEnd w:id="51"/>
    <w:p w14:paraId="1DFE6B28">
      <w:pPr>
        <w:pStyle w:val="4"/>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52" w:name="_Toc1152"/>
      <w:r>
        <w:rPr>
          <w:rFonts w:hint="eastAsia" w:ascii="方正仿宋_GBK" w:hAnsi="方正仿宋_GBK" w:eastAsia="方正仿宋_GBK" w:cs="方正仿宋_GBK"/>
          <w:b/>
          <w:bCs/>
          <w:color w:val="auto"/>
          <w:kern w:val="2"/>
          <w:sz w:val="32"/>
          <w:szCs w:val="32"/>
          <w:lang w:val="en-US" w:eastAsia="zh-CN" w:bidi="ar-SA"/>
        </w:rPr>
        <w:t>2.2</w:t>
      </w:r>
      <w:r>
        <w:rPr>
          <w:rFonts w:hint="eastAsia" w:ascii="方正仿宋_GBK" w:hAnsi="方正仿宋_GBK" w:eastAsia="方正仿宋_GBK" w:cs="方正仿宋_GBK"/>
          <w:color w:val="auto"/>
          <w:lang w:eastAsia="zh-CN"/>
        </w:rPr>
        <w:t>市重污染天气应急指挥部办公室</w:t>
      </w:r>
      <w:bookmarkEnd w:id="52"/>
    </w:p>
    <w:p w14:paraId="3E0290D5">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方正仿宋_GBK" w:hAnsi="方正仿宋_GBK" w:eastAsia="方正仿宋_GBK" w:cs="方正仿宋_GBK"/>
          <w:color w:val="auto"/>
          <w:u w:val="none"/>
          <w:lang w:val="en-US" w:eastAsia="zh-CN"/>
        </w:rPr>
      </w:pPr>
      <w:r>
        <w:rPr>
          <w:rFonts w:hint="eastAsia" w:ascii="方正仿宋_GBK" w:hAnsi="方正仿宋_GBK" w:eastAsia="方正仿宋_GBK" w:cs="方正仿宋_GBK"/>
          <w:color w:val="auto"/>
          <w:u w:val="none"/>
          <w:lang w:eastAsia="zh-CN"/>
        </w:rPr>
        <w:t>市指挥部下设办公室，</w:t>
      </w:r>
      <w:r>
        <w:rPr>
          <w:rFonts w:hint="eastAsia" w:ascii="方正仿宋_GBK" w:hAnsi="方正仿宋_GBK" w:eastAsia="方正仿宋_GBK" w:cs="方正仿宋_GBK"/>
          <w:color w:val="auto"/>
          <w:u w:val="none"/>
          <w:lang w:val="en-US" w:eastAsia="zh-CN"/>
        </w:rPr>
        <w:t>办公地点设市生环办，由市生环办副主任兼任办公室主任。</w:t>
      </w:r>
    </w:p>
    <w:p w14:paraId="7E72353A">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方正仿宋_GBK" w:hAnsi="方正仿宋_GBK" w:eastAsia="方正仿宋_GBK" w:cs="方正仿宋_GBK"/>
          <w:color w:val="auto"/>
          <w:u w:val="none"/>
          <w:lang w:eastAsia="zh-CN"/>
        </w:rPr>
      </w:pPr>
      <w:r>
        <w:rPr>
          <w:rFonts w:hint="eastAsia" w:ascii="方正仿宋_GBK" w:hAnsi="方正仿宋_GBK" w:eastAsia="方正仿宋_GBK" w:cs="方正仿宋_GBK"/>
          <w:color w:val="auto"/>
          <w:lang w:eastAsia="zh-CN"/>
        </w:rPr>
        <w:t>市指挥部办公室负责贯彻市指挥部的部署，对重污染天气预警、响应级别进行研判，组织协调各成员单位落实应急响应措施，及时发布和报告相关信息；负责组织专家对空气质量进行应急会商，形成应急响应启动、调整、终止的建议，并提交市指挥部；负责向乡镇人民政府、街道办事处和经开区管委会发布应急响应启动、调整、终止的信息；负责组织向公众发布健康防护信息，倡导社会各界自觉采取污染减排行动；负责指导督促各成员单位制定应急响应预案；负责检查各成员单位重污染天气应急体系建设工作；履行值守应急、信息汇总和综合协调职责；做好重污染天气预警、应急处置、总结评估工作。</w:t>
      </w:r>
    </w:p>
    <w:p w14:paraId="5D1D95E6">
      <w:pPr>
        <w:pStyle w:val="4"/>
        <w:keepNext w:val="0"/>
        <w:keepLines w:val="0"/>
        <w:pageBreakBefore w:val="0"/>
        <w:widowControl w:val="0"/>
        <w:numPr>
          <w:ilvl w:val="0"/>
          <w:numId w:val="0"/>
        </w:numPr>
        <w:kinsoku/>
        <w:wordWrap/>
        <w:overflowPunct/>
        <w:topLinePunct w:val="0"/>
        <w:autoSpaceDE/>
        <w:autoSpaceDN/>
        <w:bidi w:val="0"/>
        <w:adjustRightInd/>
        <w:snapToGrid/>
        <w:spacing w:line="57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53" w:name="_Toc20356"/>
      <w:r>
        <w:rPr>
          <w:rFonts w:hint="eastAsia" w:ascii="方正仿宋_GBK" w:hAnsi="方正仿宋_GBK" w:eastAsia="方正仿宋_GBK" w:cs="方正仿宋_GBK"/>
          <w:b/>
          <w:bCs/>
          <w:color w:val="auto"/>
          <w:kern w:val="2"/>
          <w:sz w:val="32"/>
          <w:szCs w:val="32"/>
          <w:lang w:val="en-US" w:eastAsia="zh-CN" w:bidi="ar-SA"/>
        </w:rPr>
        <w:t>2.3</w:t>
      </w:r>
      <w:r>
        <w:rPr>
          <w:rFonts w:hint="eastAsia" w:ascii="方正仿宋_GBK" w:hAnsi="方正仿宋_GBK" w:eastAsia="方正仿宋_GBK" w:cs="方正仿宋_GBK"/>
          <w:color w:val="auto"/>
          <w:lang w:eastAsia="zh-CN"/>
        </w:rPr>
        <w:t>市重污染天气应急指挥部成员单位</w:t>
      </w:r>
      <w:bookmarkEnd w:id="53"/>
    </w:p>
    <w:p w14:paraId="56718780">
      <w:pPr>
        <w:keepNext w:val="0"/>
        <w:keepLines w:val="0"/>
        <w:pageBreakBefore w:val="0"/>
        <w:widowControl w:val="0"/>
        <w:kinsoku/>
        <w:wordWrap/>
        <w:overflowPunct/>
        <w:topLinePunct w:val="0"/>
        <w:autoSpaceDE/>
        <w:autoSpaceDN/>
        <w:bidi w:val="0"/>
        <w:adjustRightInd/>
        <w:snapToGrid/>
        <w:spacing w:line="570" w:lineRule="exact"/>
        <w:ind w:left="0" w:firstLine="640" w:firstLineChars="200"/>
        <w:textAlignment w:val="auto"/>
        <w:rPr>
          <w:rFonts w:hint="eastAsia" w:ascii="方正仿宋_GBK" w:hAnsi="方正仿宋_GBK" w:eastAsia="方正仿宋_GBK" w:cs="方正仿宋_GBK"/>
          <w:color w:val="auto"/>
          <w:lang w:eastAsia="zh-CN"/>
        </w:rPr>
      </w:pPr>
      <w:bookmarkStart w:id="54" w:name="_Toc3019"/>
      <w:bookmarkStart w:id="55" w:name="_Toc22204"/>
      <w:r>
        <w:rPr>
          <w:rFonts w:hint="eastAsia" w:ascii="方正仿宋_GBK" w:hAnsi="方正仿宋_GBK" w:eastAsia="方正仿宋_GBK" w:cs="方正仿宋_GBK"/>
          <w:color w:val="auto"/>
          <w:lang w:eastAsia="zh-CN"/>
        </w:rPr>
        <w:t>湘潭市生态环境局湘乡分局：负责空气质量的监测、会商、预警和信息发布；负责建立并更新重点废气排放企业名单，督促落实应急减排措施，组织开展工业污染源大气污染物排放执法检查；负责落实重点废气排放企业应急停产、限产措施；会同市气象局建立重污染天气预警会商制度，做好重污染天气预警与信息发布，承担市指挥部办公室的日常值班工作。</w:t>
      </w:r>
    </w:p>
    <w:p w14:paraId="7C85D6B7">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气象局：建立和完善大气污染监测预警联动工作机制；负责城区气象保障，提供风向、风速、温度、气压、湿度、雨量等气象资料监测、数据分析和气象预报，并将情况及时报市指挥部办公室；负责红色预警情况下的人工降雨组织与实施。</w:t>
      </w:r>
    </w:p>
    <w:p w14:paraId="7DCAD9B6">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科技和工业信息化局：负责配合湘潭市生态环境局湘乡分局制定并更新重污染天气期间错峰生产、限产停产有关企业实施方案及名录；协助督导重点排污工业企业落实重污染天气应急预案情况；配合湘潭市生态环境局湘乡分局等相关部门开展重污染天气应急响应期间企业错峰生产、限产停产落实情况和执法检查。</w:t>
      </w:r>
    </w:p>
    <w:p w14:paraId="0D9C68EE">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市公安局：负责交通管理和机动车辆限行，加强对车辆限行区域高污染排放车辆通行管控；强化城区道路的交通疏导，减少车辆怠速行驶，查处涉及空气污染造谣等非法行为。</w:t>
      </w:r>
    </w:p>
    <w:p w14:paraId="1BCCFA5F">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住房和城乡建设局：负责督促落实建筑施工场地扬尘污染控制措施，督促市区（含园区）国有土地征收的施工场地扬尘控制措施；负责对全市各基建工地停止土方开挖、施工、混凝土搅拌、建筑拆除、喷涂粉刷、护坡喷浆等作业的监督管理，并按照预警分级发布停工指令。</w:t>
      </w:r>
    </w:p>
    <w:p w14:paraId="3366DE94">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市城市管理和综合执法局：负责督促落实园林、绿化施工场地扬尘控制措施；增加道路清扫保洁和冲洗频次措施；增加道路洒水以及喷雾降尘频次3次以上；负责落实渣土运输扬尘控制措施。</w:t>
      </w:r>
    </w:p>
    <w:p w14:paraId="39AA1C96">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市交通运输局：负责督促落实交通运输施工场地扬尘控制措施；负责组织实施增加公共交通运输能力应急保障措施。</w:t>
      </w:r>
    </w:p>
    <w:p w14:paraId="6C6628E7">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市教育局：负责对中小学、幼儿园学生进行重污染天气健康防护知识教育及督促停课措施的实施。</w:t>
      </w:r>
    </w:p>
    <w:p w14:paraId="068340F2">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市卫生健康局：负责医疗机构增设相关疾病门急诊，增加医护人员，全天24小时值守；组织医疗卫生机构开展相关疾病的预防与治疗工作，提醒市民开展重污染天气卫生防护。</w:t>
      </w:r>
    </w:p>
    <w:p w14:paraId="1DB1D2F8">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市财政局：负责落实重污染天气应对工作经费，并做好资金使用情况的监督检查工作。</w:t>
      </w:r>
    </w:p>
    <w:p w14:paraId="7AEE08DB">
      <w:pPr>
        <w:keepNext w:val="0"/>
        <w:keepLines w:val="0"/>
        <w:pageBreakBefore w:val="0"/>
        <w:widowControl w:val="0"/>
        <w:kinsoku/>
        <w:wordWrap/>
        <w:overflowPunct/>
        <w:topLinePunct w:val="0"/>
        <w:autoSpaceDE/>
        <w:autoSpaceDN/>
        <w:bidi w:val="0"/>
        <w:adjustRightInd/>
        <w:snapToGrid/>
        <w:spacing w:line="580" w:lineRule="exact"/>
        <w:ind w:left="0" w:firstLine="616" w:firstLineChars="200"/>
        <w:textAlignment w:val="auto"/>
        <w:rPr>
          <w:rFonts w:hint="eastAsia" w:ascii="方正仿宋_GBK" w:hAnsi="方正仿宋_GBK" w:eastAsia="方正仿宋_GBK" w:cs="方正仿宋_GBK"/>
          <w:color w:val="auto"/>
          <w:spacing w:val="-6"/>
          <w:sz w:val="32"/>
          <w:lang w:val="en-US" w:eastAsia="zh-CN"/>
        </w:rPr>
      </w:pPr>
      <w:r>
        <w:rPr>
          <w:rFonts w:hint="eastAsia" w:ascii="方正仿宋_GBK" w:hAnsi="方正仿宋_GBK" w:eastAsia="方正仿宋_GBK" w:cs="方正仿宋_GBK"/>
          <w:color w:val="auto"/>
          <w:spacing w:val="-6"/>
          <w:sz w:val="32"/>
          <w:lang w:val="en-US" w:eastAsia="zh-CN"/>
        </w:rPr>
        <w:t>市水利局：负责督促落实水利工程施工场地的扬尘控制措施。</w:t>
      </w:r>
    </w:p>
    <w:p w14:paraId="63D76CF6">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市农业农村局：负责指导乡镇（街道）开展秸秆综合利用，督促乡镇（街道）落实秸秆火点溯源追责机制。</w:t>
      </w:r>
    </w:p>
    <w:p w14:paraId="5E9FD7A4">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市委宣传部：负责组织重污染天气应急工作新闻发布、舆论引导工作。</w:t>
      </w:r>
    </w:p>
    <w:p w14:paraId="0DEC1DBD">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val="en-US" w:eastAsia="zh-CN"/>
        </w:rPr>
        <w:t>乡镇人民政府、街道办事处，经开区管委会：负责本辖区内扬尘污染控制、道路保洁、洒水降尘、施工场地扬尘控制及相关企业的监管工作。</w:t>
      </w:r>
    </w:p>
    <w:p w14:paraId="216F1307">
      <w:pPr>
        <w:pStyle w:val="4"/>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56" w:name="_Toc28799"/>
      <w:bookmarkStart w:id="57" w:name="_Toc11711"/>
      <w:bookmarkStart w:id="58" w:name="_Toc31179"/>
      <w:bookmarkStart w:id="59" w:name="_Toc5166"/>
      <w:bookmarkStart w:id="60" w:name="_Toc16502"/>
      <w:bookmarkStart w:id="61" w:name="_Toc3256"/>
      <w:bookmarkStart w:id="62" w:name="_Toc25517"/>
      <w:r>
        <w:rPr>
          <w:rFonts w:hint="eastAsia" w:ascii="方正仿宋_GBK" w:hAnsi="方正仿宋_GBK" w:eastAsia="方正仿宋_GBK" w:cs="方正仿宋_GBK"/>
          <w:b/>
          <w:bCs/>
          <w:color w:val="auto"/>
          <w:kern w:val="2"/>
          <w:sz w:val="32"/>
          <w:szCs w:val="32"/>
          <w:lang w:val="en-US" w:eastAsia="zh-CN" w:bidi="ar-SA"/>
        </w:rPr>
        <w:t>2.4</w:t>
      </w:r>
      <w:r>
        <w:rPr>
          <w:rFonts w:hint="eastAsia" w:ascii="方正仿宋_GBK" w:hAnsi="方正仿宋_GBK" w:eastAsia="方正仿宋_GBK" w:cs="方正仿宋_GBK"/>
          <w:color w:val="auto"/>
          <w:lang w:eastAsia="zh-CN"/>
        </w:rPr>
        <w:t>专家组</w:t>
      </w:r>
      <w:bookmarkEnd w:id="54"/>
      <w:bookmarkEnd w:id="55"/>
      <w:bookmarkEnd w:id="56"/>
      <w:bookmarkEnd w:id="57"/>
      <w:bookmarkEnd w:id="58"/>
      <w:bookmarkEnd w:id="59"/>
      <w:bookmarkEnd w:id="60"/>
      <w:bookmarkEnd w:id="61"/>
      <w:bookmarkEnd w:id="62"/>
    </w:p>
    <w:p w14:paraId="0F20FD23">
      <w:pPr>
        <w:keepNext w:val="0"/>
        <w:keepLines w:val="0"/>
        <w:pageBreakBefore w:val="0"/>
        <w:widowControl w:val="0"/>
        <w:kinsoku/>
        <w:wordWrap/>
        <w:overflowPunct/>
        <w:topLinePunct w:val="0"/>
        <w:autoSpaceDE/>
        <w:autoSpaceDN/>
        <w:bidi w:val="0"/>
        <w:adjustRightInd/>
        <w:snapToGrid/>
        <w:spacing w:line="580" w:lineRule="exact"/>
        <w:ind w:left="0"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lang w:eastAsia="zh-CN"/>
        </w:rPr>
        <w:t>市指挥部牵头组建重污染天气应急专家组，由大气环境质量监测、天气预报、环境保护等方面的专家组成，</w:t>
      </w:r>
      <w:r>
        <w:rPr>
          <w:rFonts w:hint="eastAsia" w:ascii="方正仿宋_GBK" w:hAnsi="方正仿宋_GBK" w:eastAsia="方正仿宋_GBK" w:cs="方正仿宋_GBK"/>
          <w:color w:val="auto"/>
          <w:sz w:val="32"/>
          <w:szCs w:val="32"/>
          <w:highlight w:val="none"/>
        </w:rPr>
        <w:t>主要负责为重污染天气预报预警、响应与评估提供专家会商意见，为重污染天气应对提供技术支撑及对策建议。</w:t>
      </w:r>
    </w:p>
    <w:p w14:paraId="6B74D812">
      <w:pPr>
        <w:keepNext w:val="0"/>
        <w:keepLines w:val="0"/>
        <w:pageBreakBefore w:val="0"/>
        <w:widowControl w:val="0"/>
        <w:kinsoku/>
        <w:wordWrap/>
        <w:overflowPunct/>
        <w:topLinePunct w:val="0"/>
        <w:autoSpaceDE/>
        <w:autoSpaceDN/>
        <w:bidi w:val="0"/>
        <w:adjustRightInd/>
        <w:snapToGrid/>
        <w:spacing w:line="580" w:lineRule="exact"/>
        <w:ind w:left="0" w:firstLine="643" w:firstLineChars="200"/>
        <w:textAlignment w:val="auto"/>
        <w:rPr>
          <w:rFonts w:hint="eastAsia" w:ascii="方正仿宋_GBK" w:hAnsi="方正仿宋_GBK" w:eastAsia="方正仿宋_GBK" w:cs="方正仿宋_GBK"/>
          <w:b/>
          <w:bCs/>
          <w:color w:val="auto"/>
          <w:sz w:val="32"/>
          <w:szCs w:val="32"/>
          <w:highlight w:val="none"/>
        </w:rPr>
      </w:pPr>
      <w:bookmarkStart w:id="63" w:name="_Toc17456"/>
      <w:bookmarkStart w:id="64" w:name="_Toc2167"/>
      <w:bookmarkStart w:id="65" w:name="_Toc17878"/>
      <w:bookmarkStart w:id="66" w:name="_Toc32456"/>
      <w:bookmarkStart w:id="67" w:name="_Toc28409"/>
      <w:bookmarkStart w:id="68" w:name="_Toc7270"/>
      <w:bookmarkStart w:id="69" w:name="_Toc7865"/>
      <w:bookmarkStart w:id="70" w:name="_Toc15670"/>
      <w:bookmarkStart w:id="71" w:name="_Toc22115"/>
      <w:r>
        <w:rPr>
          <w:rFonts w:hint="default" w:ascii="Times New Roman" w:hAnsi="Times New Roman" w:eastAsia="仿宋" w:cs="Times New Roman"/>
          <w:b/>
          <w:bCs/>
          <w:color w:val="auto"/>
          <w:kern w:val="2"/>
          <w:sz w:val="32"/>
          <w:szCs w:val="32"/>
          <w:lang w:val="en-US" w:eastAsia="zh-CN" w:bidi="ar-SA"/>
        </w:rPr>
        <w:t>2.5</w:t>
      </w:r>
      <w:r>
        <w:rPr>
          <w:rFonts w:hint="eastAsia"/>
          <w:b/>
          <w:bCs/>
          <w:color w:val="auto"/>
          <w:lang w:eastAsia="zh-CN"/>
        </w:rPr>
        <w:t>组织体系框架图</w:t>
      </w:r>
      <w:bookmarkEnd w:id="63"/>
      <w:bookmarkEnd w:id="64"/>
      <w:bookmarkEnd w:id="65"/>
      <w:bookmarkEnd w:id="66"/>
      <w:bookmarkEnd w:id="67"/>
      <w:bookmarkEnd w:id="68"/>
      <w:bookmarkEnd w:id="69"/>
      <w:bookmarkEnd w:id="70"/>
      <w:bookmarkEnd w:id="71"/>
    </w:p>
    <w:p w14:paraId="4495D29A">
      <w:pPr>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br w:type="page"/>
      </w:r>
    </w:p>
    <w:p w14:paraId="64502334">
      <w:pPr>
        <w:pStyle w:val="4"/>
        <w:numPr>
          <w:ilvl w:val="0"/>
          <w:numId w:val="0"/>
        </w:numPr>
        <w:rPr>
          <w:rFonts w:hint="eastAsia"/>
          <w:color w:val="auto"/>
          <w:lang w:eastAsia="zh-CN"/>
        </w:rPr>
      </w:pPr>
    </w:p>
    <w:p w14:paraId="065ECCE0">
      <w:pPr>
        <w:pStyle w:val="8"/>
        <w:bidi w:val="0"/>
        <w:rPr>
          <w:rFonts w:hint="eastAsia"/>
          <w:color w:val="auto"/>
          <w:lang w:val="en-US" w:eastAsia="zh-CN"/>
        </w:rPr>
      </w:pPr>
    </w:p>
    <w:p w14:paraId="4521D094">
      <w:pPr>
        <w:ind w:left="0" w:leftChars="0" w:firstLine="0" w:firstLineChars="0"/>
        <w:rPr>
          <w:rFonts w:hint="eastAsia"/>
          <w:lang w:val="en-US" w:eastAsia="zh-CN"/>
        </w:rPr>
      </w:pPr>
      <w:r>
        <w:rPr>
          <w:sz w:val="21"/>
        </w:rPr>
        <mc:AlternateContent>
          <mc:Choice Requires="wpg">
            <w:drawing>
              <wp:anchor distT="0" distB="0" distL="114300" distR="114300" simplePos="0" relativeHeight="251659264" behindDoc="0" locked="0" layoutInCell="1" allowOverlap="1">
                <wp:simplePos x="0" y="0"/>
                <wp:positionH relativeFrom="column">
                  <wp:posOffset>-321310</wp:posOffset>
                </wp:positionH>
                <wp:positionV relativeFrom="paragraph">
                  <wp:posOffset>-513715</wp:posOffset>
                </wp:positionV>
                <wp:extent cx="6021070" cy="8288655"/>
                <wp:effectExtent l="4445" t="4445" r="13335" b="0"/>
                <wp:wrapNone/>
                <wp:docPr id="49" name="组合 49"/>
                <wp:cNvGraphicFramePr/>
                <a:graphic xmlns:a="http://schemas.openxmlformats.org/drawingml/2006/main">
                  <a:graphicData uri="http://schemas.microsoft.com/office/word/2010/wordprocessingGroup">
                    <wpg:wgp>
                      <wpg:cNvGrpSpPr/>
                      <wpg:grpSpPr>
                        <a:xfrm>
                          <a:off x="0" y="0"/>
                          <a:ext cx="6021070" cy="8288655"/>
                          <a:chOff x="11863" y="2370"/>
                          <a:chExt cx="9482" cy="13053"/>
                        </a:xfrm>
                      </wpg:grpSpPr>
                      <wps:wsp>
                        <wps:cNvPr id="1" name="文本框 1"/>
                        <wps:cNvSpPr txBox="1"/>
                        <wps:spPr>
                          <a:xfrm>
                            <a:off x="16046" y="2370"/>
                            <a:ext cx="1706" cy="54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A01D694">
                              <w:pPr>
                                <w:keepNext w:val="0"/>
                                <w:keepLines w:val="0"/>
                                <w:pageBreakBefore w:val="0"/>
                                <w:widowControl w:val="0"/>
                                <w:kinsoku/>
                                <w:wordWrap/>
                                <w:overflowPunct/>
                                <w:topLinePunct w:val="0"/>
                                <w:bidi w:val="0"/>
                                <w:adjustRightInd/>
                                <w:snapToGrid/>
                                <w:spacing w:line="460" w:lineRule="exact"/>
                                <w:ind w:left="0" w:leftChars="0" w:firstLine="0" w:firstLineChars="0"/>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市指挥部</w:t>
                              </w:r>
                            </w:p>
                          </w:txbxContent>
                        </wps:txbx>
                        <wps:bodyPr rot="0" spcFirstLastPara="0" vertOverflow="overflow" horzOverflow="overflow" vert="horz" wrap="square" lIns="0" tIns="0" rIns="0" bIns="0" numCol="1" spcCol="0" rtlCol="0" fromWordArt="0" anchor="t" anchorCtr="0" forceAA="0" compatLnSpc="1">
                          <a:noAutofit/>
                        </wps:bodyPr>
                      </wps:wsp>
                      <wps:wsp>
                        <wps:cNvPr id="2" name="文本框 2"/>
                        <wps:cNvSpPr txBox="1"/>
                        <wps:spPr>
                          <a:xfrm>
                            <a:off x="15157" y="3478"/>
                            <a:ext cx="3505" cy="54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6CB05E1">
                              <w:pPr>
                                <w:keepNext w:val="0"/>
                                <w:keepLines w:val="0"/>
                                <w:pageBreakBefore w:val="0"/>
                                <w:widowControl w:val="0"/>
                                <w:kinsoku/>
                                <w:wordWrap/>
                                <w:overflowPunct/>
                                <w:topLinePunct w:val="0"/>
                                <w:bidi w:val="0"/>
                                <w:adjustRightInd/>
                                <w:snapToGrid/>
                                <w:spacing w:line="46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市人民政府分管副市长</w:t>
                              </w:r>
                            </w:p>
                          </w:txbxContent>
                        </wps:txbx>
                        <wps:bodyPr rot="0" spcFirstLastPara="0" vertOverflow="overflow" horzOverflow="overflow" vert="horz" wrap="square" lIns="0" tIns="0" rIns="0" bIns="0" numCol="1" spcCol="0" rtlCol="0" fromWordArt="0" anchor="t" anchorCtr="0" forceAA="0" compatLnSpc="1">
                          <a:noAutofit/>
                        </wps:bodyPr>
                      </wps:wsp>
                      <wps:wsp>
                        <wps:cNvPr id="3" name="直接箭头连接符 3"/>
                        <wps:cNvCnPr/>
                        <wps:spPr>
                          <a:xfrm>
                            <a:off x="16899" y="2916"/>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50" name="文本框 4"/>
                        <wps:cNvSpPr txBox="1"/>
                        <wps:spPr>
                          <a:xfrm>
                            <a:off x="11863" y="6302"/>
                            <a:ext cx="461" cy="404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B3BD87B">
                              <w:pPr>
                                <w:keepNext w:val="0"/>
                                <w:keepLines w:val="0"/>
                                <w:pageBreakBefore w:val="0"/>
                                <w:widowControl w:val="0"/>
                                <w:kinsoku/>
                                <w:wordWrap/>
                                <w:overflowPunct/>
                                <w:topLinePunct w:val="0"/>
                                <w:bidi w:val="0"/>
                                <w:adjustRightInd/>
                                <w:snapToGrid/>
                                <w:spacing w:line="480" w:lineRule="exact"/>
                                <w:ind w:left="0" w:leftChars="0" w:firstLine="0" w:firstLineChars="0"/>
                                <w:jc w:val="center"/>
                                <w:textAlignment w:val="auto"/>
                                <w:rPr>
                                  <w:rFonts w:hint="eastAsia" w:ascii="黑体" w:hAnsi="黑体" w:eastAsia="黑体" w:cs="黑体"/>
                                  <w:sz w:val="28"/>
                                  <w:szCs w:val="28"/>
                                  <w:lang w:val="en-US" w:eastAsia="zh-CN"/>
                                </w:rPr>
                              </w:pPr>
                              <w:r>
                                <w:rPr>
                                  <w:rFonts w:hint="eastAsia" w:ascii="黑体" w:hAnsi="黑体" w:eastAsia="黑体" w:cs="黑体"/>
                                  <w:spacing w:val="11"/>
                                  <w:sz w:val="24"/>
                                  <w:szCs w:val="24"/>
                                  <w:lang w:val="en-US" w:eastAsia="zh-CN"/>
                                </w:rPr>
                                <w:t>湘潭市生态环境局湘乡分局</w:t>
                              </w:r>
                            </w:p>
                          </w:txbxContent>
                        </wps:txbx>
                        <wps:bodyPr rot="0" spcFirstLastPara="0" vertOverflow="overflow" horzOverflow="overflow" vert="eaVert" wrap="square" lIns="0" tIns="0" rIns="0" bIns="0" numCol="1" spcCol="0" rtlCol="0" fromWordArt="0" anchor="t" anchorCtr="0" forceAA="0" compatLnSpc="1">
                          <a:noAutofit/>
                        </wps:bodyPr>
                      </wps:wsp>
                      <wps:wsp>
                        <wps:cNvPr id="5" name="文本框 5"/>
                        <wps:cNvSpPr txBox="1"/>
                        <wps:spPr>
                          <a:xfrm>
                            <a:off x="12528" y="6299"/>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0C27795">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市卫生健康局</w:t>
                              </w:r>
                            </w:p>
                          </w:txbxContent>
                        </wps:txbx>
                        <wps:bodyPr rot="0" spcFirstLastPara="0" vertOverflow="overflow" horzOverflow="overflow" vert="eaVert" wrap="square" lIns="0" tIns="0" rIns="0" bIns="0" numCol="1" spcCol="0" rtlCol="0" fromWordArt="0" anchor="t" anchorCtr="0" forceAA="0" compatLnSpc="1">
                          <a:noAutofit/>
                        </wps:bodyPr>
                      </wps:wsp>
                      <wps:wsp>
                        <wps:cNvPr id="6" name="文本框 6"/>
                        <wps:cNvSpPr txBox="1"/>
                        <wps:spPr>
                          <a:xfrm>
                            <a:off x="13223" y="6303"/>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F0A2EA1">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市气象局</w:t>
                              </w:r>
                            </w:p>
                          </w:txbxContent>
                        </wps:txbx>
                        <wps:bodyPr rot="0" spcFirstLastPara="0" vertOverflow="overflow" horzOverflow="overflow" vert="eaVert" wrap="square" lIns="0" tIns="0" rIns="0" bIns="0" numCol="1" spcCol="0" rtlCol="0" fromWordArt="0" anchor="t" anchorCtr="0" forceAA="0" compatLnSpc="1">
                          <a:noAutofit/>
                        </wps:bodyPr>
                      </wps:wsp>
                      <wps:wsp>
                        <wps:cNvPr id="9" name="文本框 9"/>
                        <wps:cNvSpPr txBox="1"/>
                        <wps:spPr>
                          <a:xfrm>
                            <a:off x="13948" y="6305"/>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D991957">
                              <w:pPr>
                                <w:keepNext w:val="0"/>
                                <w:keepLines w:val="0"/>
                                <w:pageBreakBefore w:val="0"/>
                                <w:widowControl w:val="0"/>
                                <w:kinsoku/>
                                <w:wordWrap/>
                                <w:overflowPunct/>
                                <w:topLinePunct w:val="0"/>
                                <w:bidi w:val="0"/>
                                <w:adjustRightInd/>
                                <w:snapToGrid/>
                                <w:spacing w:line="440" w:lineRule="exact"/>
                                <w:jc w:val="both"/>
                                <w:textAlignment w:val="auto"/>
                                <w:rPr>
                                  <w:rFonts w:hint="default" w:ascii="黑体" w:hAnsi="黑体" w:eastAsia="黑体" w:cs="黑体"/>
                                  <w:sz w:val="28"/>
                                  <w:szCs w:val="28"/>
                                  <w:lang w:val="en-US" w:eastAsia="zh-CN"/>
                                </w:rPr>
                              </w:pPr>
                              <w:r>
                                <w:rPr>
                                  <w:rFonts w:hint="eastAsia" w:ascii="黑体" w:hAnsi="黑体" w:eastAsia="黑体" w:cs="黑体"/>
                                  <w:spacing w:val="11"/>
                                  <w:sz w:val="24"/>
                                  <w:szCs w:val="24"/>
                                  <w:lang w:val="en-US" w:eastAsia="zh-CN"/>
                                </w:rPr>
                                <w:t>市科技和工业信息化局</w:t>
                              </w:r>
                            </w:p>
                          </w:txbxContent>
                        </wps:txbx>
                        <wps:bodyPr rot="0" spcFirstLastPara="0" vertOverflow="overflow" horzOverflow="overflow" vert="eaVert" wrap="square" lIns="0" tIns="0" rIns="0" bIns="0" numCol="1" spcCol="0" rtlCol="0" fromWordArt="0" anchor="t" anchorCtr="0" forceAA="0" compatLnSpc="1">
                          <a:noAutofit/>
                        </wps:bodyPr>
                      </wps:wsp>
                      <wps:wsp>
                        <wps:cNvPr id="8" name="文本框 8"/>
                        <wps:cNvSpPr txBox="1"/>
                        <wps:spPr>
                          <a:xfrm>
                            <a:off x="14658" y="6302"/>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120AF8E">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市公安局</w:t>
                              </w:r>
                            </w:p>
                          </w:txbxContent>
                        </wps:txbx>
                        <wps:bodyPr rot="0" spcFirstLastPara="0" vertOverflow="overflow" horzOverflow="overflow" vert="eaVert" wrap="square" lIns="0" tIns="0" rIns="0" bIns="0" numCol="1" spcCol="0" rtlCol="0" fromWordArt="0" anchor="t" anchorCtr="0" forceAA="0" compatLnSpc="1">
                          <a:noAutofit/>
                        </wps:bodyPr>
                      </wps:wsp>
                      <wps:wsp>
                        <wps:cNvPr id="7" name="文本框 7"/>
                        <wps:cNvSpPr txBox="1"/>
                        <wps:spPr>
                          <a:xfrm>
                            <a:off x="15398" y="6306"/>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27CC173">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pacing w:val="11"/>
                                  <w:sz w:val="24"/>
                                  <w:szCs w:val="24"/>
                                  <w:lang w:val="en-US" w:eastAsia="zh-CN"/>
                                </w:rPr>
                                <w:t>市住房和城乡建设局</w:t>
                              </w:r>
                            </w:p>
                          </w:txbxContent>
                        </wps:txbx>
                        <wps:bodyPr rot="0" spcFirstLastPara="0" vertOverflow="overflow" horzOverflow="overflow" vert="eaVert" wrap="square" lIns="0" tIns="0" rIns="0" bIns="0" numCol="1" spcCol="0" rtlCol="0" fromWordArt="0" anchor="t" anchorCtr="0" forceAA="0" compatLnSpc="1">
                          <a:noAutofit/>
                        </wps:bodyPr>
                      </wps:wsp>
                      <wps:wsp>
                        <wps:cNvPr id="11" name="文本框 11"/>
                        <wps:cNvSpPr txBox="1"/>
                        <wps:spPr>
                          <a:xfrm>
                            <a:off x="16138" y="6302"/>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388A950">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pacing w:val="11"/>
                                  <w:sz w:val="24"/>
                                  <w:szCs w:val="24"/>
                                  <w:lang w:val="en-US" w:eastAsia="zh-CN"/>
                                </w:rPr>
                                <w:t>市城市管理和综合执法局</w:t>
                              </w:r>
                            </w:p>
                          </w:txbxContent>
                        </wps:txbx>
                        <wps:bodyPr rot="0" spcFirstLastPara="0" vertOverflow="overflow" horzOverflow="overflow" vert="eaVert" wrap="square" lIns="0" tIns="0" rIns="0" bIns="0" numCol="1" spcCol="0" rtlCol="0" fromWordArt="0" anchor="t" anchorCtr="0" forceAA="0" compatLnSpc="1">
                          <a:noAutofit/>
                        </wps:bodyPr>
                      </wps:wsp>
                      <wps:wsp>
                        <wps:cNvPr id="10" name="文本框 10"/>
                        <wps:cNvSpPr txBox="1"/>
                        <wps:spPr>
                          <a:xfrm>
                            <a:off x="17181" y="6306"/>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500DED2">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市交通运输局</w:t>
                              </w:r>
                            </w:p>
                          </w:txbxContent>
                        </wps:txbx>
                        <wps:bodyPr rot="0" spcFirstLastPara="0" vertOverflow="overflow" horzOverflow="overflow" vert="eaVert" wrap="square" lIns="0" tIns="0" rIns="0" bIns="0" numCol="1" spcCol="0" rtlCol="0" fromWordArt="0" anchor="t" anchorCtr="0" forceAA="0" compatLnSpc="1">
                          <a:noAutofit/>
                        </wps:bodyPr>
                      </wps:wsp>
                      <wps:wsp>
                        <wps:cNvPr id="12" name="文本框 12"/>
                        <wps:cNvSpPr txBox="1"/>
                        <wps:spPr>
                          <a:xfrm>
                            <a:off x="17921" y="6303"/>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7B2B279">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市教育局</w:t>
                              </w:r>
                            </w:p>
                          </w:txbxContent>
                        </wps:txbx>
                        <wps:bodyPr rot="0" spcFirstLastPara="0" vertOverflow="overflow" horzOverflow="overflow" vert="eaVert" wrap="square" lIns="0" tIns="0" rIns="0" bIns="0" numCol="1" spcCol="0" rtlCol="0" fromWordArt="0" anchor="t" anchorCtr="0" forceAA="0" compatLnSpc="1">
                          <a:noAutofit/>
                        </wps:bodyPr>
                      </wps:wsp>
                      <wps:wsp>
                        <wps:cNvPr id="13" name="文本框 13"/>
                        <wps:cNvSpPr txBox="1"/>
                        <wps:spPr>
                          <a:xfrm>
                            <a:off x="18661" y="6296"/>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F600C7E">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市财政局</w:t>
                              </w:r>
                            </w:p>
                          </w:txbxContent>
                        </wps:txbx>
                        <wps:bodyPr rot="0" spcFirstLastPara="0" vertOverflow="overflow" horzOverflow="overflow" vert="eaVert" wrap="square" lIns="0" tIns="0" rIns="0" bIns="0" numCol="1" spcCol="0" rtlCol="0" fromWordArt="0" anchor="t" anchorCtr="0" forceAA="0" compatLnSpc="1">
                          <a:noAutofit/>
                        </wps:bodyPr>
                      </wps:wsp>
                      <wps:wsp>
                        <wps:cNvPr id="15" name="文本框 15"/>
                        <wps:cNvSpPr txBox="1"/>
                        <wps:spPr>
                          <a:xfrm>
                            <a:off x="19401" y="6294"/>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78E782F">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市水利局</w:t>
                              </w:r>
                            </w:p>
                          </w:txbxContent>
                        </wps:txbx>
                        <wps:bodyPr rot="0" spcFirstLastPara="0" vertOverflow="overflow" horzOverflow="overflow" vert="eaVert" wrap="square" lIns="0" tIns="0" rIns="0" bIns="0" numCol="1" spcCol="0" rtlCol="0" fromWordArt="0" anchor="t" anchorCtr="0" forceAA="0" compatLnSpc="1">
                          <a:noAutofit/>
                        </wps:bodyPr>
                      </wps:wsp>
                      <wps:wsp>
                        <wps:cNvPr id="14" name="文本框 14"/>
                        <wps:cNvSpPr txBox="1"/>
                        <wps:spPr>
                          <a:xfrm>
                            <a:off x="20141" y="6298"/>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0AE657B">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市农业农村局</w:t>
                              </w:r>
                            </w:p>
                          </w:txbxContent>
                        </wps:txbx>
                        <wps:bodyPr rot="0" spcFirstLastPara="0" vertOverflow="overflow" horzOverflow="overflow" vert="eaVert" wrap="square" lIns="0" tIns="0" rIns="0" bIns="0" numCol="1" spcCol="0" rtlCol="0" fromWordArt="0" anchor="t" anchorCtr="0" forceAA="0" compatLnSpc="1">
                          <a:noAutofit/>
                        </wps:bodyPr>
                      </wps:wsp>
                      <wps:wsp>
                        <wps:cNvPr id="16" name="文本框 16"/>
                        <wps:cNvSpPr txBox="1"/>
                        <wps:spPr>
                          <a:xfrm>
                            <a:off x="20881" y="6293"/>
                            <a:ext cx="461" cy="3653"/>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74FEE79">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市委宣传部</w:t>
                              </w:r>
                            </w:p>
                          </w:txbxContent>
                        </wps:txbx>
                        <wps:bodyPr rot="0" spcFirstLastPara="0" vertOverflow="overflow" horzOverflow="overflow" vert="eaVert" wrap="square" lIns="0" tIns="0" rIns="0" bIns="0" numCol="1" spcCol="0" rtlCol="0" fromWordArt="0" anchor="t" anchorCtr="0" forceAA="0" compatLnSpc="1">
                          <a:noAutofit/>
                        </wps:bodyPr>
                      </wps:wsp>
                      <wps:wsp>
                        <wps:cNvPr id="18" name="文本框 18"/>
                        <wps:cNvSpPr txBox="1"/>
                        <wps:spPr>
                          <a:xfrm>
                            <a:off x="15436" y="4597"/>
                            <a:ext cx="2939" cy="659"/>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0A92F96">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市人民政府协管副主任、</w:t>
                              </w:r>
                            </w:p>
                            <w:p w14:paraId="0625440A">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市生环办副主任</w:t>
                              </w:r>
                            </w:p>
                          </w:txbxContent>
                        </wps:txbx>
                        <wps:bodyPr rot="0" spcFirstLastPara="0" vertOverflow="overflow" horzOverflow="overflow" vert="horz" wrap="square" lIns="0" tIns="0" rIns="0" bIns="0" numCol="1" spcCol="0" rtlCol="0" fromWordArt="0" anchor="t" anchorCtr="0" forceAA="0" compatLnSpc="1">
                          <a:noAutofit/>
                        </wps:bodyPr>
                      </wps:wsp>
                      <wps:wsp>
                        <wps:cNvPr id="19" name="直接箭头连接符 19"/>
                        <wps:cNvCnPr/>
                        <wps:spPr>
                          <a:xfrm>
                            <a:off x="16899" y="4019"/>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20" name="直接箭头连接符 20"/>
                        <wps:cNvCnPr/>
                        <wps:spPr>
                          <a:xfrm>
                            <a:off x="12105" y="5708"/>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21" name="直接连接符 21"/>
                        <wps:cNvCnPr/>
                        <wps:spPr>
                          <a:xfrm>
                            <a:off x="12087" y="5696"/>
                            <a:ext cx="9028" cy="6"/>
                          </a:xfrm>
                          <a:prstGeom prst="line">
                            <a:avLst/>
                          </a:prstGeom>
                          <a:ln w="190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22" name="直接箭头连接符 22"/>
                        <wps:cNvCnPr/>
                        <wps:spPr>
                          <a:xfrm>
                            <a:off x="12759" y="5708"/>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23" name="直接箭头连接符 23"/>
                        <wps:cNvCnPr/>
                        <wps:spPr>
                          <a:xfrm>
                            <a:off x="13450" y="5715"/>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24" name="直接箭头连接符 24"/>
                        <wps:cNvCnPr/>
                        <wps:spPr>
                          <a:xfrm>
                            <a:off x="14164" y="5714"/>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25" name="直接箭头连接符 25"/>
                        <wps:cNvCnPr/>
                        <wps:spPr>
                          <a:xfrm>
                            <a:off x="14884" y="5707"/>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26" name="直接箭头连接符 26"/>
                        <wps:cNvCnPr/>
                        <wps:spPr>
                          <a:xfrm>
                            <a:off x="15619" y="5722"/>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27" name="直接箭头连接符 27"/>
                        <wps:cNvCnPr/>
                        <wps:spPr>
                          <a:xfrm>
                            <a:off x="16348" y="5714"/>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34" name="直接箭头连接符 34"/>
                        <wps:cNvCnPr/>
                        <wps:spPr>
                          <a:xfrm>
                            <a:off x="21103" y="5708"/>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39" name="文本框 39"/>
                        <wps:cNvSpPr txBox="1"/>
                        <wps:spPr>
                          <a:xfrm>
                            <a:off x="15855" y="13011"/>
                            <a:ext cx="2136" cy="12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70C84EE">
                              <w:pPr>
                                <w:keepNext w:val="0"/>
                                <w:keepLines w:val="0"/>
                                <w:pageBreakBefore w:val="0"/>
                                <w:widowControl w:val="0"/>
                                <w:kinsoku/>
                                <w:wordWrap/>
                                <w:overflowPunct/>
                                <w:topLinePunct w:val="0"/>
                                <w:bidi w:val="0"/>
                                <w:adjustRightInd/>
                                <w:snapToGrid/>
                                <w:spacing w:line="120" w:lineRule="exact"/>
                                <w:textAlignment w:val="auto"/>
                                <w:rPr>
                                  <w:rFonts w:hint="eastAsia"/>
                                  <w:lang w:val="en-US" w:eastAsia="zh-CN"/>
                                </w:rPr>
                              </w:pPr>
                            </w:p>
                            <w:p w14:paraId="5DE4ED09">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各乡镇人民政府、</w:t>
                              </w:r>
                            </w:p>
                            <w:p w14:paraId="5554194B">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街道办事处，</w:t>
                              </w:r>
                            </w:p>
                            <w:p w14:paraId="36550C43">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经开区管委会</w:t>
                              </w:r>
                            </w:p>
                          </w:txbxContent>
                        </wps:txbx>
                        <wps:bodyPr rot="0" spcFirstLastPara="0" vertOverflow="overflow" horzOverflow="overflow" vert="horz" wrap="square" lIns="0" tIns="0" rIns="0" bIns="0" numCol="1" spcCol="0" rtlCol="0" fromWordArt="0" anchor="t" anchorCtr="0" forceAA="0" compatLnSpc="1">
                          <a:noAutofit/>
                        </wps:bodyPr>
                      </wps:wsp>
                      <wps:wsp>
                        <wps:cNvPr id="29" name="直接箭头连接符 29"/>
                        <wps:cNvCnPr/>
                        <wps:spPr>
                          <a:xfrm>
                            <a:off x="17403" y="5715"/>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42" name="直接箭头连接符 42"/>
                        <wps:cNvCnPr/>
                        <wps:spPr>
                          <a:xfrm>
                            <a:off x="16915" y="11421"/>
                            <a:ext cx="0" cy="1590"/>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43" name="直接箭头连接符 43"/>
                        <wps:cNvCnPr/>
                        <wps:spPr>
                          <a:xfrm>
                            <a:off x="20280" y="12397"/>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30" name="直接箭头连接符 30"/>
                        <wps:cNvCnPr/>
                        <wps:spPr>
                          <a:xfrm>
                            <a:off x="18103" y="5708"/>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31" name="直接箭头连接符 31"/>
                        <wps:cNvCnPr/>
                        <wps:spPr>
                          <a:xfrm>
                            <a:off x="18838" y="5708"/>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32" name="直接箭头连接符 32"/>
                        <wps:cNvCnPr/>
                        <wps:spPr>
                          <a:xfrm>
                            <a:off x="19646" y="5722"/>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33" name="直接箭头连接符 33"/>
                        <wps:cNvCnPr/>
                        <wps:spPr>
                          <a:xfrm>
                            <a:off x="20353" y="5715"/>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35" name="直接箭头连接符 35"/>
                        <wps:cNvCnPr/>
                        <wps:spPr>
                          <a:xfrm flipH="1">
                            <a:off x="16874" y="5261"/>
                            <a:ext cx="12" cy="5580"/>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36" name="文本框 36"/>
                        <wps:cNvSpPr txBox="1"/>
                        <wps:spPr>
                          <a:xfrm>
                            <a:off x="15127" y="10868"/>
                            <a:ext cx="3505" cy="54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2D10DE3">
                              <w:pPr>
                                <w:keepNext w:val="0"/>
                                <w:keepLines w:val="0"/>
                                <w:pageBreakBefore w:val="0"/>
                                <w:widowControl w:val="0"/>
                                <w:kinsoku/>
                                <w:wordWrap/>
                                <w:overflowPunct/>
                                <w:topLinePunct w:val="0"/>
                                <w:bidi w:val="0"/>
                                <w:adjustRightInd/>
                                <w:snapToGrid/>
                                <w:spacing w:line="46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市指挥部办公室（设市生环办）</w:t>
                              </w:r>
                            </w:p>
                          </w:txbxContent>
                        </wps:txbx>
                        <wps:bodyPr rot="0" spcFirstLastPara="0" vertOverflow="overflow" horzOverflow="overflow" vert="horz" wrap="square" lIns="0" tIns="0" rIns="0" bIns="0" numCol="1" spcCol="0" rtlCol="0" fromWordArt="0" anchor="t" anchorCtr="0" forceAA="0" compatLnSpc="1">
                          <a:noAutofit/>
                        </wps:bodyPr>
                      </wps:wsp>
                      <wps:wsp>
                        <wps:cNvPr id="37" name="文本框 37"/>
                        <wps:cNvSpPr txBox="1"/>
                        <wps:spPr>
                          <a:xfrm>
                            <a:off x="12092" y="13002"/>
                            <a:ext cx="2325" cy="612"/>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585AF28">
                              <w:pPr>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相关部门应急指挥部</w:t>
                              </w:r>
                            </w:p>
                          </w:txbxContent>
                        </wps:txbx>
                        <wps:bodyPr rot="0" spcFirstLastPara="0" vertOverflow="overflow" horzOverflow="overflow" vert="horz" wrap="square" lIns="0" tIns="0" rIns="0" bIns="0" numCol="1" spcCol="0" rtlCol="0" fromWordArt="0" anchor="t" anchorCtr="0" forceAA="0" compatLnSpc="1">
                          <a:noAutofit/>
                        </wps:bodyPr>
                      </wps:wsp>
                      <wps:wsp>
                        <wps:cNvPr id="40" name="文本框 40"/>
                        <wps:cNvSpPr txBox="1"/>
                        <wps:spPr>
                          <a:xfrm>
                            <a:off x="19211" y="12993"/>
                            <a:ext cx="2134" cy="546"/>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1E51817">
                              <w:pPr>
                                <w:keepNext w:val="0"/>
                                <w:keepLines w:val="0"/>
                                <w:pageBreakBefore w:val="0"/>
                                <w:widowControl w:val="0"/>
                                <w:kinsoku/>
                                <w:wordWrap/>
                                <w:overflowPunct/>
                                <w:topLinePunct w:val="0"/>
                                <w:bidi w:val="0"/>
                                <w:adjustRightInd/>
                                <w:snapToGrid/>
                                <w:spacing w:line="46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重点废气排放企业</w:t>
                              </w:r>
                            </w:p>
                          </w:txbxContent>
                        </wps:txbx>
                        <wps:bodyPr rot="0" spcFirstLastPara="0" vertOverflow="overflow" horzOverflow="overflow" vert="horz" wrap="square" lIns="0" tIns="0" rIns="0" bIns="0" numCol="1" spcCol="0" rtlCol="0" fromWordArt="0" anchor="t" anchorCtr="0" forceAA="0" compatLnSpc="1">
                          <a:noAutofit/>
                        </wps:bodyPr>
                      </wps:wsp>
                      <wps:wsp>
                        <wps:cNvPr id="41" name="直接箭头连接符 41"/>
                        <wps:cNvCnPr/>
                        <wps:spPr>
                          <a:xfrm>
                            <a:off x="13249" y="12407"/>
                            <a:ext cx="0" cy="586"/>
                          </a:xfrm>
                          <a:prstGeom prst="straightConnector1">
                            <a:avLst/>
                          </a:prstGeom>
                          <a:ln w="19050" cmpd="sng">
                            <a:solidFill>
                              <a:schemeClr val="tx1"/>
                            </a:solidFill>
                            <a:prstDash val="solid"/>
                            <a:tailEnd type="triangle"/>
                          </a:ln>
                        </wps:spPr>
                        <wps:style>
                          <a:lnRef idx="2">
                            <a:schemeClr val="accent1"/>
                          </a:lnRef>
                          <a:fillRef idx="0">
                            <a:srgbClr val="FFFFFF"/>
                          </a:fillRef>
                          <a:effectRef idx="0">
                            <a:srgbClr val="FFFFFF"/>
                          </a:effectRef>
                          <a:fontRef idx="minor">
                            <a:schemeClr val="tx1"/>
                          </a:fontRef>
                        </wps:style>
                        <wps:bodyPr/>
                      </wps:wsp>
                      <wps:wsp>
                        <wps:cNvPr id="44" name="直接连接符 44"/>
                        <wps:cNvCnPr/>
                        <wps:spPr>
                          <a:xfrm flipV="1">
                            <a:off x="13231" y="12397"/>
                            <a:ext cx="7067" cy="5"/>
                          </a:xfrm>
                          <a:prstGeom prst="line">
                            <a:avLst/>
                          </a:prstGeom>
                          <a:ln w="1905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51" name="文本框 45"/>
                        <wps:cNvSpPr txBox="1"/>
                        <wps:spPr>
                          <a:xfrm>
                            <a:off x="13920" y="14877"/>
                            <a:ext cx="5764" cy="54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4DAE9E">
                              <w:pPr>
                                <w:keepNext w:val="0"/>
                                <w:keepLines w:val="0"/>
                                <w:pageBreakBefore w:val="0"/>
                                <w:widowControl w:val="0"/>
                                <w:kinsoku/>
                                <w:wordWrap/>
                                <w:overflowPunct/>
                                <w:topLinePunct w:val="0"/>
                                <w:bidi w:val="0"/>
                                <w:adjustRightInd/>
                                <w:snapToGrid/>
                                <w:spacing w:line="460" w:lineRule="exact"/>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图1 湘乡市重污染天气应急指挥组织体系框架图</w:t>
                              </w:r>
                            </w:p>
                          </w:txbxContent>
                        </wps:txbx>
                        <wps:bodyPr rot="0" spcFirstLastPara="0" vertOverflow="overflow" horzOverflow="overflow" vert="horz" wrap="square" lIns="0" tIns="0" rIns="0" bIns="0" numCol="1" spcCol="0" rtlCol="0" fromWordArt="0" anchor="t" anchorCtr="0" forceAA="0" compatLnSpc="1">
                          <a:noAutofit/>
                        </wps:bodyPr>
                      </wps:wsp>
                    </wpg:wgp>
                  </a:graphicData>
                </a:graphic>
              </wp:anchor>
            </w:drawing>
          </mc:Choice>
          <mc:Fallback>
            <w:pict>
              <v:group id="_x0000_s1026" o:spid="_x0000_s1026" o:spt="203" style="position:absolute;left:0pt;margin-left:-25.3pt;margin-top:-40.45pt;height:652.65pt;width:474.1pt;z-index:251659264;mso-width-relative:page;mso-height-relative:page;" coordorigin="11863,2370" coordsize="9482,13053" o:gfxdata="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">
                <o:lock v:ext="edit" aspectratio="f"/>
                <v:shape id="_x0000_s1026" o:spid="_x0000_s1026" o:spt="202" type="#_x0000_t202" style="position:absolute;left:16046;top:2370;height:546;width:1706;" fillcolor="#FFFFFF [3201]" filled="t" stroked="t" coordsize="21600,21600" o:gfxdata="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2OHM7gAAADaAAAA&#10;DwAAAAAAAAABACAAAAAiAAAAZHJzL2Rvd25yZXYueG1sUEsBAhQAFAAAAAgAh07iQDMvBZ47AAAA&#10;OQAAABAAAAAAAAAAAQAgAAAABwEAAGRycy9zaGFwZXhtbC54bWxQSwUGAAAAAAYABgBbAQAAsQMA&#10;AAAA&#10;">
                  <v:fill on="t" focussize="0,0"/>
                  <v:stroke weight="0.5pt" color="#000000 [3204]" joinstyle="round"/>
                  <v:imagedata o:title=""/>
                  <o:lock v:ext="edit" aspectratio="f"/>
                  <v:textbox inset="0mm,0mm,0mm,0mm">
                    <w:txbxContent>
                      <w:p w14:paraId="7A01D694">
                        <w:pPr>
                          <w:keepNext w:val="0"/>
                          <w:keepLines w:val="0"/>
                          <w:pageBreakBefore w:val="0"/>
                          <w:widowControl w:val="0"/>
                          <w:kinsoku/>
                          <w:wordWrap/>
                          <w:overflowPunct/>
                          <w:topLinePunct w:val="0"/>
                          <w:bidi w:val="0"/>
                          <w:adjustRightInd/>
                          <w:snapToGrid/>
                          <w:spacing w:line="460" w:lineRule="exact"/>
                          <w:ind w:left="0" w:leftChars="0" w:firstLine="0" w:firstLineChars="0"/>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市指挥部</w:t>
                        </w:r>
                      </w:p>
                    </w:txbxContent>
                  </v:textbox>
                </v:shape>
                <v:shape id="_x0000_s1026" o:spid="_x0000_s1026" o:spt="202" type="#_x0000_t202" style="position:absolute;left:15157;top:3478;height:546;width:3505;" fillcolor="#FFFFFF [3201]" filled="t" stroked="t" coordsize="21600,21600" o:gfxdata="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xGUS8AAAA&#10;2gAAAA8AAAAAAAAAAQAgAAAAIgAAAGRycy9kb3ducmV2LnhtbFBLAQIUABQAAAAIAIdO4kAzLwWe&#10;OwAAADkAAAAQAAAAAAAAAAEAIAAAAAsBAABkcnMvc2hhcGV4bWwueG1sUEsFBgAAAAAGAAYAWwEA&#10;ALUDAAAAAA==&#10;">
                  <v:fill on="t" focussize="0,0"/>
                  <v:stroke weight="0.5pt" color="#000000 [3204]" joinstyle="round"/>
                  <v:imagedata o:title=""/>
                  <o:lock v:ext="edit" aspectratio="f"/>
                  <v:textbox inset="0mm,0mm,0mm,0mm">
                    <w:txbxContent>
                      <w:p w14:paraId="26CB05E1">
                        <w:pPr>
                          <w:keepNext w:val="0"/>
                          <w:keepLines w:val="0"/>
                          <w:pageBreakBefore w:val="0"/>
                          <w:widowControl w:val="0"/>
                          <w:kinsoku/>
                          <w:wordWrap/>
                          <w:overflowPunct/>
                          <w:topLinePunct w:val="0"/>
                          <w:bidi w:val="0"/>
                          <w:adjustRightInd/>
                          <w:snapToGrid/>
                          <w:spacing w:line="46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市人民政府分管副市长</w:t>
                        </w:r>
                      </w:p>
                    </w:txbxContent>
                  </v:textbox>
                </v:shape>
                <v:shape id="_x0000_s1026" o:spid="_x0000_s1026" o:spt="32" type="#_x0000_t32" style="position:absolute;left:16899;top:2916;height:586;width:0;" filled="f" stroked="t" coordsize="21600,21600" o:gfxdata="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McZ0LsAAADa&#10;AAAADwAAAAAAAAABACAAAAAiAAAAZHJzL2Rvd25yZXYueG1sUEsBAhQAFAAAAAgAh07iQDMvBZ47&#10;AAAAOQAAABAAAAAAAAAAAQAgAAAACgEAAGRycy9zaGFwZXhtbC54bWxQSwUGAAAAAAYABgBbAQAA&#10;tAMAAAAA&#10;">
                  <v:fill on="f" focussize="0,0"/>
                  <v:stroke weight="1.5pt" color="#000000 [3213]" joinstyle="round" endarrow="block"/>
                  <v:imagedata o:title=""/>
                  <o:lock v:ext="edit" aspectratio="f"/>
                </v:shape>
                <v:shape id="文本框 4" o:spid="_x0000_s1026" o:spt="202" type="#_x0000_t202" style="position:absolute;left:11863;top:6302;height:4043;width:461;" fillcolor="#FFFFFF [3201]" filled="t" stroked="t" coordsize="21600,21600" o:gfxdata="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xDuXLsAAADb&#10;AAAADwAAAAAAAAABACAAAAAiAAAAZHJzL2Rvd25yZXYueG1sUEsBAhQAFAAAAAgAh07iQDMvBZ47&#10;AAAAOQAAABAAAAAAAAAAAQAgAAAACgEAAGRycy9zaGFwZXhtbC54bWxQSwUGAAAAAAYABgBbAQAA&#10;tAMAAAAA&#10;">
                  <v:fill on="t" focussize="0,0"/>
                  <v:stroke weight="0.5pt" color="#000000 [3204]" joinstyle="round"/>
                  <v:imagedata o:title=""/>
                  <o:lock v:ext="edit" aspectratio="f"/>
                  <v:textbox inset="0mm,0mm,0mm,0mm" style="layout-flow:vertical-ideographic;">
                    <w:txbxContent>
                      <w:p w14:paraId="5B3BD87B">
                        <w:pPr>
                          <w:keepNext w:val="0"/>
                          <w:keepLines w:val="0"/>
                          <w:pageBreakBefore w:val="0"/>
                          <w:widowControl w:val="0"/>
                          <w:kinsoku/>
                          <w:wordWrap/>
                          <w:overflowPunct/>
                          <w:topLinePunct w:val="0"/>
                          <w:bidi w:val="0"/>
                          <w:adjustRightInd/>
                          <w:snapToGrid/>
                          <w:spacing w:line="480" w:lineRule="exact"/>
                          <w:ind w:left="0" w:leftChars="0" w:firstLine="0" w:firstLineChars="0"/>
                          <w:jc w:val="center"/>
                          <w:textAlignment w:val="auto"/>
                          <w:rPr>
                            <w:rFonts w:hint="eastAsia" w:ascii="黑体" w:hAnsi="黑体" w:eastAsia="黑体" w:cs="黑体"/>
                            <w:sz w:val="28"/>
                            <w:szCs w:val="28"/>
                            <w:lang w:val="en-US" w:eastAsia="zh-CN"/>
                          </w:rPr>
                        </w:pPr>
                        <w:r>
                          <w:rPr>
                            <w:rFonts w:hint="eastAsia" w:ascii="黑体" w:hAnsi="黑体" w:eastAsia="黑体" w:cs="黑体"/>
                            <w:spacing w:val="11"/>
                            <w:sz w:val="24"/>
                            <w:szCs w:val="24"/>
                            <w:lang w:val="en-US" w:eastAsia="zh-CN"/>
                          </w:rPr>
                          <w:t>湘潭市生态环境局湘乡分局</w:t>
                        </w:r>
                      </w:p>
                    </w:txbxContent>
                  </v:textbox>
                </v:shape>
                <v:shape id="_x0000_s1026" o:spid="_x0000_s1026" o:spt="202" type="#_x0000_t202" style="position:absolute;left:12528;top:6299;height:3653;width:461;" fillcolor="#FFFFFF [3201]" filled="t" stroked="t" coordsize="21600,21600" o:gfxdata="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3pFm68AAAA&#10;2gAAAA8AAAAAAAAAAQAgAAAAIgAAAGRycy9kb3ducmV2LnhtbFBLAQIUABQAAAAIAIdO4kAzLwWe&#10;OwAAADkAAAAQAAAAAAAAAAEAIAAAAAsBAABkcnMvc2hhcGV4bWwueG1sUEsFBgAAAAAGAAYAWwEA&#10;ALUDAAAAAA==&#10;">
                  <v:fill on="t" focussize="0,0"/>
                  <v:stroke weight="0.5pt" color="#000000 [3204]" joinstyle="round"/>
                  <v:imagedata o:title=""/>
                  <o:lock v:ext="edit" aspectratio="f"/>
                  <v:textbox inset="0mm,0mm,0mm,0mm" style="layout-flow:vertical-ideographic;">
                    <w:txbxContent>
                      <w:p w14:paraId="00C27795">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市卫生健康局</w:t>
                        </w:r>
                      </w:p>
                    </w:txbxContent>
                  </v:textbox>
                </v:shape>
                <v:shape id="_x0000_s1026" o:spid="_x0000_s1026" o:spt="202" type="#_x0000_t202" style="position:absolute;left:13223;top:6303;height:3653;width:461;" fillcolor="#FFFFFF [3201]" filled="t" stroked="t" coordsize="21600,21600" o:gfxdata="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O4gZvQAA&#10;ANoAAAAPAAAAAAAAAAEAIAAAACIAAABkcnMvZG93bnJldi54bWxQSwECFAAUAAAACACHTuJAMy8F&#10;njsAAAA5AAAAEAAAAAAAAAABACAAAAAMAQAAZHJzL3NoYXBleG1sLnhtbFBLBQYAAAAABgAGAFsB&#10;AAC2AwAAAAA=&#10;">
                  <v:fill on="t" focussize="0,0"/>
                  <v:stroke weight="0.5pt" color="#000000 [3204]" joinstyle="round"/>
                  <v:imagedata o:title=""/>
                  <o:lock v:ext="edit" aspectratio="f"/>
                  <v:textbox inset="0mm,0mm,0mm,0mm" style="layout-flow:vertical-ideographic;">
                    <w:txbxContent>
                      <w:p w14:paraId="6F0A2EA1">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市气象局</w:t>
                        </w:r>
                      </w:p>
                    </w:txbxContent>
                  </v:textbox>
                </v:shape>
                <v:shape id="_x0000_s1026" o:spid="_x0000_s1026" o:spt="202" type="#_x0000_t202" style="position:absolute;left:13948;top:6305;height:3653;width:461;" fillcolor="#FFFFFF [3201]" filled="t" stroked="t" coordsize="21600,21600" o:gfxdata="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pBxrvQAA&#10;ANoAAAAPAAAAAAAAAAEAIAAAACIAAABkcnMvZG93bnJldi54bWxQSwECFAAUAAAACACHTuJAMy8F&#10;njsAAAA5AAAAEAAAAAAAAAABACAAAAAMAQAAZHJzL3NoYXBleG1sLnhtbFBLBQYAAAAABgAGAFsB&#10;AAC2AwAAAAA=&#10;">
                  <v:fill on="t" focussize="0,0"/>
                  <v:stroke weight="0.5pt" color="#000000 [3204]" joinstyle="round"/>
                  <v:imagedata o:title=""/>
                  <o:lock v:ext="edit" aspectratio="f"/>
                  <v:textbox inset="0mm,0mm,0mm,0mm" style="layout-flow:vertical-ideographic;">
                    <w:txbxContent>
                      <w:p w14:paraId="1D991957">
                        <w:pPr>
                          <w:keepNext w:val="0"/>
                          <w:keepLines w:val="0"/>
                          <w:pageBreakBefore w:val="0"/>
                          <w:widowControl w:val="0"/>
                          <w:kinsoku/>
                          <w:wordWrap/>
                          <w:overflowPunct/>
                          <w:topLinePunct w:val="0"/>
                          <w:bidi w:val="0"/>
                          <w:adjustRightInd/>
                          <w:snapToGrid/>
                          <w:spacing w:line="440" w:lineRule="exact"/>
                          <w:jc w:val="both"/>
                          <w:textAlignment w:val="auto"/>
                          <w:rPr>
                            <w:rFonts w:hint="default" w:ascii="黑体" w:hAnsi="黑体" w:eastAsia="黑体" w:cs="黑体"/>
                            <w:sz w:val="28"/>
                            <w:szCs w:val="28"/>
                            <w:lang w:val="en-US" w:eastAsia="zh-CN"/>
                          </w:rPr>
                        </w:pPr>
                        <w:r>
                          <w:rPr>
                            <w:rFonts w:hint="eastAsia" w:ascii="黑体" w:hAnsi="黑体" w:eastAsia="黑体" w:cs="黑体"/>
                            <w:spacing w:val="11"/>
                            <w:sz w:val="24"/>
                            <w:szCs w:val="24"/>
                            <w:lang w:val="en-US" w:eastAsia="zh-CN"/>
                          </w:rPr>
                          <w:t>市科技和工业信息化局</w:t>
                        </w:r>
                      </w:p>
                    </w:txbxContent>
                  </v:textbox>
                </v:shape>
                <v:shape id="_x0000_s1026" o:spid="_x0000_s1026" o:spt="202" type="#_x0000_t202" style="position:absolute;left:14658;top:6302;height:3653;width:461;" fillcolor="#FFFFFF [3201]" filled="t" stroked="t" coordsize="21600,21600" o:gfxdata="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PoufC5AAAA2gAA&#10;AA8AAAAAAAAAAQAgAAAAIgAAAGRycy9kb3ducmV2LnhtbFBLAQIUABQAAAAIAIdO4kAzLwWeOwAA&#10;ADkAAAAQAAAAAAAAAAEAIAAAAAgBAABkcnMvc2hhcGV4bWwueG1sUEsFBgAAAAAGAAYAWwEAALID&#10;AAAAAA==&#10;">
                  <v:fill on="t" focussize="0,0"/>
                  <v:stroke weight="0.5pt" color="#000000 [3204]" joinstyle="round"/>
                  <v:imagedata o:title=""/>
                  <o:lock v:ext="edit" aspectratio="f"/>
                  <v:textbox inset="0mm,0mm,0mm,0mm" style="layout-flow:vertical-ideographic;">
                    <w:txbxContent>
                      <w:p w14:paraId="2120AF8E">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市公安局</w:t>
                        </w:r>
                      </w:p>
                    </w:txbxContent>
                  </v:textbox>
                </v:shape>
                <v:shape id="_x0000_s1026" o:spid="_x0000_s1026" o:spt="202" type="#_x0000_t202" style="position:absolute;left:15398;top:6306;height:3653;width:461;" fillcolor="#FFFFFF [3201]" filled="t" stroked="t" coordsize="21600,21600" o:gfxdata="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dy2CvQAA&#10;ANoAAAAPAAAAAAAAAAEAIAAAACIAAABkcnMvZG93bnJldi54bWxQSwECFAAUAAAACACHTuJAMy8F&#10;njsAAAA5AAAAEAAAAAAAAAABACAAAAAMAQAAZHJzL3NoYXBleG1sLnhtbFBLBQYAAAAABgAGAFsB&#10;AAC2AwAAAAA=&#10;">
                  <v:fill on="t" focussize="0,0"/>
                  <v:stroke weight="0.5pt" color="#000000 [3204]" joinstyle="round"/>
                  <v:imagedata o:title=""/>
                  <o:lock v:ext="edit" aspectratio="f"/>
                  <v:textbox inset="0mm,0mm,0mm,0mm" style="layout-flow:vertical-ideographic;">
                    <w:txbxContent>
                      <w:p w14:paraId="727CC173">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pacing w:val="11"/>
                            <w:sz w:val="24"/>
                            <w:szCs w:val="24"/>
                            <w:lang w:val="en-US" w:eastAsia="zh-CN"/>
                          </w:rPr>
                          <w:t>市住房和城乡建设局</w:t>
                        </w:r>
                      </w:p>
                    </w:txbxContent>
                  </v:textbox>
                </v:shape>
                <v:shape id="_x0000_s1026" o:spid="_x0000_s1026" o:spt="202" type="#_x0000_t202" style="position:absolute;left:16138;top:6302;height:3653;width:461;" fillcolor="#FFFFFF [3201]" filled="t" stroked="t" coordsize="21600,21600" o:gfxdata="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NvIHugAAANsA&#10;AAAPAAAAAAAAAAEAIAAAACIAAABkcnMvZG93bnJldi54bWxQSwECFAAUAAAACACHTuJAMy8FnjsA&#10;AAA5AAAAEAAAAAAAAAABACAAAAAJAQAAZHJzL3NoYXBleG1sLnhtbFBLBQYAAAAABgAGAFsBAACz&#10;AwAAAAA=&#10;">
                  <v:fill on="t" focussize="0,0"/>
                  <v:stroke weight="0.5pt" color="#000000 [3204]" joinstyle="round"/>
                  <v:imagedata o:title=""/>
                  <o:lock v:ext="edit" aspectratio="f"/>
                  <v:textbox inset="0mm,0mm,0mm,0mm" style="layout-flow:vertical-ideographic;">
                    <w:txbxContent>
                      <w:p w14:paraId="7388A950">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z w:val="28"/>
                            <w:szCs w:val="28"/>
                            <w:lang w:val="en-US" w:eastAsia="zh-CN"/>
                          </w:rPr>
                        </w:pPr>
                        <w:r>
                          <w:rPr>
                            <w:rFonts w:hint="eastAsia" w:ascii="黑体" w:hAnsi="黑体" w:eastAsia="黑体" w:cs="黑体"/>
                            <w:spacing w:val="11"/>
                            <w:sz w:val="24"/>
                            <w:szCs w:val="24"/>
                            <w:lang w:val="en-US" w:eastAsia="zh-CN"/>
                          </w:rPr>
                          <w:t>市城市管理和综合执法局</w:t>
                        </w:r>
                      </w:p>
                    </w:txbxContent>
                  </v:textbox>
                </v:shape>
                <v:shape id="_x0000_s1026" o:spid="_x0000_s1026" o:spt="202" type="#_x0000_t202" style="position:absolute;left:17181;top:6306;height:3653;width:461;" fillcolor="#FFFFFF [3201]" filled="t" stroked="t" coordsize="21600,21600" o:gfxdata="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XpXnL4A&#10;AADbAAAADwAAAAAAAAABACAAAAAiAAAAZHJzL2Rvd25yZXYueG1sUEsBAhQAFAAAAAgAh07iQDMv&#10;BZ47AAAAOQAAABAAAAAAAAAAAQAgAAAADQEAAGRycy9zaGFwZXhtbC54bWxQSwUGAAAAAAYABgBb&#10;AQAAtwMAAAAA&#10;">
                  <v:fill on="t" focussize="0,0"/>
                  <v:stroke weight="0.5pt" color="#000000 [3204]" joinstyle="round"/>
                  <v:imagedata o:title=""/>
                  <o:lock v:ext="edit" aspectratio="f"/>
                  <v:textbox inset="0mm,0mm,0mm,0mm" style="layout-flow:vertical-ideographic;">
                    <w:txbxContent>
                      <w:p w14:paraId="4500DED2">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市交通运输局</w:t>
                        </w:r>
                      </w:p>
                    </w:txbxContent>
                  </v:textbox>
                </v:shape>
                <v:shape id="_x0000_s1026" o:spid="_x0000_s1026" o:spt="202" type="#_x0000_t202" style="position:absolute;left:17921;top:6303;height:3653;width:461;" fillcolor="#FFFFFF [3201]" filled="t" stroked="t" coordsize="21600,21600" o:gfxdata="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bkbHC5AAAA2wAA&#10;AA8AAAAAAAAAAQAgAAAAIgAAAGRycy9kb3ducmV2LnhtbFBLAQIUABQAAAAIAIdO4kAzLwWeOwAA&#10;ADkAAAAQAAAAAAAAAAEAIAAAAAgBAABkcnMvc2hhcGV4bWwueG1sUEsFBgAAAAAGAAYAWwEAALID&#10;AAAAAA==&#10;">
                  <v:fill on="t" focussize="0,0"/>
                  <v:stroke weight="0.5pt" color="#000000 [3204]" joinstyle="round"/>
                  <v:imagedata o:title=""/>
                  <o:lock v:ext="edit" aspectratio="f"/>
                  <v:textbox inset="0mm,0mm,0mm,0mm" style="layout-flow:vertical-ideographic;">
                    <w:txbxContent>
                      <w:p w14:paraId="77B2B279">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市教育局</w:t>
                        </w:r>
                      </w:p>
                    </w:txbxContent>
                  </v:textbox>
                </v:shape>
                <v:shape id="_x0000_s1026" o:spid="_x0000_s1026" o:spt="202" type="#_x0000_t202" style="position:absolute;left:18661;top:6296;height:3653;width:461;" fillcolor="#FFFFFF [3201]" filled="t" stroked="t" coordsize="21600,21600" o:gfxdata="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oyeu8AAAA&#10;2wAAAA8AAAAAAAAAAQAgAAAAIgAAAGRycy9kb3ducmV2LnhtbFBLAQIUABQAAAAIAIdO4kAzLwWe&#10;OwAAADkAAAAQAAAAAAAAAAEAIAAAAAsBAABkcnMvc2hhcGV4bWwueG1sUEsFBgAAAAAGAAYAWwEA&#10;ALUDAAAAAA==&#10;">
                  <v:fill on="t" focussize="0,0"/>
                  <v:stroke weight="0.5pt" color="#000000 [3204]" joinstyle="round"/>
                  <v:imagedata o:title=""/>
                  <o:lock v:ext="edit" aspectratio="f"/>
                  <v:textbox inset="0mm,0mm,0mm,0mm" style="layout-flow:vertical-ideographic;">
                    <w:txbxContent>
                      <w:p w14:paraId="0F600C7E">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市财政局</w:t>
                        </w:r>
                      </w:p>
                    </w:txbxContent>
                  </v:textbox>
                </v:shape>
                <v:shape id="_x0000_s1026" o:spid="_x0000_s1026" o:spt="202" type="#_x0000_t202" style="position:absolute;left:19401;top:6294;height:3653;width:461;" fillcolor="#FFFFFF [3201]" filled="t" stroked="t" coordsize="21600,21600" o:gfxdata="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ZDfQEugAAANsA&#10;AAAPAAAAAAAAAAEAIAAAACIAAABkcnMvZG93bnJldi54bWxQSwECFAAUAAAACACHTuJAMy8FnjsA&#10;AAA5AAAAEAAAAAAAAAABACAAAAAJAQAAZHJzL3NoYXBleG1sLnhtbFBLBQYAAAAABgAGAFsBAACz&#10;AwAAAAA=&#10;">
                  <v:fill on="t" focussize="0,0"/>
                  <v:stroke weight="0.5pt" color="#000000 [3204]" joinstyle="round"/>
                  <v:imagedata o:title=""/>
                  <o:lock v:ext="edit" aspectratio="f"/>
                  <v:textbox inset="0mm,0mm,0mm,0mm" style="layout-flow:vertical-ideographic;">
                    <w:txbxContent>
                      <w:p w14:paraId="178E782F">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市水利局</w:t>
                        </w:r>
                      </w:p>
                    </w:txbxContent>
                  </v:textbox>
                </v:shape>
                <v:shape id="_x0000_s1026" o:spid="_x0000_s1026" o:spt="202" type="#_x0000_t202" style="position:absolute;left:20141;top:6298;height:3653;width:461;" fillcolor="#FFFFFF [3201]" filled="t" stroked="t" coordsize="21600,21600" o:gfxdata="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ZBUZ+8AAAA&#10;2wAAAA8AAAAAAAAAAQAgAAAAIgAAAGRycy9kb3ducmV2LnhtbFBLAQIUABQAAAAIAIdO4kAzLwWe&#10;OwAAADkAAAAQAAAAAAAAAAEAIAAAAAsBAABkcnMvc2hhcGV4bWwueG1sUEsFBgAAAAAGAAYAWwEA&#10;ALUDAAAAAA==&#10;">
                  <v:fill on="t" focussize="0,0"/>
                  <v:stroke weight="0.5pt" color="#000000 [3204]" joinstyle="round"/>
                  <v:imagedata o:title=""/>
                  <o:lock v:ext="edit" aspectratio="f"/>
                  <v:textbox inset="0mm,0mm,0mm,0mm" style="layout-flow:vertical-ideographic;">
                    <w:txbxContent>
                      <w:p w14:paraId="00AE657B">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市农业农村局</w:t>
                        </w:r>
                      </w:p>
                    </w:txbxContent>
                  </v:textbox>
                </v:shape>
                <v:shape id="_x0000_s1026" o:spid="_x0000_s1026" o:spt="202" type="#_x0000_t202" style="position:absolute;left:20881;top:6293;height:3653;width:461;" fillcolor="#FFFFFF [3201]" filled="t" stroked="t" coordsize="21600,21600" o:gfxdata="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d9qc7sAAADb&#10;AAAADwAAAAAAAAABACAAAAAiAAAAZHJzL2Rvd25yZXYueG1sUEsBAhQAFAAAAAgAh07iQDMvBZ47&#10;AAAAOQAAABAAAAAAAAAAAQAgAAAACgEAAGRycy9zaGFwZXhtbC54bWxQSwUGAAAAAAYABgBbAQAA&#10;tAMAAAAA&#10;">
                  <v:fill on="t" focussize="0,0"/>
                  <v:stroke weight="0.5pt" color="#000000 [3204]" joinstyle="round"/>
                  <v:imagedata o:title=""/>
                  <o:lock v:ext="edit" aspectratio="f"/>
                  <v:textbox inset="0mm,0mm,0mm,0mm" style="layout-flow:vertical-ideographic;">
                    <w:txbxContent>
                      <w:p w14:paraId="274FEE79">
                        <w:pPr>
                          <w:keepNext w:val="0"/>
                          <w:keepLines w:val="0"/>
                          <w:pageBreakBefore w:val="0"/>
                          <w:widowControl w:val="0"/>
                          <w:kinsoku/>
                          <w:wordWrap/>
                          <w:overflowPunct/>
                          <w:topLinePunct w:val="0"/>
                          <w:bidi w:val="0"/>
                          <w:adjustRightInd/>
                          <w:snapToGrid/>
                          <w:spacing w:line="440" w:lineRule="exact"/>
                          <w:ind w:left="0" w:leftChars="0" w:firstLine="0" w:firstLineChars="0"/>
                          <w:jc w:val="center"/>
                          <w:textAlignment w:val="auto"/>
                          <w:rPr>
                            <w:rFonts w:hint="default" w:ascii="黑体" w:hAnsi="黑体" w:eastAsia="黑体" w:cs="黑体"/>
                            <w:spacing w:val="11"/>
                            <w:sz w:val="24"/>
                            <w:szCs w:val="24"/>
                            <w:lang w:val="en-US" w:eastAsia="zh-CN"/>
                          </w:rPr>
                        </w:pPr>
                        <w:r>
                          <w:rPr>
                            <w:rFonts w:hint="eastAsia" w:ascii="黑体" w:hAnsi="黑体" w:eastAsia="黑体" w:cs="黑体"/>
                            <w:spacing w:val="11"/>
                            <w:sz w:val="24"/>
                            <w:szCs w:val="24"/>
                            <w:lang w:val="en-US" w:eastAsia="zh-CN"/>
                          </w:rPr>
                          <w:t>市委宣传部</w:t>
                        </w:r>
                      </w:p>
                    </w:txbxContent>
                  </v:textbox>
                </v:shape>
                <v:shape id="_x0000_s1026" o:spid="_x0000_s1026" o:spt="202" type="#_x0000_t202" style="position:absolute;left:15436;top:4597;height:659;width:2939;" fillcolor="#FFFFFF [3201]" filled="t" stroked="t" coordsize="21600,21600" o:gfxdata="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ZAwJvQAA&#10;ANsAAAAPAAAAAAAAAAEAIAAAACIAAABkcnMvZG93bnJldi54bWxQSwECFAAUAAAACACHTuJAMy8F&#10;njsAAAA5AAAAEAAAAAAAAAABACAAAAAMAQAAZHJzL3NoYXBleG1sLnhtbFBLBQYAAAAABgAGAFsB&#10;AAC2AwAAAAA=&#10;">
                  <v:fill on="t" focussize="0,0"/>
                  <v:stroke weight="0.5pt" color="#000000 [3204]" joinstyle="round"/>
                  <v:imagedata o:title=""/>
                  <o:lock v:ext="edit" aspectratio="f"/>
                  <v:textbox inset="0mm,0mm,0mm,0mm">
                    <w:txbxContent>
                      <w:p w14:paraId="50A92F96">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市人民政府协管副主任、</w:t>
                        </w:r>
                      </w:p>
                      <w:p w14:paraId="0625440A">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市生环办副主任</w:t>
                        </w:r>
                      </w:p>
                    </w:txbxContent>
                  </v:textbox>
                </v:shape>
                <v:shape id="_x0000_s1026" o:spid="_x0000_s1026" o:spt="32" type="#_x0000_t32" style="position:absolute;left:16899;top:4019;height:586;width:0;" filled="f" stroked="t" coordsize="21600,21600" o:gfxdata="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OjaaSugAAANsA&#10;AAAPAAAAAAAAAAEAIAAAACIAAABkcnMvZG93bnJldi54bWxQSwECFAAUAAAACACHTuJAMy8FnjsA&#10;AAA5AAAAEAAAAAAAAAABACAAAAAJAQAAZHJzL3NoYXBleG1sLnhtbFBLBQYAAAAABgAGAFsBAACz&#10;AwAAAAA=&#10;">
                  <v:fill on="f" focussize="0,0"/>
                  <v:stroke weight="1.5pt" color="#000000 [3213]" joinstyle="round" endarrow="block"/>
                  <v:imagedata o:title=""/>
                  <o:lock v:ext="edit" aspectratio="f"/>
                </v:shape>
                <v:shape id="_x0000_s1026" o:spid="_x0000_s1026" o:spt="32" type="#_x0000_t32" style="position:absolute;left:12105;top:5708;height:586;width:0;" filled="f" stroked="t" coordsize="21600,21600" o:gfxdata="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HbxbK5AAAA2wAA&#10;AA8AAAAAAAAAAQAgAAAAIgAAAGRycy9kb3ducmV2LnhtbFBLAQIUABQAAAAIAIdO4kAzLwWeOwAA&#10;ADkAAAAQAAAAAAAAAAEAIAAAAAgBAABkcnMvc2hhcGV4bWwueG1sUEsFBgAAAAAGAAYAWwEAALID&#10;AAAAAA==&#10;">
                  <v:fill on="f" focussize="0,0"/>
                  <v:stroke weight="1.5pt" color="#000000 [3213]" joinstyle="round" endarrow="block"/>
                  <v:imagedata o:title=""/>
                  <o:lock v:ext="edit" aspectratio="f"/>
                </v:shape>
                <v:line id="_x0000_s1026" o:spid="_x0000_s1026" o:spt="20" style="position:absolute;left:12087;top:5696;height:6;width:9028;" filled="f" stroked="t" coordsize="21600,21600" o:gfxdata="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2GCi8AAAA&#10;2wAAAA8AAAAAAAAAAQAgAAAAIgAAAGRycy9kb3ducmV2LnhtbFBLAQIUABQAAAAIAIdO4kAzLwWe&#10;OwAAADkAAAAQAAAAAAAAAAEAIAAAAAsBAABkcnMvc2hhcGV4bWwueG1sUEsFBgAAAAAGAAYAWwEA&#10;ALUDAAAAAA==&#10;">
                  <v:fill on="f" focussize="0,0"/>
                  <v:stroke weight="1.5pt" color="#000000 [3213]" joinstyle="round"/>
                  <v:imagedata o:title=""/>
                  <o:lock v:ext="edit" aspectratio="f"/>
                </v:line>
                <v:shape id="_x0000_s1026" o:spid="_x0000_s1026" o:spt="32" type="#_x0000_t32" style="position:absolute;left:12759;top:5708;height:586;width:0;" filled="f" stroked="t" coordsize="21600,21600" o:gfxdata="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5F/l6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13450;top:5715;height:586;width:0;" filled="f" stroked="t" coordsize="21600,21600" o:gfxdata="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JW8W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14164;top:5714;height:586;width:0;" filled="f" stroked="t" coordsize="21600,21600" o:gfxdata="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7gw7G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14884;top:5707;height:586;width:0;" filled="f" stroked="t" coordsize="21600,21600" o:gfxdata="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sZiq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15619;top:5722;height:586;width:0;" filled="f" stroked="t" coordsize="21600,21600" o:gfxdata="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X74XbsAAADb&#10;AAAADwAAAAAAAAABACAAAAAiAAAAZHJzL2Rvd25yZXYueG1sUEsBAhQAFAAAAAgAh07iQDMvBZ47&#10;AAAAOQAAABAAAAAAAAAAAQAgAAAACgEAAGRycy9zaGFwZXhtbC54bWxQSwUGAAAAAAYABgBbAQAA&#10;tAMAAAAA&#10;">
                  <v:fill on="f" focussize="0,0"/>
                  <v:stroke weight="1.5pt" color="#000000 [3213]" joinstyle="round" endarrow="block"/>
                  <v:imagedata o:title=""/>
                  <o:lock v:ext="edit" aspectratio="f"/>
                </v:shape>
                <v:shape id="_x0000_s1026" o:spid="_x0000_s1026" o:spt="32" type="#_x0000_t32" style="position:absolute;left:16348;top:5714;height:586;width:0;" filled="f" stroked="t" coordsize="21600,21600" o:gfxdata="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4yXca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21103;top:5708;height:586;width:0;" filled="f" stroked="t" coordsize="21600,21600" o:gfxdata="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s5VWy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202" type="#_x0000_t202" style="position:absolute;left:15855;top:13011;height:1267;width:2136;" fillcolor="#FFFFFF [3201]" filled="t" stroked="t" coordsize="21600,21600" o:gfxdata="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fXyvQAA&#10;ANsAAAAPAAAAAAAAAAEAIAAAACIAAABkcnMvZG93bnJldi54bWxQSwECFAAUAAAACACHTuJAMy8F&#10;njsAAAA5AAAAEAAAAAAAAAABACAAAAAMAQAAZHJzL3NoYXBleG1sLnhtbFBLBQYAAAAABgAGAFsB&#10;AAC2AwAAAAA=&#10;">
                  <v:fill on="t" focussize="0,0"/>
                  <v:stroke weight="0.5pt" color="#000000 [3204]" joinstyle="round"/>
                  <v:imagedata o:title=""/>
                  <o:lock v:ext="edit" aspectratio="f"/>
                  <v:textbox inset="0mm,0mm,0mm,0mm">
                    <w:txbxContent>
                      <w:p w14:paraId="270C84EE">
                        <w:pPr>
                          <w:keepNext w:val="0"/>
                          <w:keepLines w:val="0"/>
                          <w:pageBreakBefore w:val="0"/>
                          <w:widowControl w:val="0"/>
                          <w:kinsoku/>
                          <w:wordWrap/>
                          <w:overflowPunct/>
                          <w:topLinePunct w:val="0"/>
                          <w:bidi w:val="0"/>
                          <w:adjustRightInd/>
                          <w:snapToGrid/>
                          <w:spacing w:line="120" w:lineRule="exact"/>
                          <w:textAlignment w:val="auto"/>
                          <w:rPr>
                            <w:rFonts w:hint="eastAsia"/>
                            <w:lang w:val="en-US" w:eastAsia="zh-CN"/>
                          </w:rPr>
                        </w:pPr>
                      </w:p>
                      <w:p w14:paraId="5DE4ED09">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各乡镇人民政府、</w:t>
                        </w:r>
                      </w:p>
                      <w:p w14:paraId="5554194B">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街道办事处，</w:t>
                        </w:r>
                      </w:p>
                      <w:p w14:paraId="36550C43">
                        <w:pPr>
                          <w:keepNext w:val="0"/>
                          <w:keepLines w:val="0"/>
                          <w:pageBreakBefore w:val="0"/>
                          <w:widowControl w:val="0"/>
                          <w:kinsoku/>
                          <w:wordWrap/>
                          <w:overflowPunct/>
                          <w:topLinePunct w:val="0"/>
                          <w:bidi w:val="0"/>
                          <w:adjustRightInd/>
                          <w:snapToGrid/>
                          <w:spacing w:line="32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经开区管委会</w:t>
                        </w:r>
                      </w:p>
                    </w:txbxContent>
                  </v:textbox>
                </v:shape>
                <v:shape id="_x0000_s1026" o:spid="_x0000_s1026" o:spt="32" type="#_x0000_t32" style="position:absolute;left:17403;top:5715;height:586;width:0;" filled="f" stroked="t" coordsize="21600,21600" o:gfxdata="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DhbC+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16915;top:11421;height:1590;width:0;" filled="f" stroked="t" coordsize="21600,21600" o:gfxdata="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OaG/6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20280;top:12397;height:586;width:0;" filled="f" stroked="t" coordsize="21600,21600" o:gfxdata="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zWvmW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18103;top:5708;height:586;width:0;" filled="f" stroked="t" coordsize="21600,21600" o:gfxdata="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QCU2+5AAAA2wAA&#10;AA8AAAAAAAAAAQAgAAAAIgAAAGRycy9kb3ducmV2LnhtbFBLAQIUABQAAAAIAIdO4kAzLwWeOwAA&#10;ADkAAAAQAAAAAAAAAAEAIAAAAAgBAABkcnMvc2hhcGV4bWwueG1sUEsFBgAAAAAGAAYAWwEAALID&#10;AAAAAA==&#10;">
                  <v:fill on="f" focussize="0,0"/>
                  <v:stroke weight="1.5pt" color="#000000 [3213]" joinstyle="round" endarrow="block"/>
                  <v:imagedata o:title=""/>
                  <o:lock v:ext="edit" aspectratio="f"/>
                </v:shape>
                <v:shape id="_x0000_s1026" o:spid="_x0000_s1026" o:spt="32" type="#_x0000_t32" style="position:absolute;left:18838;top:5708;height:586;width:0;" filled="f" stroked="t" coordsize="21600,21600" o:gfxdata="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tO9vS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19646;top:5722;height:586;width:0;" filled="f" stroked="t" coordsize="21600,21600" o:gfxdata="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ucaIO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20353;top:5715;height:586;width:0;" filled="f" stroked="t" coordsize="21600,21600" o:gfxdata="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TQzRi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32" type="#_x0000_t32" style="position:absolute;left:16874;top:5261;flip:x;height:5580;width:12;" filled="f" stroked="t" coordsize="21600,21600" o:gfxdata="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dsNS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shape id="_x0000_s1026" o:spid="_x0000_s1026" o:spt="202" type="#_x0000_t202" style="position:absolute;left:15127;top:10868;height:546;width:3505;" fillcolor="#FFFFFF [3201]" filled="t" stroked="t" coordsize="21600,21600" o:gfxdata="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gJhgL4A&#10;AADbAAAADwAAAAAAAAABACAAAAAiAAAAZHJzL2Rvd25yZXYueG1sUEsBAhQAFAAAAAgAh07iQDMv&#10;BZ47AAAAOQAAABAAAAAAAAAAAQAgAAAADQEAAGRycy9zaGFwZXhtbC54bWxQSwUGAAAAAAYABgBb&#10;AQAAtwMAAAAA&#10;">
                  <v:fill on="t" focussize="0,0"/>
                  <v:stroke weight="0.5pt" color="#000000 [3204]" joinstyle="round"/>
                  <v:imagedata o:title=""/>
                  <o:lock v:ext="edit" aspectratio="f"/>
                  <v:textbox inset="0mm,0mm,0mm,0mm">
                    <w:txbxContent>
                      <w:p w14:paraId="62D10DE3">
                        <w:pPr>
                          <w:keepNext w:val="0"/>
                          <w:keepLines w:val="0"/>
                          <w:pageBreakBefore w:val="0"/>
                          <w:widowControl w:val="0"/>
                          <w:kinsoku/>
                          <w:wordWrap/>
                          <w:overflowPunct/>
                          <w:topLinePunct w:val="0"/>
                          <w:bidi w:val="0"/>
                          <w:adjustRightInd/>
                          <w:snapToGrid/>
                          <w:spacing w:line="46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市指挥部办公室（设市生环办）</w:t>
                        </w:r>
                      </w:p>
                    </w:txbxContent>
                  </v:textbox>
                </v:shape>
                <v:shape id="_x0000_s1026" o:spid="_x0000_s1026" o:spt="202" type="#_x0000_t202" style="position:absolute;left:12092;top:13002;height:612;width:2325;" fillcolor="#FFFFFF [3201]" filled="t" stroked="t" coordsize="21600,21600" o:gfxdata="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U7EG74A&#10;AADbAAAADwAAAAAAAAABACAAAAAiAAAAZHJzL2Rvd25yZXYueG1sUEsBAhQAFAAAAAgAh07iQDMv&#10;BZ47AAAAOQAAABAAAAAAAAAAAQAgAAAADQEAAGRycy9zaGFwZXhtbC54bWxQSwUGAAAAAAYABgBb&#10;AQAAtwMAAAAA&#10;">
                  <v:fill on="t" focussize="0,0"/>
                  <v:stroke weight="0.5pt" color="#000000 [3204]" joinstyle="round"/>
                  <v:imagedata o:title=""/>
                  <o:lock v:ext="edit" aspectratio="f"/>
                  <v:textbox inset="0mm,0mm,0mm,0mm">
                    <w:txbxContent>
                      <w:p w14:paraId="6585AF28">
                        <w:pPr>
                          <w:keepNext w:val="0"/>
                          <w:keepLines w:val="0"/>
                          <w:pageBreakBefore w:val="0"/>
                          <w:widowControl w:val="0"/>
                          <w:kinsoku/>
                          <w:wordWrap/>
                          <w:overflowPunct/>
                          <w:topLinePunct w:val="0"/>
                          <w:bidi w:val="0"/>
                          <w:adjustRightInd/>
                          <w:snapToGrid/>
                          <w:spacing w:line="50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相关部门应急指挥部</w:t>
                        </w:r>
                      </w:p>
                    </w:txbxContent>
                  </v:textbox>
                </v:shape>
                <v:shape id="_x0000_s1026" o:spid="_x0000_s1026" o:spt="202" type="#_x0000_t202" style="position:absolute;left:19211;top:12993;height:546;width:2134;" fillcolor="#FFFFFF [3201]" filled="t" stroked="t" coordsize="21600,21600" o:gfxdata="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2oS8StwAAANsAAAAP&#10;AAAAAAAAAAEAIAAAACIAAABkcnMvZG93bnJldi54bWxQSwECFAAUAAAACACHTuJAMy8FnjsAAAA5&#10;AAAAEAAAAAAAAAABACAAAAAGAQAAZHJzL3NoYXBleG1sLnhtbFBLBQYAAAAABgAGAFsBAACwAwAA&#10;AAA=&#10;">
                  <v:fill on="t" focussize="0,0"/>
                  <v:stroke weight="0.5pt" color="#000000 [3204]" joinstyle="round"/>
                  <v:imagedata o:title=""/>
                  <o:lock v:ext="edit" aspectratio="f"/>
                  <v:textbox inset="0mm,0mm,0mm,0mm">
                    <w:txbxContent>
                      <w:p w14:paraId="11E51817">
                        <w:pPr>
                          <w:keepNext w:val="0"/>
                          <w:keepLines w:val="0"/>
                          <w:pageBreakBefore w:val="0"/>
                          <w:widowControl w:val="0"/>
                          <w:kinsoku/>
                          <w:wordWrap/>
                          <w:overflowPunct/>
                          <w:topLinePunct w:val="0"/>
                          <w:bidi w:val="0"/>
                          <w:adjustRightInd/>
                          <w:snapToGrid/>
                          <w:spacing w:line="460" w:lineRule="exact"/>
                          <w:ind w:left="0" w:leftChars="0" w:firstLine="0" w:firstLineChars="0"/>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重点废气排放企业</w:t>
                        </w:r>
                      </w:p>
                    </w:txbxContent>
                  </v:textbox>
                </v:shape>
                <v:shape id="_x0000_s1026" o:spid="_x0000_s1026" o:spt="32" type="#_x0000_t32" style="position:absolute;left:13249;top:12407;height:586;width:0;" filled="f" stroked="t" coordsize="21600,21600" o:gfxdata="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NIhYm8AAAA&#10;2wAAAA8AAAAAAAAAAQAgAAAAIgAAAGRycy9kb3ducmV2LnhtbFBLAQIUABQAAAAIAIdO4kAzLwWe&#10;OwAAADkAAAAQAAAAAAAAAAEAIAAAAAsBAABkcnMvc2hhcGV4bWwueG1sUEsFBgAAAAAGAAYAWwEA&#10;ALUDAAAAAA==&#10;">
                  <v:fill on="f" focussize="0,0"/>
                  <v:stroke weight="1.5pt" color="#000000 [3213]" joinstyle="round" endarrow="block"/>
                  <v:imagedata o:title=""/>
                  <o:lock v:ext="edit" aspectratio="f"/>
                </v:shape>
                <v:line id="_x0000_s1026" o:spid="_x0000_s1026" o:spt="20" style="position:absolute;left:13231;top:12397;flip:y;height:5;width:7067;" filled="f" stroked="t" coordsize="21600,21600" o:gfxdata="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8/kEftwAAANsAAAAP&#10;AAAAAAAAAAEAIAAAACIAAABkcnMvZG93bnJldi54bWxQSwECFAAUAAAACACHTuJAMy8FnjsAAAA5&#10;AAAAEAAAAAAAAAABACAAAAAGAQAAZHJzL3NoYXBleG1sLnhtbFBLBQYAAAAABgAGAFsBAACwAwAA&#10;AAA=&#10;">
                  <v:fill on="f" focussize="0,0"/>
                  <v:stroke weight="1.5pt" color="#000000 [3213]" joinstyle="round"/>
                  <v:imagedata o:title=""/>
                  <o:lock v:ext="edit" aspectratio="f"/>
                </v:line>
                <v:shape id="文本框 45" o:spid="_x0000_s1026" o:spt="202" type="#_x0000_t202" style="position:absolute;left:13920;top:14877;height:546;width:5764;" filled="f" stroked="f" coordsize="21600,21600" o:gfxdata="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FGB6/&#10;AAAA2wAAAA8AAAAAAAAAAQAgAAAAIgAAAGRycy9kb3ducmV2LnhtbFBLAQIUABQAAAAIAIdO4kAz&#10;LwWeOwAAADkAAAAQAAAAAAAAAAEAIAAAAA4BAABkcnMvc2hhcGV4bWwueG1sUEsFBgAAAAAGAAYA&#10;WwEAALgDAAAAAA==&#10;">
                  <v:fill on="f" focussize="0,0"/>
                  <v:stroke on="f" weight="0.5pt"/>
                  <v:imagedata o:title=""/>
                  <o:lock v:ext="edit" aspectratio="f"/>
                  <v:textbox inset="0mm,0mm,0mm,0mm">
                    <w:txbxContent>
                      <w:p w14:paraId="784DAE9E">
                        <w:pPr>
                          <w:keepNext w:val="0"/>
                          <w:keepLines w:val="0"/>
                          <w:pageBreakBefore w:val="0"/>
                          <w:widowControl w:val="0"/>
                          <w:kinsoku/>
                          <w:wordWrap/>
                          <w:overflowPunct/>
                          <w:topLinePunct w:val="0"/>
                          <w:bidi w:val="0"/>
                          <w:adjustRightInd/>
                          <w:snapToGrid/>
                          <w:spacing w:line="460" w:lineRule="exact"/>
                          <w:jc w:val="center"/>
                          <w:textAlignment w:val="auto"/>
                          <w:rPr>
                            <w:rFonts w:hint="default" w:ascii="黑体" w:hAnsi="黑体" w:eastAsia="黑体" w:cs="黑体"/>
                            <w:sz w:val="24"/>
                            <w:szCs w:val="24"/>
                            <w:lang w:val="en-US" w:eastAsia="zh-CN"/>
                          </w:rPr>
                        </w:pPr>
                        <w:r>
                          <w:rPr>
                            <w:rFonts w:hint="eastAsia" w:ascii="黑体" w:hAnsi="黑体" w:eastAsia="黑体" w:cs="黑体"/>
                            <w:sz w:val="24"/>
                            <w:szCs w:val="24"/>
                            <w:lang w:val="en-US" w:eastAsia="zh-CN"/>
                          </w:rPr>
                          <w:t>图1 湘乡市重污染天气应急指挥组织体系框架图</w:t>
                        </w:r>
                      </w:p>
                    </w:txbxContent>
                  </v:textbox>
                </v:shape>
              </v:group>
            </w:pict>
          </mc:Fallback>
        </mc:AlternateContent>
      </w:r>
    </w:p>
    <w:p w14:paraId="4591E613">
      <w:pPr>
        <w:ind w:left="0" w:leftChars="0" w:firstLine="0" w:firstLineChars="0"/>
        <w:rPr>
          <w:rFonts w:hint="eastAsia"/>
          <w:lang w:val="en-US" w:eastAsia="zh-CN"/>
        </w:rPr>
      </w:pPr>
    </w:p>
    <w:p w14:paraId="0EB93BE3">
      <w:pPr>
        <w:ind w:left="0" w:leftChars="0" w:firstLine="0" w:firstLineChars="0"/>
        <w:rPr>
          <w:rFonts w:hint="eastAsia"/>
          <w:lang w:val="en-US" w:eastAsia="zh-CN"/>
        </w:rPr>
      </w:pPr>
    </w:p>
    <w:p w14:paraId="03CEC356">
      <w:pPr>
        <w:ind w:left="0" w:leftChars="0" w:firstLine="0" w:firstLineChars="0"/>
        <w:rPr>
          <w:rFonts w:hint="eastAsia"/>
          <w:lang w:val="en-US" w:eastAsia="zh-CN"/>
        </w:rPr>
      </w:pPr>
    </w:p>
    <w:p w14:paraId="4BD3B0AE">
      <w:pPr>
        <w:ind w:left="0" w:leftChars="0" w:firstLine="0" w:firstLineChars="0"/>
        <w:rPr>
          <w:rFonts w:hint="eastAsia"/>
          <w:lang w:val="en-US" w:eastAsia="zh-CN"/>
        </w:rPr>
      </w:pPr>
    </w:p>
    <w:p w14:paraId="688A8F4C">
      <w:pPr>
        <w:ind w:left="0" w:leftChars="0" w:firstLine="0" w:firstLineChars="0"/>
        <w:rPr>
          <w:rFonts w:hint="eastAsia"/>
          <w:lang w:val="en-US" w:eastAsia="zh-CN"/>
        </w:rPr>
      </w:pPr>
    </w:p>
    <w:p w14:paraId="3F7C82FD">
      <w:pPr>
        <w:ind w:left="0" w:leftChars="0" w:firstLine="0" w:firstLineChars="0"/>
        <w:rPr>
          <w:rFonts w:hint="eastAsia"/>
          <w:lang w:val="en-US" w:eastAsia="zh-CN"/>
        </w:rPr>
      </w:pPr>
    </w:p>
    <w:p w14:paraId="4CB4D3E0">
      <w:pPr>
        <w:ind w:left="0" w:leftChars="0" w:firstLine="0" w:firstLineChars="0"/>
        <w:rPr>
          <w:rFonts w:hint="eastAsia"/>
          <w:lang w:val="en-US" w:eastAsia="zh-CN"/>
        </w:rPr>
      </w:pPr>
    </w:p>
    <w:p w14:paraId="72B0AB1B">
      <w:pPr>
        <w:ind w:left="0" w:leftChars="0" w:firstLine="0" w:firstLineChars="0"/>
        <w:rPr>
          <w:rFonts w:hint="eastAsia"/>
          <w:lang w:val="en-US" w:eastAsia="zh-CN"/>
        </w:rPr>
      </w:pPr>
    </w:p>
    <w:p w14:paraId="43CC7CC3">
      <w:pPr>
        <w:ind w:left="0" w:leftChars="0" w:firstLine="0" w:firstLineChars="0"/>
        <w:rPr>
          <w:rFonts w:hint="eastAsia"/>
          <w:lang w:val="en-US" w:eastAsia="zh-CN"/>
        </w:rPr>
      </w:pPr>
    </w:p>
    <w:p w14:paraId="0CF9891E">
      <w:pPr>
        <w:ind w:left="0" w:leftChars="0" w:firstLine="0" w:firstLineChars="0"/>
        <w:rPr>
          <w:rFonts w:hint="eastAsia"/>
          <w:lang w:val="en-US" w:eastAsia="zh-CN"/>
        </w:rPr>
      </w:pPr>
    </w:p>
    <w:p w14:paraId="11D18A37">
      <w:pPr>
        <w:ind w:left="0" w:leftChars="0" w:firstLine="0" w:firstLineChars="0"/>
        <w:rPr>
          <w:rFonts w:hint="eastAsia"/>
          <w:lang w:val="en-US" w:eastAsia="zh-CN"/>
        </w:rPr>
      </w:pPr>
    </w:p>
    <w:p w14:paraId="519078EB">
      <w:pPr>
        <w:ind w:left="0" w:leftChars="0" w:firstLine="0" w:firstLineChars="0"/>
        <w:rPr>
          <w:rFonts w:hint="eastAsia"/>
          <w:lang w:val="en-US" w:eastAsia="zh-CN"/>
        </w:rPr>
      </w:pPr>
    </w:p>
    <w:p w14:paraId="2676E71D">
      <w:pPr>
        <w:ind w:left="0" w:leftChars="0" w:firstLine="0" w:firstLineChars="0"/>
        <w:rPr>
          <w:rFonts w:hint="eastAsia"/>
          <w:lang w:val="en-US" w:eastAsia="zh-CN"/>
        </w:rPr>
      </w:pPr>
    </w:p>
    <w:p w14:paraId="7B1A0EFA">
      <w:pPr>
        <w:ind w:left="0" w:leftChars="0" w:firstLine="0" w:firstLineChars="0"/>
        <w:rPr>
          <w:rFonts w:hint="eastAsia"/>
          <w:lang w:val="en-US" w:eastAsia="zh-CN"/>
        </w:rPr>
      </w:pPr>
    </w:p>
    <w:p w14:paraId="10483A10">
      <w:pPr>
        <w:ind w:left="0" w:leftChars="0" w:firstLine="0" w:firstLineChars="0"/>
        <w:rPr>
          <w:rFonts w:hint="eastAsia"/>
          <w:lang w:val="en-US" w:eastAsia="zh-CN"/>
        </w:rPr>
      </w:pPr>
    </w:p>
    <w:p w14:paraId="2929440E">
      <w:pPr>
        <w:ind w:left="0" w:leftChars="0" w:firstLine="0" w:firstLineChars="0"/>
        <w:rPr>
          <w:rFonts w:hint="eastAsia"/>
          <w:lang w:val="en-US" w:eastAsia="zh-CN"/>
        </w:rPr>
      </w:pPr>
    </w:p>
    <w:p w14:paraId="3DB61DB0">
      <w:pPr>
        <w:ind w:left="0" w:leftChars="0" w:firstLine="0" w:firstLineChars="0"/>
        <w:rPr>
          <w:rFonts w:hint="eastAsia"/>
          <w:lang w:val="en-US" w:eastAsia="zh-CN"/>
        </w:rPr>
      </w:pPr>
    </w:p>
    <w:p w14:paraId="198848B2">
      <w:pPr>
        <w:rPr>
          <w:rFonts w:hint="eastAsia"/>
          <w:lang w:eastAsia="zh-CN"/>
        </w:rPr>
        <w:sectPr>
          <w:pgSz w:w="11906" w:h="16838"/>
          <w:pgMar w:top="1984" w:right="1531" w:bottom="1587"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24C166E0">
      <w:pPr>
        <w:pStyle w:val="3"/>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72" w:name="_Toc641"/>
      <w:bookmarkStart w:id="73" w:name="_Toc144"/>
      <w:bookmarkStart w:id="74" w:name="_Toc9314"/>
      <w:bookmarkStart w:id="75" w:name="_Toc293"/>
      <w:bookmarkStart w:id="76" w:name="_Toc13869"/>
      <w:bookmarkStart w:id="77" w:name="_Toc20920"/>
      <w:bookmarkStart w:id="78" w:name="_Toc5891"/>
      <w:bookmarkStart w:id="79" w:name="_Toc15563"/>
      <w:bookmarkStart w:id="80" w:name="_Toc31737"/>
      <w:r>
        <w:rPr>
          <w:rFonts w:hint="eastAsia" w:ascii="方正仿宋_GBK" w:hAnsi="方正仿宋_GBK" w:eastAsia="方正仿宋_GBK" w:cs="方正仿宋_GBK"/>
          <w:b/>
          <w:bCs/>
          <w:color w:val="auto"/>
          <w:kern w:val="44"/>
          <w:sz w:val="32"/>
          <w:szCs w:val="44"/>
          <w:lang w:val="en-US" w:eastAsia="zh-CN" w:bidi="ar-SA"/>
        </w:rPr>
        <w:t>3.</w:t>
      </w:r>
      <w:r>
        <w:rPr>
          <w:rFonts w:hint="eastAsia" w:ascii="方正仿宋_GBK" w:hAnsi="方正仿宋_GBK" w:eastAsia="方正仿宋_GBK" w:cs="方正仿宋_GBK"/>
          <w:color w:val="auto"/>
          <w:lang w:eastAsia="zh-CN"/>
        </w:rPr>
        <w:t>应急准备</w:t>
      </w:r>
      <w:bookmarkEnd w:id="72"/>
    </w:p>
    <w:p w14:paraId="219DEA2E">
      <w:pPr>
        <w:pStyle w:val="4"/>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81" w:name="_Toc9677"/>
      <w:r>
        <w:rPr>
          <w:rFonts w:hint="eastAsia" w:ascii="方正仿宋_GBK" w:hAnsi="方正仿宋_GBK" w:eastAsia="方正仿宋_GBK" w:cs="方正仿宋_GBK"/>
          <w:b/>
          <w:bCs/>
          <w:color w:val="auto"/>
          <w:kern w:val="2"/>
          <w:sz w:val="32"/>
          <w:szCs w:val="32"/>
          <w:lang w:val="en-US" w:eastAsia="zh-CN" w:bidi="ar-SA"/>
        </w:rPr>
        <w:t>3.1</w:t>
      </w:r>
      <w:r>
        <w:rPr>
          <w:rFonts w:hint="eastAsia" w:ascii="方正仿宋_GBK" w:hAnsi="方正仿宋_GBK" w:eastAsia="方正仿宋_GBK" w:cs="方正仿宋_GBK"/>
          <w:color w:val="auto"/>
          <w:lang w:eastAsia="zh-CN"/>
        </w:rPr>
        <w:t>修订应急减排清单</w:t>
      </w:r>
      <w:bookmarkEnd w:id="81"/>
    </w:p>
    <w:p w14:paraId="482D9D57">
      <w:pPr>
        <w:keepNext w:val="0"/>
        <w:keepLines w:val="0"/>
        <w:pageBreakBefore w:val="0"/>
        <w:widowControl w:val="0"/>
        <w:kinsoku/>
        <w:wordWrap/>
        <w:overflowPunct/>
        <w:topLinePunct w:val="0"/>
        <w:bidi w:val="0"/>
        <w:adjustRightInd w:val="0"/>
        <w:snapToGrid w:val="0"/>
        <w:spacing w:line="600" w:lineRule="exact"/>
        <w:ind w:left="0" w:firstLine="640" w:firstLineChars="200"/>
        <w:textAlignment w:val="auto"/>
        <w:rPr>
          <w:rFonts w:hint="eastAsia" w:ascii="方正仿宋_GBK" w:hAnsi="方正仿宋_GBK" w:eastAsia="方正仿宋_GBK" w:cs="方正仿宋_GBK"/>
          <w:snapToGrid w:val="0"/>
          <w:color w:val="auto"/>
          <w:kern w:val="21"/>
          <w:sz w:val="32"/>
          <w:szCs w:val="32"/>
          <w:highlight w:val="none"/>
        </w:rPr>
      </w:pPr>
      <w:r>
        <w:rPr>
          <w:rFonts w:hint="eastAsia" w:ascii="方正仿宋_GBK" w:hAnsi="方正仿宋_GBK" w:eastAsia="方正仿宋_GBK" w:cs="方正仿宋_GBK"/>
          <w:color w:val="auto"/>
          <w:u w:val="none"/>
          <w:lang w:eastAsia="zh-CN"/>
        </w:rPr>
        <w:t>市指挥部</w:t>
      </w:r>
      <w:r>
        <w:rPr>
          <w:rFonts w:hint="eastAsia" w:ascii="方正仿宋_GBK" w:hAnsi="方正仿宋_GBK" w:eastAsia="方正仿宋_GBK" w:cs="方正仿宋_GBK"/>
          <w:snapToGrid w:val="0"/>
          <w:color w:val="auto"/>
          <w:kern w:val="21"/>
          <w:sz w:val="32"/>
          <w:szCs w:val="32"/>
          <w:highlight w:val="none"/>
        </w:rPr>
        <w:t>应按照重污染天气减排比例要求，定期修订重污染天气应急减排清单，清单须包括工业源、移动源、扬尘源等排放源的基本信息和相应预警级别下的减排措施，原则上所有涉气企业均应纳入应急减排清单。每年9月底前应完成年度应急减排清单修订工作，将修订的应急减排清单报</w:t>
      </w:r>
      <w:r>
        <w:rPr>
          <w:rFonts w:hint="eastAsia" w:ascii="方正仿宋_GBK" w:hAnsi="方正仿宋_GBK" w:eastAsia="方正仿宋_GBK" w:cs="方正仿宋_GBK"/>
          <w:snapToGrid w:val="0"/>
          <w:color w:val="auto"/>
          <w:kern w:val="21"/>
          <w:sz w:val="32"/>
          <w:szCs w:val="32"/>
          <w:highlight w:val="none"/>
          <w:lang w:eastAsia="zh-CN"/>
        </w:rPr>
        <w:t>湘潭市</w:t>
      </w:r>
      <w:r>
        <w:rPr>
          <w:rFonts w:hint="eastAsia" w:ascii="方正仿宋_GBK" w:hAnsi="方正仿宋_GBK" w:eastAsia="方正仿宋_GBK" w:cs="方正仿宋_GBK"/>
          <w:snapToGrid w:val="0"/>
          <w:color w:val="auto"/>
          <w:kern w:val="21"/>
          <w:sz w:val="32"/>
          <w:szCs w:val="32"/>
          <w:highlight w:val="none"/>
        </w:rPr>
        <w:t>生态环境</w:t>
      </w:r>
      <w:r>
        <w:rPr>
          <w:rFonts w:hint="eastAsia" w:ascii="方正仿宋_GBK" w:hAnsi="方正仿宋_GBK" w:eastAsia="方正仿宋_GBK" w:cs="方正仿宋_GBK"/>
          <w:snapToGrid w:val="0"/>
          <w:color w:val="auto"/>
          <w:kern w:val="21"/>
          <w:sz w:val="32"/>
          <w:szCs w:val="32"/>
          <w:highlight w:val="none"/>
          <w:lang w:eastAsia="zh-CN"/>
        </w:rPr>
        <w:t>局</w:t>
      </w:r>
      <w:r>
        <w:rPr>
          <w:rFonts w:hint="eastAsia" w:ascii="方正仿宋_GBK" w:hAnsi="方正仿宋_GBK" w:eastAsia="方正仿宋_GBK" w:cs="方正仿宋_GBK"/>
          <w:snapToGrid w:val="0"/>
          <w:color w:val="auto"/>
          <w:kern w:val="21"/>
          <w:sz w:val="32"/>
          <w:szCs w:val="32"/>
          <w:highlight w:val="none"/>
        </w:rPr>
        <w:t>备案，并向社会公开。</w:t>
      </w:r>
    </w:p>
    <w:p w14:paraId="277C27B8">
      <w:pPr>
        <w:keepNext w:val="0"/>
        <w:keepLines w:val="0"/>
        <w:pageBreakBefore w:val="0"/>
        <w:widowControl w:val="0"/>
        <w:kinsoku/>
        <w:wordWrap/>
        <w:overflowPunct/>
        <w:topLinePunct w:val="0"/>
        <w:bidi w:val="0"/>
        <w:adjustRightInd w:val="0"/>
        <w:snapToGrid w:val="0"/>
        <w:spacing w:line="600" w:lineRule="exact"/>
        <w:ind w:left="0" w:firstLine="643" w:firstLineChars="200"/>
        <w:textAlignment w:val="auto"/>
        <w:outlineLvl w:val="1"/>
        <w:rPr>
          <w:rFonts w:hint="eastAsia" w:ascii="方正仿宋_GBK" w:hAnsi="方正仿宋_GBK" w:eastAsia="方正仿宋_GBK" w:cs="方正仿宋_GBK"/>
          <w:b/>
          <w:bCs w:val="0"/>
          <w:snapToGrid w:val="0"/>
          <w:color w:val="auto"/>
          <w:kern w:val="21"/>
          <w:sz w:val="32"/>
          <w:szCs w:val="32"/>
          <w:highlight w:val="none"/>
        </w:rPr>
      </w:pPr>
      <w:bookmarkStart w:id="82" w:name="_Toc1469042746"/>
      <w:bookmarkStart w:id="83" w:name="_Toc12534"/>
      <w:bookmarkStart w:id="84" w:name="_Toc19602"/>
      <w:r>
        <w:rPr>
          <w:rFonts w:hint="eastAsia" w:ascii="方正仿宋_GBK" w:hAnsi="方正仿宋_GBK" w:eastAsia="方正仿宋_GBK" w:cs="方正仿宋_GBK"/>
          <w:b/>
          <w:bCs w:val="0"/>
          <w:snapToGrid w:val="0"/>
          <w:color w:val="auto"/>
          <w:kern w:val="21"/>
          <w:sz w:val="32"/>
          <w:szCs w:val="32"/>
          <w:highlight w:val="none"/>
        </w:rPr>
        <w:t>3.2夯实应急减排措施</w:t>
      </w:r>
      <w:bookmarkEnd w:id="82"/>
      <w:bookmarkEnd w:id="83"/>
      <w:bookmarkEnd w:id="84"/>
    </w:p>
    <w:p w14:paraId="082BE34D">
      <w:pPr>
        <w:keepNext w:val="0"/>
        <w:keepLines w:val="0"/>
        <w:pageBreakBefore w:val="0"/>
        <w:widowControl w:val="0"/>
        <w:kinsoku/>
        <w:wordWrap/>
        <w:overflowPunct/>
        <w:topLinePunct w:val="0"/>
        <w:bidi w:val="0"/>
        <w:adjustRightInd w:val="0"/>
        <w:snapToGrid w:val="0"/>
        <w:spacing w:line="600" w:lineRule="exact"/>
        <w:ind w:left="0" w:firstLine="640" w:firstLineChars="200"/>
        <w:textAlignment w:val="auto"/>
        <w:rPr>
          <w:rFonts w:hint="eastAsia" w:ascii="方正仿宋_GBK" w:hAnsi="方正仿宋_GBK" w:eastAsia="方正仿宋_GBK" w:cs="方正仿宋_GBK"/>
          <w:snapToGrid w:val="0"/>
          <w:color w:val="auto"/>
          <w:kern w:val="21"/>
          <w:sz w:val="32"/>
          <w:szCs w:val="32"/>
          <w:highlight w:val="none"/>
        </w:rPr>
      </w:pPr>
      <w:r>
        <w:rPr>
          <w:rFonts w:hint="eastAsia" w:ascii="方正仿宋_GBK" w:hAnsi="方正仿宋_GBK" w:eastAsia="方正仿宋_GBK" w:cs="方正仿宋_GBK"/>
          <w:snapToGrid w:val="0"/>
          <w:color w:val="auto"/>
          <w:kern w:val="21"/>
          <w:sz w:val="32"/>
          <w:szCs w:val="32"/>
          <w:highlight w:val="none"/>
        </w:rPr>
        <w:t>核算全市减排基数，主要包括基础排放量和应急减排基数，通过实施协同减排，全市二氧化硫、氮氧化物、颗粒物和挥发性有机物在重污染天气</w:t>
      </w:r>
      <w:r>
        <w:rPr>
          <w:rFonts w:hint="eastAsia" w:ascii="方正仿宋_GBK" w:hAnsi="方正仿宋_GBK" w:eastAsia="方正仿宋_GBK" w:cs="方正仿宋_GBK"/>
          <w:snapToGrid w:val="0"/>
          <w:color w:val="auto"/>
          <w:kern w:val="21"/>
          <w:sz w:val="32"/>
          <w:szCs w:val="32"/>
          <w:highlight w:val="none"/>
        </w:rPr>
        <w:fldChar w:fldCharType="begin"/>
      </w:r>
      <w:r>
        <w:rPr>
          <w:rFonts w:hint="eastAsia" w:ascii="方正仿宋_GBK" w:hAnsi="方正仿宋_GBK" w:eastAsia="方正仿宋_GBK" w:cs="方正仿宋_GBK"/>
          <w:snapToGrid w:val="0"/>
          <w:color w:val="auto"/>
          <w:kern w:val="21"/>
          <w:sz w:val="32"/>
          <w:szCs w:val="32"/>
          <w:highlight w:val="none"/>
        </w:rPr>
        <w:instrText xml:space="preserve"> = 3 \* ROMAN \* MERGEFORMAT </w:instrText>
      </w:r>
      <w:r>
        <w:rPr>
          <w:rFonts w:hint="eastAsia" w:ascii="方正仿宋_GBK" w:hAnsi="方正仿宋_GBK" w:eastAsia="方正仿宋_GBK" w:cs="方正仿宋_GBK"/>
          <w:snapToGrid w:val="0"/>
          <w:color w:val="auto"/>
          <w:kern w:val="21"/>
          <w:sz w:val="32"/>
          <w:szCs w:val="32"/>
          <w:highlight w:val="none"/>
        </w:rPr>
        <w:fldChar w:fldCharType="separate"/>
      </w:r>
      <w:r>
        <w:rPr>
          <w:rFonts w:hint="eastAsia" w:ascii="方正仿宋_GBK" w:hAnsi="方正仿宋_GBK" w:eastAsia="方正仿宋_GBK" w:cs="方正仿宋_GBK"/>
          <w:snapToGrid w:val="0"/>
          <w:color w:val="auto"/>
          <w:kern w:val="21"/>
          <w:sz w:val="32"/>
          <w:szCs w:val="32"/>
          <w:highlight w:val="none"/>
        </w:rPr>
        <w:t>III</w:t>
      </w:r>
      <w:r>
        <w:rPr>
          <w:rFonts w:hint="eastAsia" w:ascii="方正仿宋_GBK" w:hAnsi="方正仿宋_GBK" w:eastAsia="方正仿宋_GBK" w:cs="方正仿宋_GBK"/>
          <w:snapToGrid w:val="0"/>
          <w:color w:val="auto"/>
          <w:kern w:val="21"/>
          <w:sz w:val="32"/>
          <w:szCs w:val="32"/>
          <w:highlight w:val="none"/>
        </w:rPr>
        <w:fldChar w:fldCharType="end"/>
      </w:r>
      <w:r>
        <w:rPr>
          <w:rFonts w:hint="eastAsia" w:ascii="方正仿宋_GBK" w:hAnsi="方正仿宋_GBK" w:eastAsia="方正仿宋_GBK" w:cs="方正仿宋_GBK"/>
          <w:snapToGrid w:val="0"/>
          <w:color w:val="auto"/>
          <w:kern w:val="21"/>
          <w:sz w:val="32"/>
          <w:szCs w:val="32"/>
          <w:highlight w:val="none"/>
        </w:rPr>
        <w:t>级、</w:t>
      </w:r>
      <w:r>
        <w:rPr>
          <w:rFonts w:hint="eastAsia" w:ascii="方正仿宋_GBK" w:hAnsi="方正仿宋_GBK" w:eastAsia="方正仿宋_GBK" w:cs="方正仿宋_GBK"/>
          <w:snapToGrid w:val="0"/>
          <w:color w:val="auto"/>
          <w:kern w:val="21"/>
          <w:sz w:val="32"/>
          <w:szCs w:val="32"/>
          <w:highlight w:val="none"/>
        </w:rPr>
        <w:fldChar w:fldCharType="begin"/>
      </w:r>
      <w:r>
        <w:rPr>
          <w:rFonts w:hint="eastAsia" w:ascii="方正仿宋_GBK" w:hAnsi="方正仿宋_GBK" w:eastAsia="方正仿宋_GBK" w:cs="方正仿宋_GBK"/>
          <w:snapToGrid w:val="0"/>
          <w:color w:val="auto"/>
          <w:kern w:val="21"/>
          <w:sz w:val="32"/>
          <w:szCs w:val="32"/>
          <w:highlight w:val="none"/>
        </w:rPr>
        <w:instrText xml:space="preserve"> = 2 \* ROMAN \* MERGEFORMAT </w:instrText>
      </w:r>
      <w:r>
        <w:rPr>
          <w:rFonts w:hint="eastAsia" w:ascii="方正仿宋_GBK" w:hAnsi="方正仿宋_GBK" w:eastAsia="方正仿宋_GBK" w:cs="方正仿宋_GBK"/>
          <w:snapToGrid w:val="0"/>
          <w:color w:val="auto"/>
          <w:kern w:val="21"/>
          <w:sz w:val="32"/>
          <w:szCs w:val="32"/>
          <w:highlight w:val="none"/>
        </w:rPr>
        <w:fldChar w:fldCharType="separate"/>
      </w:r>
      <w:r>
        <w:rPr>
          <w:rFonts w:hint="eastAsia" w:ascii="方正仿宋_GBK" w:hAnsi="方正仿宋_GBK" w:eastAsia="方正仿宋_GBK" w:cs="方正仿宋_GBK"/>
          <w:snapToGrid w:val="0"/>
          <w:color w:val="auto"/>
          <w:kern w:val="21"/>
          <w:sz w:val="32"/>
          <w:szCs w:val="32"/>
          <w:highlight w:val="none"/>
        </w:rPr>
        <w:t>II</w:t>
      </w:r>
      <w:r>
        <w:rPr>
          <w:rFonts w:hint="eastAsia" w:ascii="方正仿宋_GBK" w:hAnsi="方正仿宋_GBK" w:eastAsia="方正仿宋_GBK" w:cs="方正仿宋_GBK"/>
          <w:snapToGrid w:val="0"/>
          <w:color w:val="auto"/>
          <w:kern w:val="21"/>
          <w:sz w:val="32"/>
          <w:szCs w:val="32"/>
          <w:highlight w:val="none"/>
        </w:rPr>
        <w:fldChar w:fldCharType="end"/>
      </w:r>
      <w:r>
        <w:rPr>
          <w:rFonts w:hint="eastAsia" w:ascii="方正仿宋_GBK" w:hAnsi="方正仿宋_GBK" w:eastAsia="方正仿宋_GBK" w:cs="方正仿宋_GBK"/>
          <w:snapToGrid w:val="0"/>
          <w:color w:val="auto"/>
          <w:kern w:val="21"/>
          <w:sz w:val="32"/>
          <w:szCs w:val="32"/>
          <w:highlight w:val="none"/>
        </w:rPr>
        <w:t>级、</w:t>
      </w:r>
      <w:r>
        <w:rPr>
          <w:rFonts w:hint="eastAsia" w:ascii="方正仿宋_GBK" w:hAnsi="方正仿宋_GBK" w:eastAsia="方正仿宋_GBK" w:cs="方正仿宋_GBK"/>
          <w:snapToGrid w:val="0"/>
          <w:color w:val="auto"/>
          <w:kern w:val="21"/>
          <w:sz w:val="32"/>
          <w:szCs w:val="32"/>
          <w:highlight w:val="none"/>
        </w:rPr>
        <w:fldChar w:fldCharType="begin"/>
      </w:r>
      <w:r>
        <w:rPr>
          <w:rFonts w:hint="eastAsia" w:ascii="方正仿宋_GBK" w:hAnsi="方正仿宋_GBK" w:eastAsia="方正仿宋_GBK" w:cs="方正仿宋_GBK"/>
          <w:snapToGrid w:val="0"/>
          <w:color w:val="auto"/>
          <w:kern w:val="21"/>
          <w:sz w:val="32"/>
          <w:szCs w:val="32"/>
          <w:highlight w:val="none"/>
        </w:rPr>
        <w:instrText xml:space="preserve"> = 1 \* ROMAN \* MERGEFORMAT </w:instrText>
      </w:r>
      <w:r>
        <w:rPr>
          <w:rFonts w:hint="eastAsia" w:ascii="方正仿宋_GBK" w:hAnsi="方正仿宋_GBK" w:eastAsia="方正仿宋_GBK" w:cs="方正仿宋_GBK"/>
          <w:snapToGrid w:val="0"/>
          <w:color w:val="auto"/>
          <w:kern w:val="21"/>
          <w:sz w:val="32"/>
          <w:szCs w:val="32"/>
          <w:highlight w:val="none"/>
        </w:rPr>
        <w:fldChar w:fldCharType="separate"/>
      </w:r>
      <w:r>
        <w:rPr>
          <w:rFonts w:hint="eastAsia" w:ascii="方正仿宋_GBK" w:hAnsi="方正仿宋_GBK" w:eastAsia="方正仿宋_GBK" w:cs="方正仿宋_GBK"/>
          <w:snapToGrid w:val="0"/>
          <w:color w:val="auto"/>
          <w:kern w:val="21"/>
          <w:sz w:val="32"/>
          <w:szCs w:val="32"/>
          <w:highlight w:val="none"/>
        </w:rPr>
        <w:t>I</w:t>
      </w:r>
      <w:r>
        <w:rPr>
          <w:rFonts w:hint="eastAsia" w:ascii="方正仿宋_GBK" w:hAnsi="方正仿宋_GBK" w:eastAsia="方正仿宋_GBK" w:cs="方正仿宋_GBK"/>
          <w:snapToGrid w:val="0"/>
          <w:color w:val="auto"/>
          <w:kern w:val="21"/>
          <w:sz w:val="32"/>
          <w:szCs w:val="32"/>
          <w:highlight w:val="none"/>
        </w:rPr>
        <w:fldChar w:fldCharType="end"/>
      </w:r>
      <w:r>
        <w:rPr>
          <w:rFonts w:hint="eastAsia" w:ascii="方正仿宋_GBK" w:hAnsi="方正仿宋_GBK" w:eastAsia="方正仿宋_GBK" w:cs="方正仿宋_GBK"/>
          <w:snapToGrid w:val="0"/>
          <w:color w:val="auto"/>
          <w:kern w:val="21"/>
          <w:sz w:val="32"/>
          <w:szCs w:val="32"/>
          <w:highlight w:val="none"/>
        </w:rPr>
        <w:t>级应急响应期间强制性减排措施污染物应急减排比例应分别达到全社会排放量的10%、20%和30%以上。在制定减排措施时，应在满足减排比例要求的前提下，采取差异化减排措施。</w:t>
      </w:r>
    </w:p>
    <w:p w14:paraId="4517CC89">
      <w:pPr>
        <w:keepNext w:val="0"/>
        <w:keepLines w:val="0"/>
        <w:pageBreakBefore w:val="0"/>
        <w:widowControl w:val="0"/>
        <w:kinsoku/>
        <w:wordWrap/>
        <w:overflowPunct/>
        <w:topLinePunct w:val="0"/>
        <w:bidi w:val="0"/>
        <w:adjustRightInd w:val="0"/>
        <w:snapToGrid w:val="0"/>
        <w:spacing w:line="600" w:lineRule="exact"/>
        <w:ind w:left="0" w:firstLine="643" w:firstLineChars="200"/>
        <w:textAlignment w:val="auto"/>
        <w:outlineLvl w:val="1"/>
        <w:rPr>
          <w:rFonts w:hint="eastAsia" w:ascii="方正仿宋_GBK" w:hAnsi="方正仿宋_GBK" w:eastAsia="方正仿宋_GBK" w:cs="方正仿宋_GBK"/>
          <w:b/>
          <w:bCs w:val="0"/>
          <w:snapToGrid w:val="0"/>
          <w:color w:val="auto"/>
          <w:kern w:val="21"/>
          <w:sz w:val="32"/>
          <w:szCs w:val="32"/>
          <w:highlight w:val="none"/>
        </w:rPr>
      </w:pPr>
      <w:bookmarkStart w:id="85" w:name="_Toc26089"/>
      <w:bookmarkStart w:id="86" w:name="_Toc768255392"/>
      <w:bookmarkStart w:id="87" w:name="_Toc28032"/>
      <w:r>
        <w:rPr>
          <w:rFonts w:hint="eastAsia" w:ascii="方正仿宋_GBK" w:hAnsi="方正仿宋_GBK" w:eastAsia="方正仿宋_GBK" w:cs="方正仿宋_GBK"/>
          <w:b/>
          <w:bCs w:val="0"/>
          <w:snapToGrid w:val="0"/>
          <w:color w:val="auto"/>
          <w:kern w:val="21"/>
          <w:sz w:val="32"/>
          <w:szCs w:val="32"/>
          <w:highlight w:val="none"/>
        </w:rPr>
        <w:t>3.3指导企业制定“一厂一策”实施方案</w:t>
      </w:r>
      <w:bookmarkEnd w:id="85"/>
      <w:bookmarkEnd w:id="86"/>
      <w:bookmarkEnd w:id="87"/>
    </w:p>
    <w:p w14:paraId="766A90F8">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snapToGrid w:val="0"/>
          <w:color w:val="auto"/>
          <w:kern w:val="21"/>
          <w:sz w:val="32"/>
          <w:szCs w:val="32"/>
          <w:highlight w:val="none"/>
        </w:rPr>
      </w:pPr>
      <w:r>
        <w:rPr>
          <w:rFonts w:hint="eastAsia" w:ascii="方正仿宋_GBK" w:hAnsi="方正仿宋_GBK" w:eastAsia="方正仿宋_GBK" w:cs="方正仿宋_GBK"/>
          <w:snapToGrid w:val="0"/>
          <w:color w:val="auto"/>
          <w:kern w:val="21"/>
          <w:sz w:val="32"/>
          <w:szCs w:val="32"/>
          <w:highlight w:val="none"/>
        </w:rPr>
        <w:t>各级生态环境部门应督促企业将应急减排措施纳入排污许可证管理；会同相关部门指导纳入应急减排清单的工业企业制定“一厂一策”实施方案和“公示牌”。实施方案包含企业基本情况、主要生产工艺流程、主要涉气产排污环节及污染物排放情况（含重型运输车辆及非道路移动机械），并载明不同级别预警下的应急减排措施，明确具体停产的生产线、工艺环节和各类减排措施的关键性指标，细化具体减排工序责任人及联系方式等；公示牌应安装在厂区入口等醒目位置。对生产工序简单、重污染天气预警期间实施全厂停产、整条生产线停产和轮流停产的工业企业，可只制定公示牌。</w:t>
      </w:r>
    </w:p>
    <w:p w14:paraId="4560EC52">
      <w:pPr>
        <w:pStyle w:val="3"/>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88" w:name="_Toc9788"/>
      <w:r>
        <w:rPr>
          <w:rFonts w:hint="eastAsia" w:ascii="方正仿宋_GBK" w:hAnsi="方正仿宋_GBK" w:eastAsia="方正仿宋_GBK" w:cs="方正仿宋_GBK"/>
          <w:b/>
          <w:bCs/>
          <w:color w:val="auto"/>
          <w:kern w:val="44"/>
          <w:sz w:val="32"/>
          <w:szCs w:val="44"/>
          <w:lang w:val="en-US" w:eastAsia="zh-CN" w:bidi="ar-SA"/>
        </w:rPr>
        <w:t>4.</w:t>
      </w:r>
      <w:r>
        <w:rPr>
          <w:rFonts w:hint="eastAsia" w:ascii="方正仿宋_GBK" w:hAnsi="方正仿宋_GBK" w:eastAsia="方正仿宋_GBK" w:cs="方正仿宋_GBK"/>
          <w:color w:val="auto"/>
          <w:lang w:eastAsia="zh-CN"/>
        </w:rPr>
        <w:t>监测与预警</w:t>
      </w:r>
      <w:bookmarkEnd w:id="88"/>
    </w:p>
    <w:p w14:paraId="48A31F0F">
      <w:pPr>
        <w:pStyle w:val="4"/>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89" w:name="_Toc22443"/>
      <w:r>
        <w:rPr>
          <w:rFonts w:hint="eastAsia" w:ascii="方正仿宋_GBK" w:hAnsi="方正仿宋_GBK" w:eastAsia="方正仿宋_GBK" w:cs="方正仿宋_GBK"/>
          <w:b/>
          <w:bCs/>
          <w:color w:val="auto"/>
          <w:kern w:val="2"/>
          <w:sz w:val="32"/>
          <w:szCs w:val="32"/>
          <w:lang w:val="en-US" w:eastAsia="zh-CN" w:bidi="ar-SA"/>
        </w:rPr>
        <w:t>4.1</w:t>
      </w:r>
      <w:r>
        <w:rPr>
          <w:rFonts w:hint="eastAsia" w:ascii="方正仿宋_GBK" w:hAnsi="方正仿宋_GBK" w:eastAsia="方正仿宋_GBK" w:cs="方正仿宋_GBK"/>
          <w:color w:val="auto"/>
          <w:lang w:eastAsia="zh-CN"/>
        </w:rPr>
        <w:t>监测与预报</w:t>
      </w:r>
      <w:bookmarkEnd w:id="89"/>
    </w:p>
    <w:p w14:paraId="2F83FB63">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90" w:name="_Toc31847"/>
      <w:r>
        <w:rPr>
          <w:rFonts w:hint="eastAsia" w:ascii="方正仿宋_GBK" w:hAnsi="方正仿宋_GBK" w:eastAsia="方正仿宋_GBK" w:cs="方正仿宋_GBK"/>
          <w:b/>
          <w:bCs/>
          <w:color w:val="auto"/>
          <w:kern w:val="2"/>
          <w:sz w:val="32"/>
          <w:szCs w:val="32"/>
          <w:lang w:val="en-US" w:eastAsia="zh-CN" w:bidi="ar-SA"/>
        </w:rPr>
        <w:t>4.1.1</w:t>
      </w:r>
      <w:r>
        <w:rPr>
          <w:rFonts w:hint="eastAsia" w:ascii="方正仿宋_GBK" w:hAnsi="方正仿宋_GBK" w:eastAsia="方正仿宋_GBK" w:cs="方正仿宋_GBK"/>
          <w:color w:val="auto"/>
          <w:lang w:eastAsia="zh-CN"/>
        </w:rPr>
        <w:t>日常监测</w:t>
      </w:r>
      <w:bookmarkEnd w:id="90"/>
    </w:p>
    <w:p w14:paraId="09096393">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湘潭市生态环境局湘乡分局完善环境空气质量监测网络，科学布设监测点位，严格按照有关规定实施空气质量日常监测，同时做好数据收集处理、现状评价以及趋势预测工作。</w:t>
      </w:r>
    </w:p>
    <w:p w14:paraId="2C4C4C80">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91" w:name="_Toc16200"/>
      <w:r>
        <w:rPr>
          <w:rFonts w:hint="eastAsia" w:ascii="方正仿宋_GBK" w:hAnsi="方正仿宋_GBK" w:eastAsia="方正仿宋_GBK" w:cs="方正仿宋_GBK"/>
          <w:b/>
          <w:bCs/>
          <w:color w:val="auto"/>
          <w:kern w:val="2"/>
          <w:sz w:val="32"/>
          <w:szCs w:val="32"/>
          <w:lang w:val="en-US" w:eastAsia="zh-CN" w:bidi="ar-SA"/>
        </w:rPr>
        <w:t>4.1.2</w:t>
      </w:r>
      <w:r>
        <w:rPr>
          <w:rFonts w:hint="eastAsia" w:ascii="方正仿宋_GBK" w:hAnsi="方正仿宋_GBK" w:eastAsia="方正仿宋_GBK" w:cs="方正仿宋_GBK"/>
          <w:color w:val="auto"/>
          <w:lang w:eastAsia="zh-CN"/>
        </w:rPr>
        <w:t>预报</w:t>
      </w:r>
      <w:bookmarkEnd w:id="91"/>
    </w:p>
    <w:p w14:paraId="4A17B4BB">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市气象局完善气象监测网络，科学布设监测点位，严格按照有关规定实施气象日常监测，同时做好数据收集处理、现状评价以及趋势预测工作，结合湘潭市生态环境局湘乡分局环境空气质量监测数据，发布全市静风天气气流停滞区域和时间及未来24小时、48小时、72小时环境空气污染等级预报。</w:t>
      </w:r>
    </w:p>
    <w:p w14:paraId="36CA8AD9">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92" w:name="_Toc3800"/>
      <w:r>
        <w:rPr>
          <w:rFonts w:hint="eastAsia" w:ascii="方正仿宋_GBK" w:hAnsi="方正仿宋_GBK" w:eastAsia="方正仿宋_GBK" w:cs="方正仿宋_GBK"/>
          <w:b/>
          <w:bCs/>
          <w:color w:val="auto"/>
          <w:kern w:val="2"/>
          <w:sz w:val="32"/>
          <w:szCs w:val="32"/>
          <w:lang w:val="en-US" w:eastAsia="zh-CN" w:bidi="ar-SA"/>
        </w:rPr>
        <w:t>4.1.3</w:t>
      </w:r>
      <w:r>
        <w:rPr>
          <w:rFonts w:hint="eastAsia" w:ascii="方正仿宋_GBK" w:hAnsi="方正仿宋_GBK" w:eastAsia="方正仿宋_GBK" w:cs="方正仿宋_GBK"/>
          <w:color w:val="auto"/>
          <w:lang w:eastAsia="zh-CN"/>
        </w:rPr>
        <w:t>应急监测</w:t>
      </w:r>
      <w:bookmarkEnd w:id="92"/>
    </w:p>
    <w:p w14:paraId="6EFD39D5">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湘潭市生态环境局湘乡分局、市气象局建立日常会商制度，将可能造成重污染天气的有关信息及时报告市人民政府和市指挥部办公室。重污染天气情况下，湘潭市生态环境局湘乡分局、市气象局应跟踪掌握环境空气质量和气象条件的变化情况，开展应急监测，结合历史数据、专家会商情况对重污染天气未来趋势作出科学预判，并及时将有关信息上报，为应急预警、开展应对工作提供科学决策依据。</w:t>
      </w:r>
    </w:p>
    <w:p w14:paraId="325C58F5">
      <w:pPr>
        <w:pStyle w:val="4"/>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93" w:name="_Toc5437"/>
      <w:bookmarkStart w:id="94" w:name="_Toc448910815"/>
      <w:r>
        <w:rPr>
          <w:rFonts w:hint="eastAsia" w:ascii="方正仿宋_GBK" w:hAnsi="方正仿宋_GBK" w:eastAsia="方正仿宋_GBK" w:cs="方正仿宋_GBK"/>
          <w:b/>
          <w:bCs/>
          <w:color w:val="auto"/>
          <w:kern w:val="2"/>
          <w:sz w:val="32"/>
          <w:szCs w:val="32"/>
          <w:lang w:val="en-US" w:eastAsia="zh-CN" w:bidi="ar-SA"/>
        </w:rPr>
        <w:t>4.2</w:t>
      </w:r>
      <w:r>
        <w:rPr>
          <w:rFonts w:hint="eastAsia" w:ascii="方正仿宋_GBK" w:hAnsi="方正仿宋_GBK" w:eastAsia="方正仿宋_GBK" w:cs="方正仿宋_GBK"/>
          <w:color w:val="auto"/>
          <w:lang w:eastAsia="zh-CN"/>
        </w:rPr>
        <w:t>预警分级</w:t>
      </w:r>
      <w:bookmarkEnd w:id="93"/>
      <w:bookmarkEnd w:id="94"/>
    </w:p>
    <w:p w14:paraId="317EC689">
      <w:pPr>
        <w:pStyle w:val="4"/>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b w:val="0"/>
          <w:bCs w:val="0"/>
          <w:color w:val="auto"/>
          <w:kern w:val="2"/>
          <w:sz w:val="32"/>
          <w:szCs w:val="32"/>
          <w:lang w:val="en-US" w:eastAsia="zh-CN" w:bidi="ar-SA"/>
        </w:rPr>
      </w:pPr>
      <w:bookmarkStart w:id="95" w:name="_Toc10687"/>
      <w:r>
        <w:rPr>
          <w:rFonts w:hint="eastAsia" w:ascii="方正仿宋_GBK" w:hAnsi="方正仿宋_GBK" w:eastAsia="方正仿宋_GBK" w:cs="方正仿宋_GBK"/>
          <w:b w:val="0"/>
          <w:bCs w:val="0"/>
          <w:color w:val="auto"/>
          <w:kern w:val="2"/>
          <w:sz w:val="32"/>
          <w:szCs w:val="32"/>
          <w:lang w:val="en-US" w:eastAsia="zh-CN" w:bidi="ar-SA"/>
        </w:rPr>
        <w:t>重污染天气预警分为3个级别，由轻到重依次为黄色预警、橙色预警、红色预警。</w:t>
      </w:r>
    </w:p>
    <w:p w14:paraId="44235ED4">
      <w:pPr>
        <w:pStyle w:val="4"/>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b w:val="0"/>
          <w:bCs w:val="0"/>
          <w:color w:val="auto"/>
          <w:kern w:val="2"/>
          <w:sz w:val="32"/>
          <w:szCs w:val="32"/>
          <w:lang w:val="en-US" w:eastAsia="zh-CN" w:bidi="ar-SA"/>
        </w:rPr>
      </w:pPr>
      <w:r>
        <w:rPr>
          <w:rFonts w:hint="eastAsia" w:ascii="方正仿宋_GBK" w:hAnsi="方正仿宋_GBK" w:eastAsia="方正仿宋_GBK" w:cs="方正仿宋_GBK"/>
          <w:b w:val="0"/>
          <w:bCs w:val="0"/>
          <w:color w:val="auto"/>
          <w:kern w:val="2"/>
          <w:sz w:val="32"/>
          <w:szCs w:val="32"/>
          <w:lang w:val="en-US" w:eastAsia="zh-CN" w:bidi="ar-SA"/>
        </w:rPr>
        <w:t>黄色预警：预测日AQI&gt;200或预测日AQI &gt;150持续48小时及以上，且未达到高级别预警条件。</w:t>
      </w:r>
    </w:p>
    <w:p w14:paraId="0A569BF5">
      <w:pPr>
        <w:pStyle w:val="4"/>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b w:val="0"/>
          <w:bCs w:val="0"/>
          <w:color w:val="auto"/>
          <w:kern w:val="2"/>
          <w:sz w:val="32"/>
          <w:szCs w:val="32"/>
          <w:lang w:val="en-US" w:eastAsia="zh-CN" w:bidi="ar-SA"/>
        </w:rPr>
      </w:pPr>
      <w:r>
        <w:rPr>
          <w:rFonts w:hint="eastAsia" w:ascii="方正仿宋_GBK" w:hAnsi="方正仿宋_GBK" w:eastAsia="方正仿宋_GBK" w:cs="方正仿宋_GBK"/>
          <w:b w:val="0"/>
          <w:bCs w:val="0"/>
          <w:color w:val="auto"/>
          <w:kern w:val="2"/>
          <w:sz w:val="32"/>
          <w:szCs w:val="32"/>
          <w:lang w:val="en-US" w:eastAsia="zh-CN" w:bidi="ar-SA"/>
        </w:rPr>
        <w:t>橙色预警：预测日AQI&gt;200持续48小时或日AQI &gt;150持续72小时及以上，且未达到高级别预警条件。</w:t>
      </w:r>
    </w:p>
    <w:p w14:paraId="15E4A2F4">
      <w:pPr>
        <w:pStyle w:val="4"/>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b w:val="0"/>
          <w:bCs w:val="0"/>
          <w:color w:val="auto"/>
          <w:kern w:val="2"/>
          <w:sz w:val="32"/>
          <w:szCs w:val="32"/>
          <w:lang w:val="en-US" w:eastAsia="zh-CN" w:bidi="ar-SA"/>
        </w:rPr>
      </w:pPr>
      <w:r>
        <w:rPr>
          <w:rFonts w:hint="eastAsia" w:ascii="方正仿宋_GBK" w:hAnsi="方正仿宋_GBK" w:eastAsia="方正仿宋_GBK" w:cs="方正仿宋_GBK"/>
          <w:b w:val="0"/>
          <w:bCs w:val="0"/>
          <w:color w:val="auto"/>
          <w:kern w:val="2"/>
          <w:sz w:val="32"/>
          <w:szCs w:val="32"/>
          <w:lang w:val="en-US" w:eastAsia="zh-CN" w:bidi="ar-SA"/>
        </w:rPr>
        <w:t>红色预警：预测日AQI&gt;200持续72小时且日AQI &gt;300持续24小时及以上。</w:t>
      </w:r>
    </w:p>
    <w:p w14:paraId="30179BE0">
      <w:pPr>
        <w:pStyle w:val="4"/>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b w:val="0"/>
          <w:bCs w:val="0"/>
          <w:color w:val="auto"/>
          <w:kern w:val="2"/>
          <w:sz w:val="32"/>
          <w:szCs w:val="32"/>
          <w:lang w:val="en-US" w:eastAsia="zh-CN" w:bidi="ar-SA"/>
        </w:rPr>
      </w:pPr>
      <w:r>
        <w:rPr>
          <w:rFonts w:hint="eastAsia" w:ascii="方正仿宋_GBK" w:hAnsi="方正仿宋_GBK" w:eastAsia="方正仿宋_GBK" w:cs="方正仿宋_GBK"/>
          <w:b w:val="0"/>
          <w:bCs w:val="0"/>
          <w:color w:val="auto"/>
          <w:kern w:val="2"/>
          <w:sz w:val="32"/>
          <w:szCs w:val="32"/>
          <w:lang w:val="en-US" w:eastAsia="zh-CN" w:bidi="ar-SA"/>
        </w:rPr>
        <w:t>坚持预防为主的原则，当预测未来24小时出现PM10均值浓度&gt;150μg/m3（微克／立方米）、PM2.5均值浓度＞75μg/m3或臭氧（O3）8小时滑动平均浓度&gt;160μg/m3，且尚未达到黄色预警条件时，应加强公众健康防护信息提示，结合实际情况加强管控。</w:t>
      </w:r>
    </w:p>
    <w:p w14:paraId="46518E51">
      <w:pPr>
        <w:pStyle w:val="4"/>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b w:val="0"/>
          <w:bCs w:val="0"/>
          <w:color w:val="auto"/>
          <w:lang w:eastAsia="zh-CN"/>
        </w:rPr>
      </w:pPr>
      <w:r>
        <w:rPr>
          <w:rFonts w:hint="eastAsia" w:ascii="方正仿宋_GBK" w:hAnsi="方正仿宋_GBK" w:eastAsia="方正仿宋_GBK" w:cs="方正仿宋_GBK"/>
          <w:b w:val="0"/>
          <w:bCs w:val="0"/>
          <w:color w:val="auto"/>
          <w:kern w:val="2"/>
          <w:sz w:val="32"/>
          <w:szCs w:val="32"/>
          <w:lang w:val="en-US" w:eastAsia="zh-CN" w:bidi="ar-SA"/>
        </w:rPr>
        <w:t>当预测可能出现上述污染天气条件时，应当按空气质量预报结果上限确定预警级别。当监测AQI&gt;150，且预测未来24小时内空气质量不会有明显改善时，应根据实际污染情况尽早启动或调整相应级别的预警。</w:t>
      </w:r>
      <w:bookmarkEnd w:id="95"/>
    </w:p>
    <w:p w14:paraId="44B49B62">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default" w:ascii="方正仿宋_GBK" w:hAnsi="方正仿宋_GBK" w:eastAsia="方正仿宋_GBK" w:cs="方正仿宋_GBK"/>
          <w:b/>
          <w:bCs/>
          <w:color w:val="auto"/>
          <w:kern w:val="2"/>
          <w:sz w:val="32"/>
          <w:szCs w:val="32"/>
          <w:lang w:val="en-US" w:eastAsia="zh-CN" w:bidi="ar-SA"/>
        </w:rPr>
      </w:pPr>
      <w:bookmarkStart w:id="96" w:name="_Toc8280"/>
      <w:r>
        <w:rPr>
          <w:rFonts w:hint="eastAsia" w:ascii="方正仿宋_GBK" w:hAnsi="方正仿宋_GBK" w:eastAsia="方正仿宋_GBK" w:cs="方正仿宋_GBK"/>
          <w:b/>
          <w:bCs/>
          <w:color w:val="auto"/>
          <w:kern w:val="2"/>
          <w:sz w:val="32"/>
          <w:szCs w:val="32"/>
          <w:lang w:val="en-US" w:eastAsia="zh-CN" w:bidi="ar-SA"/>
        </w:rPr>
        <w:t>4.3预警会商、发布、调级、解除</w:t>
      </w:r>
    </w:p>
    <w:p w14:paraId="038565F8">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b/>
          <w:bCs/>
          <w:color w:val="auto"/>
          <w:kern w:val="2"/>
          <w:sz w:val="32"/>
          <w:szCs w:val="32"/>
          <w:lang w:val="en-US" w:eastAsia="zh-CN" w:bidi="ar-SA"/>
        </w:rPr>
        <w:t>4.3.1</w:t>
      </w:r>
      <w:r>
        <w:rPr>
          <w:rFonts w:hint="eastAsia" w:ascii="方正仿宋_GBK" w:hAnsi="方正仿宋_GBK" w:eastAsia="方正仿宋_GBK" w:cs="方正仿宋_GBK"/>
          <w:color w:val="auto"/>
          <w:lang w:eastAsia="zh-CN"/>
        </w:rPr>
        <w:t>预警会商</w:t>
      </w:r>
      <w:bookmarkEnd w:id="96"/>
    </w:p>
    <w:p w14:paraId="45E5C67A">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eastAsia="zh-CN"/>
        </w:rPr>
        <w:t>湘潭市生态环境局湘乡分局和市气象局联合开展重污染天气环境空气质量预警、趋势分析工作，建立会商研判机制。当生态环境、气象部门预测未来</w:t>
      </w:r>
      <w:r>
        <w:rPr>
          <w:rFonts w:hint="eastAsia" w:ascii="方正仿宋_GBK" w:hAnsi="方正仿宋_GBK" w:eastAsia="方正仿宋_GBK" w:cs="方正仿宋_GBK"/>
          <w:color w:val="auto"/>
          <w:lang w:val="en-US" w:eastAsia="zh-CN"/>
        </w:rPr>
        <w:t>24小时空气质量指数（AQI）日均值＞200或可能出现不利气象条件时，湘潭市生态环境局湘乡分局、市气象局应及时会商，并组织相关成员单位和专家对环境空气质量及气象条件进行污染趋势分析，会商结果报市指挥部。</w:t>
      </w:r>
    </w:p>
    <w:p w14:paraId="0600803F">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val="en-US" w:eastAsia="zh-CN"/>
        </w:rPr>
      </w:pPr>
      <w:bookmarkStart w:id="97" w:name="_Toc24230"/>
      <w:r>
        <w:rPr>
          <w:rFonts w:hint="eastAsia" w:ascii="方正仿宋_GBK" w:hAnsi="方正仿宋_GBK" w:eastAsia="方正仿宋_GBK" w:cs="方正仿宋_GBK"/>
          <w:b/>
          <w:bCs/>
          <w:color w:val="auto"/>
          <w:kern w:val="2"/>
          <w:sz w:val="32"/>
          <w:szCs w:val="32"/>
          <w:lang w:val="en-US" w:eastAsia="zh-CN" w:bidi="ar-SA"/>
        </w:rPr>
        <w:t>4.3.2</w:t>
      </w:r>
      <w:r>
        <w:rPr>
          <w:rFonts w:hint="eastAsia" w:ascii="方正仿宋_GBK" w:hAnsi="方正仿宋_GBK" w:eastAsia="方正仿宋_GBK" w:cs="方正仿宋_GBK"/>
          <w:color w:val="auto"/>
          <w:lang w:eastAsia="zh-CN"/>
        </w:rPr>
        <w:t>预警发布</w:t>
      </w:r>
      <w:bookmarkEnd w:id="97"/>
    </w:p>
    <w:p w14:paraId="720C83EE">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湘潭市生态环境局湘乡分局负责重污染天气监测预警工作；市气象局负责天气状况监测预警工作。市指挥部办公室综合考虑AQI数据、气象数据、重点大气污染源在线监测数据，通过专家会商，预测污染发生强度、发展趋势、持续时间、影响范围，将结果及时呈报批准后发布预警。</w:t>
      </w:r>
    </w:p>
    <w:p w14:paraId="5F651D99">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达到预警条件时，原则上应当提前</w:t>
      </w:r>
      <w:r>
        <w:rPr>
          <w:rFonts w:hint="eastAsia" w:ascii="方正仿宋_GBK" w:hAnsi="方正仿宋_GBK" w:eastAsia="方正仿宋_GBK" w:cs="方正仿宋_GBK"/>
          <w:color w:val="auto"/>
          <w:lang w:val="en-US" w:eastAsia="zh-CN"/>
        </w:rPr>
        <w:t>24小时以上发布预警。</w:t>
      </w:r>
      <w:r>
        <w:rPr>
          <w:rFonts w:hint="eastAsia" w:ascii="方正仿宋_GBK" w:hAnsi="方正仿宋_GBK" w:eastAsia="方正仿宋_GBK" w:cs="方正仿宋_GBK"/>
          <w:color w:val="auto"/>
          <w:highlight w:val="none"/>
          <w:lang w:val="en-US" w:eastAsia="zh-CN"/>
        </w:rPr>
        <w:t>其中黄色（</w:t>
      </w:r>
      <w:r>
        <w:rPr>
          <w:rFonts w:hint="eastAsia" w:ascii="方正仿宋_GBK" w:hAnsi="方正仿宋_GBK" w:eastAsia="方正仿宋_GBK" w:cs="方正仿宋_GBK"/>
          <w:color w:val="auto"/>
          <w:highlight w:val="none"/>
          <w:lang w:eastAsia="zh-CN"/>
        </w:rPr>
        <w:t>III级</w:t>
      </w:r>
      <w:r>
        <w:rPr>
          <w:rFonts w:hint="eastAsia" w:ascii="方正仿宋_GBK" w:hAnsi="方正仿宋_GBK" w:eastAsia="方正仿宋_GBK" w:cs="方正仿宋_GBK"/>
          <w:color w:val="auto"/>
          <w:highlight w:val="none"/>
          <w:lang w:val="en-US" w:eastAsia="zh-CN"/>
        </w:rPr>
        <w:t>）预警、</w:t>
      </w:r>
      <w:r>
        <w:rPr>
          <w:rFonts w:hint="eastAsia" w:ascii="方正仿宋_GBK" w:hAnsi="方正仿宋_GBK" w:eastAsia="方正仿宋_GBK" w:cs="方正仿宋_GBK"/>
          <w:color w:val="auto"/>
          <w:highlight w:val="none"/>
          <w:lang w:eastAsia="zh-CN"/>
        </w:rPr>
        <w:t>橙色（II级）预警的启动由市指挥部副指挥长批准，红色（I级）预警的启动由市指挥部指挥长批准。</w:t>
      </w:r>
    </w:p>
    <w:p w14:paraId="5986F3EE">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sz w:val="32"/>
          <w:szCs w:val="32"/>
          <w:highlight w:val="none"/>
        </w:rPr>
        <w:t>预警信息包括</w:t>
      </w:r>
      <w:r>
        <w:rPr>
          <w:rFonts w:hint="eastAsia" w:ascii="方正仿宋_GBK" w:hAnsi="方正仿宋_GBK" w:eastAsia="方正仿宋_GBK" w:cs="方正仿宋_GBK"/>
          <w:snapToGrid w:val="0"/>
          <w:color w:val="auto"/>
          <w:kern w:val="21"/>
          <w:sz w:val="32"/>
          <w:szCs w:val="32"/>
          <w:highlight w:val="none"/>
        </w:rPr>
        <w:t>预警级别、启动时间、应急响应区域范围、响应级别和响应措施</w:t>
      </w:r>
      <w:r>
        <w:rPr>
          <w:rFonts w:hint="eastAsia" w:ascii="方正仿宋_GBK" w:hAnsi="方正仿宋_GBK" w:eastAsia="方正仿宋_GBK" w:cs="方正仿宋_GBK"/>
          <w:color w:val="auto"/>
          <w:sz w:val="32"/>
          <w:szCs w:val="32"/>
          <w:highlight w:val="none"/>
        </w:rPr>
        <w:t>等内容。</w:t>
      </w:r>
    </w:p>
    <w:p w14:paraId="7558D329">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预警信息发布渠道：市指挥部办公室提供预警信息通稿，综合健康防护提示等预警响应措施，通过以下方式向社会发布：</w:t>
      </w:r>
    </w:p>
    <w:p w14:paraId="1398BC3C">
      <w:pPr>
        <w:keepNext w:val="0"/>
        <w:keepLines w:val="0"/>
        <w:pageBreakBefore w:val="0"/>
        <w:widowControl w:val="0"/>
        <w:numPr>
          <w:ilvl w:val="0"/>
          <w:numId w:val="4"/>
        </w:numPr>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市委宣传部协调相关媒体发布新闻通稿；</w:t>
      </w:r>
    </w:p>
    <w:p w14:paraId="13DED6A6">
      <w:pPr>
        <w:keepNext w:val="0"/>
        <w:keepLines w:val="0"/>
        <w:pageBreakBefore w:val="0"/>
        <w:widowControl w:val="0"/>
        <w:numPr>
          <w:ilvl w:val="0"/>
          <w:numId w:val="4"/>
        </w:numPr>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以文件传真方式向各市指挥部成员单位、乡镇人民政府、街道办事处、经开区管委会及各职能部门发布；</w:t>
      </w:r>
    </w:p>
    <w:p w14:paraId="556E1FD3">
      <w:pPr>
        <w:keepNext w:val="0"/>
        <w:keepLines w:val="0"/>
        <w:pageBreakBefore w:val="0"/>
        <w:widowControl w:val="0"/>
        <w:numPr>
          <w:ilvl w:val="0"/>
          <w:numId w:val="4"/>
        </w:numPr>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通过市气象局信息发布平台发布；</w:t>
      </w:r>
    </w:p>
    <w:p w14:paraId="1364F12C">
      <w:pPr>
        <w:keepNext w:val="0"/>
        <w:keepLines w:val="0"/>
        <w:pageBreakBefore w:val="0"/>
        <w:widowControl w:val="0"/>
        <w:numPr>
          <w:ilvl w:val="0"/>
          <w:numId w:val="4"/>
        </w:numPr>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通过</w:t>
      </w:r>
      <w:r>
        <w:rPr>
          <w:rFonts w:hint="eastAsia" w:ascii="方正仿宋_GBK" w:hAnsi="方正仿宋_GBK" w:eastAsia="方正仿宋_GBK" w:cs="方正仿宋_GBK"/>
          <w:color w:val="auto"/>
          <w:lang w:val="en-US" w:eastAsia="zh-CN"/>
        </w:rPr>
        <w:t>湘乡市人民政府</w:t>
      </w:r>
      <w:r>
        <w:rPr>
          <w:rFonts w:hint="eastAsia" w:ascii="方正仿宋_GBK" w:hAnsi="方正仿宋_GBK" w:eastAsia="方正仿宋_GBK" w:cs="方正仿宋_GBK"/>
          <w:color w:val="auto"/>
          <w:lang w:eastAsia="zh-CN"/>
        </w:rPr>
        <w:t>官方网站等平台发布。</w:t>
      </w:r>
    </w:p>
    <w:p w14:paraId="726DFC1B">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val="en-US" w:eastAsia="zh-CN"/>
        </w:rPr>
      </w:pPr>
      <w:bookmarkStart w:id="98" w:name="_Toc16926"/>
      <w:r>
        <w:rPr>
          <w:rFonts w:hint="eastAsia" w:ascii="方正仿宋_GBK" w:hAnsi="方正仿宋_GBK" w:eastAsia="方正仿宋_GBK" w:cs="方正仿宋_GBK"/>
          <w:b/>
          <w:bCs/>
          <w:color w:val="auto"/>
          <w:kern w:val="2"/>
          <w:sz w:val="32"/>
          <w:szCs w:val="32"/>
          <w:lang w:val="en-US" w:eastAsia="zh-CN" w:bidi="ar-SA"/>
        </w:rPr>
        <w:t>4.3.3</w:t>
      </w:r>
      <w:r>
        <w:rPr>
          <w:rFonts w:hint="eastAsia" w:ascii="方正仿宋_GBK" w:hAnsi="方正仿宋_GBK" w:eastAsia="方正仿宋_GBK" w:cs="方正仿宋_GBK"/>
          <w:color w:val="auto"/>
          <w:lang w:eastAsia="zh-CN"/>
        </w:rPr>
        <w:t>预警调级与解除</w:t>
      </w:r>
      <w:bookmarkEnd w:id="98"/>
    </w:p>
    <w:p w14:paraId="58039DE7">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snapToGrid w:val="0"/>
          <w:color w:val="auto"/>
          <w:kern w:val="21"/>
          <w:sz w:val="32"/>
          <w:szCs w:val="32"/>
          <w:highlight w:val="none"/>
        </w:rPr>
        <w:t>在预警有效期内，</w:t>
      </w:r>
      <w:r>
        <w:rPr>
          <w:rFonts w:hint="eastAsia" w:ascii="方正仿宋_GBK" w:hAnsi="方正仿宋_GBK" w:eastAsia="方正仿宋_GBK" w:cs="方正仿宋_GBK"/>
          <w:color w:val="auto"/>
          <w:lang w:eastAsia="zh-CN"/>
        </w:rPr>
        <w:t>市指挥部办公室</w:t>
      </w:r>
      <w:r>
        <w:rPr>
          <w:rFonts w:hint="eastAsia" w:ascii="方正仿宋_GBK" w:hAnsi="方正仿宋_GBK" w:eastAsia="方正仿宋_GBK" w:cs="方正仿宋_GBK"/>
          <w:color w:val="auto"/>
          <w:sz w:val="32"/>
          <w:szCs w:val="32"/>
          <w:highlight w:val="none"/>
        </w:rPr>
        <w:t>组织相关成员单位、专家</w:t>
      </w:r>
      <w:r>
        <w:rPr>
          <w:rFonts w:hint="eastAsia" w:ascii="方正仿宋_GBK" w:hAnsi="方正仿宋_GBK" w:eastAsia="方正仿宋_GBK" w:cs="方正仿宋_GBK"/>
          <w:snapToGrid w:val="0"/>
          <w:color w:val="auto"/>
          <w:kern w:val="21"/>
          <w:sz w:val="32"/>
          <w:szCs w:val="32"/>
          <w:highlight w:val="none"/>
        </w:rPr>
        <w:t>加强研判和跟踪分析，如有分析结论证明可以提升或降低预警级别的，</w:t>
      </w:r>
      <w:r>
        <w:rPr>
          <w:rFonts w:hint="eastAsia" w:ascii="方正仿宋_GBK" w:hAnsi="方正仿宋_GBK" w:eastAsia="方正仿宋_GBK" w:cs="方正仿宋_GBK"/>
          <w:color w:val="auto"/>
          <w:sz w:val="32"/>
          <w:szCs w:val="32"/>
          <w:highlight w:val="none"/>
        </w:rPr>
        <w:t>适时提请市指挥部调整、解除预警。</w:t>
      </w:r>
    </w:p>
    <w:p w14:paraId="4B5042E4">
      <w:pPr>
        <w:keepNext w:val="0"/>
        <w:keepLines w:val="0"/>
        <w:pageBreakBefore w:val="0"/>
        <w:widowControl w:val="0"/>
        <w:numPr>
          <w:ilvl w:val="0"/>
          <w:numId w:val="5"/>
        </w:numPr>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预警调级</w:t>
      </w:r>
    </w:p>
    <w:p w14:paraId="21930594">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eastAsia="zh-CN"/>
        </w:rPr>
        <w:t>当空气质量改善到相应级别预警启动标准以下，且预测将持续</w:t>
      </w:r>
      <w:r>
        <w:rPr>
          <w:rFonts w:hint="eastAsia" w:ascii="方正仿宋_GBK" w:hAnsi="方正仿宋_GBK" w:eastAsia="方正仿宋_GBK" w:cs="方正仿宋_GBK"/>
          <w:color w:val="auto"/>
          <w:lang w:val="en-US" w:eastAsia="zh-CN"/>
        </w:rPr>
        <w:t>36小时以上时，市指挥部降低预警级别或解除预警，并提前发布信息。当预测污染持续时间和程度将达到更高一级预警条件时，市指挥部根据实际污染情况尽早启动相应级别预警。下调级别由原级别批准人批准，上调级别由上调级别批准人批准。</w:t>
      </w:r>
    </w:p>
    <w:p w14:paraId="7708947D">
      <w:pPr>
        <w:keepNext w:val="0"/>
        <w:keepLines w:val="0"/>
        <w:pageBreakBefore w:val="0"/>
        <w:widowControl w:val="0"/>
        <w:numPr>
          <w:ilvl w:val="0"/>
          <w:numId w:val="5"/>
        </w:numPr>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预警打断判定及升级调整</w:t>
      </w:r>
    </w:p>
    <w:p w14:paraId="393314C0">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当预测发生在前后两次重污染过程中，且间隔时间未达到解除预警条件时，按一次重污染过程计算，从高级别启动预警。当预测或监测空气质量达到更高级别预警条件时，尽早采取升级措施。</w:t>
      </w:r>
    </w:p>
    <w:p w14:paraId="4E8AB0E7">
      <w:pPr>
        <w:keepNext w:val="0"/>
        <w:keepLines w:val="0"/>
        <w:pageBreakBefore w:val="0"/>
        <w:widowControl w:val="0"/>
        <w:numPr>
          <w:ilvl w:val="0"/>
          <w:numId w:val="5"/>
        </w:numPr>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预警解除</w:t>
      </w:r>
    </w:p>
    <w:p w14:paraId="2CF30667">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highlight w:val="none"/>
          <w:lang w:eastAsia="zh-CN"/>
        </w:rPr>
      </w:pPr>
      <w:r>
        <w:rPr>
          <w:rFonts w:hint="eastAsia" w:ascii="方正仿宋_GBK" w:hAnsi="方正仿宋_GBK" w:eastAsia="方正仿宋_GBK" w:cs="方正仿宋_GBK"/>
          <w:color w:val="auto"/>
          <w:lang w:eastAsia="zh-CN"/>
        </w:rPr>
        <w:t>市指挥部根据环境空气质量预测信息决定不同预警等级响应措施的启动与解除。全市预警调级或解除信息经市指挥部办公室依据批准人批准后发布。其中</w:t>
      </w:r>
      <w:r>
        <w:rPr>
          <w:rFonts w:hint="eastAsia" w:ascii="方正仿宋_GBK" w:hAnsi="方正仿宋_GBK" w:eastAsia="方正仿宋_GBK" w:cs="方正仿宋_GBK"/>
          <w:color w:val="auto"/>
          <w:highlight w:val="none"/>
          <w:lang w:val="en-US" w:eastAsia="zh-CN"/>
        </w:rPr>
        <w:t>黄色（</w:t>
      </w:r>
      <w:r>
        <w:rPr>
          <w:rFonts w:hint="eastAsia" w:ascii="方正仿宋_GBK" w:hAnsi="方正仿宋_GBK" w:eastAsia="方正仿宋_GBK" w:cs="方正仿宋_GBK"/>
          <w:color w:val="auto"/>
          <w:highlight w:val="none"/>
          <w:lang w:eastAsia="zh-CN"/>
        </w:rPr>
        <w:t>III级</w:t>
      </w:r>
      <w:r>
        <w:rPr>
          <w:rFonts w:hint="eastAsia" w:ascii="方正仿宋_GBK" w:hAnsi="方正仿宋_GBK" w:eastAsia="方正仿宋_GBK" w:cs="方正仿宋_GBK"/>
          <w:color w:val="auto"/>
          <w:highlight w:val="none"/>
          <w:lang w:val="en-US" w:eastAsia="zh-CN"/>
        </w:rPr>
        <w:t>）预警、</w:t>
      </w:r>
      <w:r>
        <w:rPr>
          <w:rFonts w:hint="eastAsia" w:ascii="方正仿宋_GBK" w:hAnsi="方正仿宋_GBK" w:eastAsia="方正仿宋_GBK" w:cs="方正仿宋_GBK"/>
          <w:color w:val="auto"/>
          <w:highlight w:val="none"/>
          <w:lang w:eastAsia="zh-CN"/>
        </w:rPr>
        <w:t>橙色（II级）预警的解除由市指挥部副指挥长批准，红色（I级）预警的解除由市指挥部指挥长批准。</w:t>
      </w:r>
    </w:p>
    <w:p w14:paraId="61A21953">
      <w:pPr>
        <w:pStyle w:val="4"/>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val="en-US" w:eastAsia="zh-CN"/>
        </w:rPr>
      </w:pPr>
      <w:bookmarkStart w:id="99" w:name="_Toc28282"/>
      <w:r>
        <w:rPr>
          <w:rFonts w:hint="eastAsia" w:ascii="方正仿宋_GBK" w:hAnsi="方正仿宋_GBK" w:eastAsia="方正仿宋_GBK" w:cs="方正仿宋_GBK"/>
          <w:b/>
          <w:bCs/>
          <w:color w:val="auto"/>
          <w:kern w:val="2"/>
          <w:sz w:val="32"/>
          <w:szCs w:val="32"/>
          <w:lang w:val="en-US" w:eastAsia="zh-CN" w:bidi="ar-SA"/>
        </w:rPr>
        <w:t>4.4</w:t>
      </w:r>
      <w:r>
        <w:rPr>
          <w:rFonts w:hint="eastAsia" w:ascii="方正仿宋_GBK" w:hAnsi="方正仿宋_GBK" w:eastAsia="方正仿宋_GBK" w:cs="方正仿宋_GBK"/>
          <w:color w:val="auto"/>
          <w:lang w:val="en-US" w:eastAsia="zh-CN"/>
        </w:rPr>
        <w:t>预警措施</w:t>
      </w:r>
      <w:bookmarkEnd w:id="99"/>
    </w:p>
    <w:p w14:paraId="6D162822">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val="en-US" w:eastAsia="zh-CN"/>
        </w:rPr>
      </w:pPr>
      <w:bookmarkStart w:id="100" w:name="_Toc3913"/>
      <w:r>
        <w:rPr>
          <w:rFonts w:hint="eastAsia" w:ascii="方正仿宋_GBK" w:hAnsi="方正仿宋_GBK" w:eastAsia="方正仿宋_GBK" w:cs="方正仿宋_GBK"/>
          <w:color w:val="auto"/>
          <w:lang w:val="en-US" w:eastAsia="zh-CN"/>
        </w:rPr>
        <w:t>4.4.1 III级预警措施</w:t>
      </w:r>
      <w:bookmarkEnd w:id="100"/>
    </w:p>
    <w:p w14:paraId="47D7B99C">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市指挥部办公室通过媒体向公众发布预警信息，告知公众采取自我防护措施，针对不同人群健康保护和出行提出建议。</w:t>
      </w:r>
    </w:p>
    <w:p w14:paraId="2EFCDEA3">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通报各成员单位、乡镇人民政府、街道办事处、经开区管委会及重点废气排放企业做好相应级别的应急响应准备工作。</w:t>
      </w:r>
    </w:p>
    <w:p w14:paraId="73D6DD9F">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各相关单位要求值班人员保持通信畅通；生态环境、气象部门对重污染天气发生的时间、地点、范围、强度及变化做出预测预报；增加告知公众的频次。</w:t>
      </w:r>
    </w:p>
    <w:p w14:paraId="5109D21C">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val="en-US" w:eastAsia="zh-CN"/>
        </w:rPr>
      </w:pPr>
      <w:bookmarkStart w:id="101" w:name="_Toc31911"/>
      <w:r>
        <w:rPr>
          <w:rFonts w:hint="eastAsia" w:ascii="方正仿宋_GBK" w:hAnsi="方正仿宋_GBK" w:eastAsia="方正仿宋_GBK" w:cs="方正仿宋_GBK"/>
          <w:color w:val="auto"/>
          <w:lang w:val="en-US" w:eastAsia="zh-CN"/>
        </w:rPr>
        <w:t>4.4.2 II级预警措施</w:t>
      </w:r>
      <w:bookmarkEnd w:id="101"/>
    </w:p>
    <w:p w14:paraId="4553F8F8">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在Ⅲ级预警措施基础上，各相关单位要求值班人员24小时在岗值守、保持通信畅通；生态环境、气象部门对重污染天气发生的时间、地点、范围、强度及变化做出预测预报；增加告知公众的频次。</w:t>
      </w:r>
    </w:p>
    <w:p w14:paraId="3FE4602B">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val="en-US" w:eastAsia="zh-CN"/>
        </w:rPr>
      </w:pPr>
      <w:bookmarkStart w:id="102" w:name="_Toc16605"/>
      <w:r>
        <w:rPr>
          <w:rFonts w:hint="eastAsia" w:ascii="方正仿宋_GBK" w:hAnsi="方正仿宋_GBK" w:eastAsia="方正仿宋_GBK" w:cs="方正仿宋_GBK"/>
          <w:color w:val="auto"/>
          <w:lang w:val="en-US" w:eastAsia="zh-CN"/>
        </w:rPr>
        <w:t>4.4.3 I级预警措施</w:t>
      </w:r>
      <w:bookmarkEnd w:id="102"/>
    </w:p>
    <w:p w14:paraId="6EAC4417">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highlight w:val="none"/>
          <w:lang w:val="en-US" w:eastAsia="zh-CN"/>
        </w:rPr>
      </w:pPr>
      <w:r>
        <w:rPr>
          <w:rFonts w:hint="eastAsia" w:ascii="方正仿宋_GBK" w:hAnsi="方正仿宋_GBK" w:eastAsia="方正仿宋_GBK" w:cs="方正仿宋_GBK"/>
          <w:color w:val="auto"/>
          <w:highlight w:val="none"/>
          <w:lang w:val="en-US" w:eastAsia="zh-CN"/>
        </w:rPr>
        <w:t>在Ⅱ级预警措施基础上，生态环境、气象部门进一步加强空气质量、气象条件监测、预测和预报；对湘潭市、娄底市和韶山市及相邻区域空气质量、气象条件进行跟踪；进一步增加告知公众的频次。</w:t>
      </w:r>
    </w:p>
    <w:p w14:paraId="7101CE3B">
      <w:pPr>
        <w:pStyle w:val="4"/>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val="en-US" w:eastAsia="zh-CN"/>
        </w:rPr>
      </w:pPr>
      <w:bookmarkStart w:id="103" w:name="_Toc7231"/>
      <w:r>
        <w:rPr>
          <w:rFonts w:hint="eastAsia" w:ascii="方正仿宋_GBK" w:hAnsi="方正仿宋_GBK" w:eastAsia="方正仿宋_GBK" w:cs="方正仿宋_GBK"/>
          <w:b/>
          <w:bCs/>
          <w:color w:val="auto"/>
          <w:kern w:val="2"/>
          <w:sz w:val="32"/>
          <w:szCs w:val="32"/>
          <w:lang w:val="en-US" w:eastAsia="zh-CN" w:bidi="ar-SA"/>
        </w:rPr>
        <w:t>4.5</w:t>
      </w:r>
      <w:r>
        <w:rPr>
          <w:rFonts w:hint="eastAsia" w:ascii="方正仿宋_GBK" w:hAnsi="方正仿宋_GBK" w:eastAsia="方正仿宋_GBK" w:cs="方正仿宋_GBK"/>
          <w:color w:val="auto"/>
          <w:lang w:eastAsia="zh-CN"/>
        </w:rPr>
        <w:t>应急响应</w:t>
      </w:r>
      <w:bookmarkEnd w:id="103"/>
    </w:p>
    <w:p w14:paraId="3B1ABB8C">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val="en-US" w:eastAsia="zh-CN"/>
        </w:rPr>
      </w:pPr>
      <w:bookmarkStart w:id="104" w:name="_Toc27452"/>
      <w:r>
        <w:rPr>
          <w:rFonts w:hint="eastAsia" w:ascii="方正仿宋_GBK" w:hAnsi="方正仿宋_GBK" w:eastAsia="方正仿宋_GBK" w:cs="方正仿宋_GBK"/>
          <w:b/>
          <w:bCs/>
          <w:color w:val="auto"/>
          <w:kern w:val="2"/>
          <w:sz w:val="32"/>
          <w:szCs w:val="32"/>
          <w:lang w:val="en-US" w:eastAsia="zh-CN" w:bidi="ar-SA"/>
        </w:rPr>
        <w:t>4.5.1</w:t>
      </w:r>
      <w:r>
        <w:rPr>
          <w:rFonts w:hint="eastAsia" w:ascii="方正仿宋_GBK" w:hAnsi="方正仿宋_GBK" w:eastAsia="方正仿宋_GBK" w:cs="方正仿宋_GBK"/>
          <w:color w:val="auto"/>
          <w:lang w:eastAsia="zh-CN"/>
        </w:rPr>
        <w:t>应急响应分级及启动</w:t>
      </w:r>
      <w:bookmarkEnd w:id="104"/>
    </w:p>
    <w:p w14:paraId="4F6D5F62">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对应预警分级，应急响应分为三个等级：由低到高顺序依次为黄色（Ⅲ级）应急响应、橙色（Ⅱ级）应急响应、红色（Ⅰ级）应急响应。启动预警时，启动相应等级应急响应。</w:t>
      </w:r>
    </w:p>
    <w:p w14:paraId="51CD27B1">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05" w:name="_Toc3918"/>
      <w:r>
        <w:rPr>
          <w:rFonts w:hint="eastAsia" w:ascii="方正仿宋_GBK" w:hAnsi="方正仿宋_GBK" w:eastAsia="方正仿宋_GBK" w:cs="方正仿宋_GBK"/>
          <w:b/>
          <w:bCs/>
          <w:color w:val="auto"/>
          <w:kern w:val="2"/>
          <w:sz w:val="32"/>
          <w:szCs w:val="32"/>
          <w:lang w:val="en-US" w:eastAsia="zh-CN" w:bidi="ar-SA"/>
        </w:rPr>
        <w:t>4.5.2</w:t>
      </w:r>
      <w:r>
        <w:rPr>
          <w:rFonts w:hint="eastAsia" w:ascii="方正仿宋_GBK" w:hAnsi="方正仿宋_GBK" w:eastAsia="方正仿宋_GBK" w:cs="方正仿宋_GBK"/>
          <w:color w:val="auto"/>
          <w:lang w:eastAsia="zh-CN"/>
        </w:rPr>
        <w:t>应急响应</w:t>
      </w:r>
      <w:bookmarkEnd w:id="105"/>
    </w:p>
    <w:p w14:paraId="4DB1BE7E">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预警信息发布与应急响应同步。预警信息由市指挥部办公室统一发布，乡镇人民政府、街道办事处、经开区管委会及重点废气排放企业收到应急预警信息后，立即启动应急响应。指挥长、副指挥长在市指挥部办公室或现场指挥、督查、协调处置工作。乡镇人民政府、街道办事处、经开区管委会及重点废气排放企业应及时向市指挥部办公室报告处置措施、效果及存在的问题等。</w:t>
      </w:r>
    </w:p>
    <w:p w14:paraId="16EFD35A">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响应措施包括建议性健康防护措施、建议性污染减排防控措施、强制性污染减排控制措施。</w:t>
      </w:r>
    </w:p>
    <w:p w14:paraId="57851C9F">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06" w:name="_Toc4781"/>
      <w:r>
        <w:rPr>
          <w:rFonts w:hint="eastAsia" w:ascii="方正仿宋_GBK" w:hAnsi="方正仿宋_GBK" w:eastAsia="方正仿宋_GBK" w:cs="方正仿宋_GBK"/>
          <w:b/>
          <w:bCs/>
          <w:color w:val="auto"/>
          <w:kern w:val="2"/>
          <w:sz w:val="32"/>
          <w:szCs w:val="32"/>
          <w:lang w:val="en-US" w:eastAsia="zh-CN" w:bidi="ar-SA"/>
        </w:rPr>
        <w:t>4.5.3</w:t>
      </w:r>
      <w:r>
        <w:rPr>
          <w:rFonts w:hint="eastAsia" w:ascii="方正仿宋_GBK" w:hAnsi="方正仿宋_GBK" w:eastAsia="方正仿宋_GBK" w:cs="方正仿宋_GBK"/>
          <w:color w:val="auto"/>
          <w:lang w:eastAsia="zh-CN"/>
        </w:rPr>
        <w:t>健康防护提示性信息</w:t>
      </w:r>
      <w:bookmarkEnd w:id="106"/>
    </w:p>
    <w:p w14:paraId="3C5C4E6D">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eastAsia="zh-CN"/>
        </w:rPr>
        <w:t>当预测AQI日均值＞200将持续1天（24小时）时，不启动预警，通过媒体发布健康防护提示性信息，启动健康防护指引，建议儿童、老年人和呼吸系统、心脑血管疾病患者等易感人群减少户外活动。</w:t>
      </w:r>
    </w:p>
    <w:p w14:paraId="43E79992">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07" w:name="_Toc4544"/>
      <w:r>
        <w:rPr>
          <w:rFonts w:hint="eastAsia" w:ascii="方正仿宋_GBK" w:hAnsi="方正仿宋_GBK" w:eastAsia="方正仿宋_GBK" w:cs="方正仿宋_GBK"/>
          <w:b/>
          <w:bCs/>
          <w:color w:val="auto"/>
          <w:kern w:val="2"/>
          <w:sz w:val="32"/>
          <w:szCs w:val="32"/>
          <w:lang w:val="en-US" w:eastAsia="zh-CN" w:bidi="ar-SA"/>
        </w:rPr>
        <w:t>4.5.4</w:t>
      </w:r>
      <w:r>
        <w:rPr>
          <w:rFonts w:hint="eastAsia" w:ascii="方正仿宋_GBK" w:hAnsi="方正仿宋_GBK" w:eastAsia="方正仿宋_GBK" w:cs="方正仿宋_GBK"/>
          <w:color w:val="auto"/>
          <w:lang w:eastAsia="zh-CN"/>
        </w:rPr>
        <w:t>黄色（III级）预警应急响应措施</w:t>
      </w:r>
      <w:bookmarkEnd w:id="107"/>
    </w:p>
    <w:p w14:paraId="62A22E80">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（1）建议性健康防护措施</w:t>
      </w:r>
    </w:p>
    <w:p w14:paraId="5C04DAB3">
      <w:pPr>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kern w:val="2"/>
          <w:sz w:val="32"/>
          <w:szCs w:val="22"/>
          <w:lang w:val="en-US" w:eastAsia="zh-CN" w:bidi="ar-SA"/>
        </w:rPr>
        <w:t>①</w:t>
      </w:r>
      <w:r>
        <w:rPr>
          <w:rFonts w:hint="eastAsia" w:ascii="方正仿宋_GBK" w:hAnsi="方正仿宋_GBK" w:eastAsia="方正仿宋_GBK" w:cs="方正仿宋_GBK"/>
          <w:snapToGrid w:val="0"/>
          <w:color w:val="auto"/>
          <w:kern w:val="21"/>
          <w:sz w:val="32"/>
          <w:szCs w:val="32"/>
          <w:highlight w:val="none"/>
        </w:rPr>
        <w:t>提醒儿童、孕妇、老年人和患有呼吸系统、心脑血管疾病及其他慢性疾病等易感人群尽量留在室内，避免户外活动，尽量减少开窗通风时间</w:t>
      </w:r>
      <w:r>
        <w:rPr>
          <w:rFonts w:hint="eastAsia" w:ascii="方正仿宋_GBK" w:hAnsi="方正仿宋_GBK" w:eastAsia="方正仿宋_GBK" w:cs="方正仿宋_GBK"/>
          <w:snapToGrid w:val="0"/>
          <w:color w:val="auto"/>
          <w:kern w:val="21"/>
          <w:sz w:val="32"/>
          <w:szCs w:val="32"/>
          <w:highlight w:val="none"/>
          <w:lang w:eastAsia="zh-CN"/>
        </w:rPr>
        <w:t>。</w:t>
      </w:r>
    </w:p>
    <w:p w14:paraId="2038B194">
      <w:pPr>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snapToGrid w:val="0"/>
          <w:color w:val="auto"/>
          <w:kern w:val="21"/>
          <w:sz w:val="32"/>
          <w:szCs w:val="32"/>
          <w:highlight w:val="none"/>
          <w:lang w:eastAsia="zh-CN"/>
        </w:rPr>
      </w:pPr>
      <w:r>
        <w:rPr>
          <w:rFonts w:hint="eastAsia" w:ascii="方正仿宋_GBK" w:hAnsi="方正仿宋_GBK" w:eastAsia="方正仿宋_GBK" w:cs="方正仿宋_GBK"/>
          <w:snapToGrid w:val="0"/>
          <w:color w:val="auto"/>
          <w:kern w:val="21"/>
          <w:sz w:val="32"/>
          <w:szCs w:val="32"/>
          <w:lang w:val="en-US" w:eastAsia="zh-CN" w:bidi="ar-SA"/>
        </w:rPr>
        <w:t>②</w:t>
      </w:r>
      <w:r>
        <w:rPr>
          <w:rFonts w:hint="eastAsia" w:ascii="方正仿宋_GBK" w:hAnsi="方正仿宋_GBK" w:eastAsia="方正仿宋_GBK" w:cs="方正仿宋_GBK"/>
          <w:snapToGrid w:val="0"/>
          <w:color w:val="auto"/>
          <w:kern w:val="21"/>
          <w:sz w:val="32"/>
          <w:szCs w:val="32"/>
          <w:highlight w:val="none"/>
        </w:rPr>
        <w:t>提醒一般人群减少或避免户外活动，如不可避免，建议采取佩戴合适口罩、缩短户外工作时间等必要的防护措施，室外工作、执勤、作业、活动等人员可以采取佩戴合适口罩、缩短户外工作时间等必要的防护措施</w:t>
      </w:r>
      <w:r>
        <w:rPr>
          <w:rFonts w:hint="eastAsia" w:ascii="方正仿宋_GBK" w:hAnsi="方正仿宋_GBK" w:eastAsia="方正仿宋_GBK" w:cs="方正仿宋_GBK"/>
          <w:snapToGrid w:val="0"/>
          <w:color w:val="auto"/>
          <w:kern w:val="21"/>
          <w:sz w:val="32"/>
          <w:szCs w:val="32"/>
          <w:highlight w:val="none"/>
          <w:lang w:eastAsia="zh-CN"/>
        </w:rPr>
        <w:t>。</w:t>
      </w:r>
    </w:p>
    <w:p w14:paraId="7381CB75">
      <w:pPr>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snapToGrid w:val="0"/>
          <w:color w:val="auto"/>
          <w:kern w:val="21"/>
          <w:sz w:val="32"/>
          <w:szCs w:val="32"/>
          <w:highlight w:val="none"/>
          <w:lang w:eastAsia="zh-CN"/>
        </w:rPr>
      </w:pPr>
      <w:r>
        <w:rPr>
          <w:rFonts w:hint="eastAsia" w:ascii="方正仿宋_GBK" w:hAnsi="方正仿宋_GBK" w:eastAsia="方正仿宋_GBK" w:cs="方正仿宋_GBK"/>
          <w:snapToGrid w:val="0"/>
          <w:color w:val="auto"/>
          <w:kern w:val="21"/>
          <w:sz w:val="32"/>
          <w:szCs w:val="32"/>
          <w:lang w:val="en-US" w:eastAsia="zh-CN" w:bidi="ar-SA"/>
        </w:rPr>
        <w:t>③</w:t>
      </w:r>
      <w:r>
        <w:rPr>
          <w:rFonts w:hint="eastAsia" w:ascii="方正仿宋_GBK" w:hAnsi="方正仿宋_GBK" w:eastAsia="方正仿宋_GBK" w:cs="方正仿宋_GBK"/>
          <w:snapToGrid w:val="0"/>
          <w:color w:val="auto"/>
          <w:kern w:val="21"/>
          <w:sz w:val="32"/>
          <w:szCs w:val="32"/>
          <w:highlight w:val="none"/>
        </w:rPr>
        <w:t>建议中小学、幼儿园减少户外活动，户外集体活动可改为室内活动</w:t>
      </w:r>
      <w:r>
        <w:rPr>
          <w:rFonts w:hint="eastAsia" w:ascii="方正仿宋_GBK" w:hAnsi="方正仿宋_GBK" w:eastAsia="方正仿宋_GBK" w:cs="方正仿宋_GBK"/>
          <w:snapToGrid w:val="0"/>
          <w:color w:val="auto"/>
          <w:kern w:val="21"/>
          <w:sz w:val="32"/>
          <w:szCs w:val="32"/>
          <w:highlight w:val="none"/>
          <w:lang w:eastAsia="zh-CN"/>
        </w:rPr>
        <w:t>。</w:t>
      </w:r>
    </w:p>
    <w:p w14:paraId="4E827A3F">
      <w:pPr>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snapToGrid w:val="0"/>
          <w:color w:val="auto"/>
          <w:kern w:val="21"/>
          <w:sz w:val="32"/>
          <w:szCs w:val="32"/>
          <w:highlight w:val="none"/>
          <w:lang w:eastAsia="zh-CN"/>
        </w:rPr>
      </w:pPr>
      <w:r>
        <w:rPr>
          <w:rFonts w:hint="eastAsia" w:ascii="方正仿宋_GBK" w:hAnsi="方正仿宋_GBK" w:eastAsia="方正仿宋_GBK" w:cs="方正仿宋_GBK"/>
          <w:snapToGrid w:val="0"/>
          <w:color w:val="auto"/>
          <w:kern w:val="21"/>
          <w:sz w:val="32"/>
          <w:szCs w:val="32"/>
          <w:lang w:val="en-US" w:eastAsia="zh-CN" w:bidi="ar-SA"/>
        </w:rPr>
        <w:t>④</w:t>
      </w:r>
      <w:r>
        <w:rPr>
          <w:rFonts w:hint="eastAsia" w:ascii="方正仿宋_GBK" w:hAnsi="方正仿宋_GBK" w:eastAsia="方正仿宋_GBK" w:cs="方正仿宋_GBK"/>
          <w:snapToGrid w:val="0"/>
          <w:color w:val="auto"/>
          <w:kern w:val="21"/>
          <w:sz w:val="32"/>
          <w:szCs w:val="32"/>
          <w:highlight w:val="none"/>
        </w:rPr>
        <w:t>医疗机构应积极开展大气污染对人体健康危害的科普宣传，增设呼吸类等相关疾病门诊、急诊，延长工作时间，加强对呼吸类疾病患者的就医指导和诊疗保障</w:t>
      </w:r>
      <w:r>
        <w:rPr>
          <w:rFonts w:hint="eastAsia" w:ascii="方正仿宋_GBK" w:hAnsi="方正仿宋_GBK" w:eastAsia="方正仿宋_GBK" w:cs="方正仿宋_GBK"/>
          <w:snapToGrid w:val="0"/>
          <w:color w:val="auto"/>
          <w:kern w:val="21"/>
          <w:sz w:val="32"/>
          <w:szCs w:val="32"/>
          <w:highlight w:val="none"/>
          <w:lang w:eastAsia="zh-CN"/>
        </w:rPr>
        <w:t>。</w:t>
      </w:r>
    </w:p>
    <w:p w14:paraId="282951A9">
      <w:pPr>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snapToGrid w:val="0"/>
          <w:color w:val="auto"/>
          <w:kern w:val="21"/>
          <w:sz w:val="32"/>
          <w:szCs w:val="32"/>
          <w:highlight w:val="none"/>
          <w:lang w:eastAsia="zh-CN"/>
        </w:rPr>
      </w:pPr>
      <w:r>
        <w:rPr>
          <w:rFonts w:hint="eastAsia" w:ascii="方正仿宋_GBK" w:hAnsi="方正仿宋_GBK" w:eastAsia="方正仿宋_GBK" w:cs="方正仿宋_GBK"/>
          <w:snapToGrid w:val="0"/>
          <w:color w:val="auto"/>
          <w:kern w:val="21"/>
          <w:sz w:val="32"/>
          <w:szCs w:val="32"/>
          <w:lang w:val="en-US" w:eastAsia="zh-CN" w:bidi="ar-SA"/>
        </w:rPr>
        <w:t>⑤</w:t>
      </w:r>
      <w:r>
        <w:rPr>
          <w:rFonts w:hint="eastAsia" w:ascii="方正仿宋_GBK" w:hAnsi="方正仿宋_GBK" w:eastAsia="方正仿宋_GBK" w:cs="方正仿宋_GBK"/>
          <w:snapToGrid w:val="0"/>
          <w:color w:val="auto"/>
          <w:kern w:val="21"/>
          <w:sz w:val="32"/>
          <w:szCs w:val="32"/>
          <w:highlight w:val="none"/>
        </w:rPr>
        <w:t>各级重污染天气应急组织机构要组织专家解读预警信息和采取的应急措施效果，宣传重污染天气应急工作和公众健康防护知识，引导公众建立合理的心理预期，客观评价并积极参与到应对工作中</w:t>
      </w:r>
      <w:r>
        <w:rPr>
          <w:rFonts w:hint="eastAsia" w:ascii="方正仿宋_GBK" w:hAnsi="方正仿宋_GBK" w:eastAsia="方正仿宋_GBK" w:cs="方正仿宋_GBK"/>
          <w:snapToGrid w:val="0"/>
          <w:color w:val="auto"/>
          <w:kern w:val="21"/>
          <w:sz w:val="32"/>
          <w:szCs w:val="32"/>
          <w:highlight w:val="none"/>
          <w:lang w:eastAsia="zh-CN"/>
        </w:rPr>
        <w:t>。</w:t>
      </w:r>
    </w:p>
    <w:p w14:paraId="29B3D5EF">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（2）建议性污染减排措施</w:t>
      </w:r>
    </w:p>
    <w:p w14:paraId="2C4622BA">
      <w:pPr>
        <w:keepNext w:val="0"/>
        <w:keepLines w:val="0"/>
        <w:pageBreakBefore w:val="0"/>
        <w:widowControl w:val="0"/>
        <w:numPr>
          <w:ilvl w:val="0"/>
          <w:numId w:val="0"/>
        </w:numPr>
        <w:kinsoku/>
        <w:wordWrap/>
        <w:overflowPunct/>
        <w:topLinePunct w:val="0"/>
        <w:bidi w:val="0"/>
        <w:spacing w:line="600" w:lineRule="exact"/>
        <w:ind w:left="0" w:leftChars="0" w:firstLine="640" w:firstLineChars="200"/>
        <w:textAlignment w:val="auto"/>
        <w:rPr>
          <w:rFonts w:hint="eastAsia" w:ascii="方正仿宋_GBK" w:hAnsi="方正仿宋_GBK" w:eastAsia="方正仿宋_GBK" w:cs="方正仿宋_GBK"/>
          <w:snapToGrid w:val="0"/>
          <w:color w:val="auto"/>
          <w:kern w:val="21"/>
          <w:sz w:val="32"/>
          <w:szCs w:val="32"/>
          <w:highlight w:val="none"/>
          <w:lang w:eastAsia="zh-CN"/>
        </w:rPr>
      </w:pPr>
      <w:r>
        <w:rPr>
          <w:rFonts w:hint="eastAsia" w:ascii="方正仿宋_GBK" w:hAnsi="方正仿宋_GBK" w:eastAsia="方正仿宋_GBK" w:cs="方正仿宋_GBK"/>
          <w:snapToGrid w:val="0"/>
          <w:color w:val="auto"/>
          <w:kern w:val="21"/>
          <w:sz w:val="32"/>
          <w:szCs w:val="32"/>
          <w:highlight w:val="none"/>
          <w:lang w:eastAsia="zh-CN"/>
        </w:rPr>
        <w:t>倡导公众及排放大气污染物的单位自觉采取措施减少污染物排放。具体措施：</w:t>
      </w:r>
    </w:p>
    <w:p w14:paraId="48B7971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snapToGrid w:val="0"/>
          <w:color w:val="auto"/>
          <w:kern w:val="21"/>
          <w:sz w:val="32"/>
          <w:szCs w:val="32"/>
          <w:highlight w:val="none"/>
        </w:rPr>
      </w:pPr>
      <w:r>
        <w:rPr>
          <w:rFonts w:hint="eastAsia" w:ascii="方正仿宋_GBK" w:hAnsi="方正仿宋_GBK" w:eastAsia="方正仿宋_GBK" w:cs="方正仿宋_GBK"/>
          <w:snapToGrid w:val="0"/>
          <w:color w:val="auto"/>
          <w:kern w:val="21"/>
          <w:sz w:val="32"/>
          <w:szCs w:val="32"/>
          <w:highlight w:val="none"/>
          <w:lang w:eastAsia="zh-CN"/>
        </w:rPr>
        <w:t>①</w:t>
      </w:r>
      <w:r>
        <w:rPr>
          <w:rFonts w:hint="eastAsia" w:ascii="方正仿宋_GBK" w:hAnsi="方正仿宋_GBK" w:eastAsia="方正仿宋_GBK" w:cs="方正仿宋_GBK"/>
          <w:snapToGrid w:val="0"/>
          <w:color w:val="auto"/>
          <w:kern w:val="21"/>
          <w:sz w:val="32"/>
          <w:szCs w:val="32"/>
          <w:highlight w:val="none"/>
        </w:rPr>
        <w:t>倡导企事业单位节约用电，减少能源消耗，冬季取暖设施温度较平日调低2-4摄氏度；减少电脑、打印机、复印机、传真机等办公设备待机能耗；充分利用自然光照明，推广使用节能照明灯具，尽可能减少照明数量和时间。</w:t>
      </w:r>
    </w:p>
    <w:p w14:paraId="195BC7A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snapToGrid w:val="0"/>
          <w:color w:val="auto"/>
          <w:kern w:val="21"/>
          <w:sz w:val="32"/>
          <w:szCs w:val="32"/>
          <w:highlight w:val="none"/>
        </w:rPr>
      </w:pPr>
      <w:r>
        <w:rPr>
          <w:rFonts w:hint="eastAsia" w:ascii="方正仿宋_GBK" w:hAnsi="方正仿宋_GBK" w:eastAsia="方正仿宋_GBK" w:cs="方正仿宋_GBK"/>
          <w:snapToGrid w:val="0"/>
          <w:color w:val="auto"/>
          <w:kern w:val="21"/>
          <w:sz w:val="32"/>
          <w:szCs w:val="32"/>
          <w:highlight w:val="none"/>
          <w:lang w:eastAsia="zh-CN"/>
        </w:rPr>
        <w:t>②</w:t>
      </w:r>
      <w:r>
        <w:rPr>
          <w:rFonts w:hint="eastAsia" w:ascii="方正仿宋_GBK" w:hAnsi="方正仿宋_GBK" w:eastAsia="方正仿宋_GBK" w:cs="方正仿宋_GBK"/>
          <w:snapToGrid w:val="0"/>
          <w:color w:val="auto"/>
          <w:kern w:val="21"/>
          <w:sz w:val="32"/>
          <w:szCs w:val="32"/>
          <w:highlight w:val="none"/>
        </w:rPr>
        <w:t>倡导公众绿色出行，尽量乘坐公共交通工具或新能源汽车等出行，驻车时及时熄火，减少车辆原地怠速运行时间。</w:t>
      </w:r>
    </w:p>
    <w:p w14:paraId="0CF7327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snapToGrid w:val="0"/>
          <w:color w:val="auto"/>
          <w:kern w:val="21"/>
          <w:sz w:val="32"/>
          <w:szCs w:val="32"/>
          <w:highlight w:val="none"/>
        </w:rPr>
      </w:pPr>
      <w:r>
        <w:rPr>
          <w:rFonts w:hint="eastAsia" w:ascii="方正仿宋_GBK" w:hAnsi="方正仿宋_GBK" w:eastAsia="方正仿宋_GBK" w:cs="方正仿宋_GBK"/>
          <w:snapToGrid w:val="0"/>
          <w:color w:val="auto"/>
          <w:kern w:val="21"/>
          <w:sz w:val="32"/>
          <w:szCs w:val="32"/>
          <w:highlight w:val="none"/>
          <w:lang w:eastAsia="zh-CN"/>
        </w:rPr>
        <w:t>③</w:t>
      </w:r>
      <w:r>
        <w:rPr>
          <w:rFonts w:hint="eastAsia" w:ascii="方正仿宋_GBK" w:hAnsi="方正仿宋_GBK" w:eastAsia="方正仿宋_GBK" w:cs="方正仿宋_GBK"/>
          <w:snapToGrid w:val="0"/>
          <w:color w:val="auto"/>
          <w:kern w:val="21"/>
          <w:sz w:val="32"/>
          <w:szCs w:val="32"/>
          <w:highlight w:val="none"/>
        </w:rPr>
        <w:t>倡导公众绿色消费，单位和公众尽量减少涂料、油漆、溶剂等含挥发性有机物的原材料及产品使用。</w:t>
      </w:r>
    </w:p>
    <w:p w14:paraId="5AFFA55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snapToGrid w:val="0"/>
          <w:color w:val="auto"/>
          <w:kern w:val="21"/>
          <w:sz w:val="32"/>
          <w:szCs w:val="32"/>
          <w:highlight w:val="none"/>
          <w:lang w:eastAsia="zh-CN"/>
        </w:rPr>
        <w:t>④</w:t>
      </w:r>
      <w:r>
        <w:rPr>
          <w:rFonts w:hint="eastAsia" w:ascii="方正仿宋_GBK" w:hAnsi="方正仿宋_GBK" w:eastAsia="方正仿宋_GBK" w:cs="方正仿宋_GBK"/>
          <w:snapToGrid w:val="0"/>
          <w:color w:val="auto"/>
          <w:kern w:val="21"/>
          <w:sz w:val="32"/>
          <w:szCs w:val="32"/>
          <w:highlight w:val="none"/>
        </w:rPr>
        <w:t>倡导未纳入应急管控的大气污染物排放单位根据实际情况控制污染工序生产，主动减排，可在达标排放基础上提高污染治理设施效率，调整污染工序的生产时间，进一步减少污染物排放。</w:t>
      </w:r>
    </w:p>
    <w:p w14:paraId="23A21C38">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（3）强制性污染控制措施</w:t>
      </w:r>
    </w:p>
    <w:p w14:paraId="64554846">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color w:val="auto"/>
          <w:u w:val="none"/>
          <w:lang w:eastAsia="zh-CN"/>
        </w:rPr>
      </w:pPr>
      <w:r>
        <w:rPr>
          <w:rFonts w:hint="eastAsia" w:ascii="方正仿宋_GBK" w:hAnsi="方正仿宋_GBK" w:eastAsia="方正仿宋_GBK" w:cs="方正仿宋_GBK"/>
          <w:color w:val="auto"/>
          <w:u w:val="none"/>
          <w:lang w:eastAsia="zh-CN"/>
        </w:rPr>
        <w:t>按照重污染天气应急减排清单实施工业源、移动源、扬尘源和面源的应急减排措施，减少全市二氧化硫（</w:t>
      </w:r>
      <w:r>
        <w:rPr>
          <w:rFonts w:hint="eastAsia" w:ascii="方正仿宋_GBK" w:hAnsi="方正仿宋_GBK" w:eastAsia="方正仿宋_GBK" w:cs="方正仿宋_GBK"/>
          <w:color w:val="auto"/>
          <w:u w:val="none"/>
          <w:lang w:val="en-US" w:eastAsia="zh-CN"/>
        </w:rPr>
        <w:t>SO</w:t>
      </w:r>
      <w:r>
        <w:rPr>
          <w:rFonts w:hint="eastAsia" w:ascii="方正仿宋_GBK" w:hAnsi="方正仿宋_GBK" w:eastAsia="方正仿宋_GBK" w:cs="方正仿宋_GBK"/>
          <w:color w:val="auto"/>
          <w:u w:val="none"/>
          <w:vertAlign w:val="subscript"/>
          <w:lang w:val="en-US" w:eastAsia="zh-CN"/>
        </w:rPr>
        <w:t>2</w:t>
      </w:r>
      <w:r>
        <w:rPr>
          <w:rFonts w:hint="eastAsia" w:ascii="方正仿宋_GBK" w:hAnsi="方正仿宋_GBK" w:eastAsia="方正仿宋_GBK" w:cs="方正仿宋_GBK"/>
          <w:color w:val="auto"/>
          <w:u w:val="none"/>
          <w:lang w:eastAsia="zh-CN"/>
        </w:rPr>
        <w:t>）、氮氧化物（</w:t>
      </w:r>
      <w:r>
        <w:rPr>
          <w:rFonts w:hint="eastAsia" w:ascii="方正仿宋_GBK" w:hAnsi="方正仿宋_GBK" w:eastAsia="方正仿宋_GBK" w:cs="方正仿宋_GBK"/>
          <w:color w:val="auto"/>
          <w:u w:val="none"/>
          <w:lang w:val="en-US" w:eastAsia="zh-CN"/>
        </w:rPr>
        <w:t>NO</w:t>
      </w:r>
      <w:r>
        <w:rPr>
          <w:rFonts w:hint="eastAsia" w:ascii="方正仿宋_GBK" w:hAnsi="方正仿宋_GBK" w:eastAsia="方正仿宋_GBK" w:cs="方正仿宋_GBK"/>
          <w:color w:val="auto"/>
          <w:u w:val="none"/>
          <w:vertAlign w:val="subscript"/>
          <w:lang w:val="en-US" w:eastAsia="zh-CN"/>
        </w:rPr>
        <w:t>X</w:t>
      </w:r>
      <w:r>
        <w:rPr>
          <w:rFonts w:hint="eastAsia" w:ascii="方正仿宋_GBK" w:hAnsi="方正仿宋_GBK" w:eastAsia="方正仿宋_GBK" w:cs="方正仿宋_GBK"/>
          <w:color w:val="auto"/>
          <w:u w:val="none"/>
          <w:lang w:eastAsia="zh-CN"/>
        </w:rPr>
        <w:t>）、颗粒物（</w:t>
      </w:r>
      <w:r>
        <w:rPr>
          <w:rFonts w:hint="eastAsia" w:ascii="方正仿宋_GBK" w:hAnsi="方正仿宋_GBK" w:eastAsia="方正仿宋_GBK" w:cs="方正仿宋_GBK"/>
          <w:color w:val="auto"/>
          <w:u w:val="none"/>
          <w:lang w:val="en-US" w:eastAsia="zh-CN"/>
        </w:rPr>
        <w:t>PM</w:t>
      </w:r>
      <w:r>
        <w:rPr>
          <w:rFonts w:hint="eastAsia" w:ascii="方正仿宋_GBK" w:hAnsi="方正仿宋_GBK" w:eastAsia="方正仿宋_GBK" w:cs="方正仿宋_GBK"/>
          <w:color w:val="auto"/>
          <w:u w:val="none"/>
          <w:lang w:eastAsia="zh-CN"/>
        </w:rPr>
        <w:t>）和挥发性有机物（</w:t>
      </w:r>
      <w:r>
        <w:rPr>
          <w:rFonts w:hint="eastAsia" w:ascii="方正仿宋_GBK" w:hAnsi="方正仿宋_GBK" w:eastAsia="方正仿宋_GBK" w:cs="方正仿宋_GBK"/>
          <w:color w:val="auto"/>
          <w:u w:val="none"/>
          <w:lang w:val="en-US" w:eastAsia="zh-CN"/>
        </w:rPr>
        <w:t>VOC</w:t>
      </w:r>
      <w:r>
        <w:rPr>
          <w:rFonts w:hint="eastAsia" w:ascii="方正仿宋_GBK" w:hAnsi="方正仿宋_GBK" w:eastAsia="方正仿宋_GBK" w:cs="方正仿宋_GBK"/>
          <w:color w:val="auto"/>
          <w:u w:val="none"/>
          <w:vertAlign w:val="subscript"/>
          <w:lang w:val="en-US" w:eastAsia="zh-CN"/>
        </w:rPr>
        <w:t>s</w:t>
      </w:r>
      <w:r>
        <w:rPr>
          <w:rFonts w:hint="eastAsia" w:ascii="方正仿宋_GBK" w:hAnsi="方正仿宋_GBK" w:eastAsia="方正仿宋_GBK" w:cs="方正仿宋_GBK"/>
          <w:color w:val="auto"/>
          <w:u w:val="none"/>
          <w:lang w:eastAsia="zh-CN"/>
        </w:rPr>
        <w:t>）的排放量。</w:t>
      </w:r>
    </w:p>
    <w:p w14:paraId="4F01753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color w:val="auto"/>
          <w:u w:val="none"/>
          <w:lang w:eastAsia="zh-CN"/>
        </w:rPr>
      </w:pPr>
      <w:r>
        <w:rPr>
          <w:rFonts w:hint="eastAsia" w:ascii="方正仿宋_GBK" w:hAnsi="方正仿宋_GBK" w:eastAsia="方正仿宋_GBK" w:cs="方正仿宋_GBK"/>
          <w:snapToGrid w:val="0"/>
          <w:color w:val="auto"/>
          <w:kern w:val="21"/>
          <w:sz w:val="32"/>
          <w:szCs w:val="32"/>
          <w:highlight w:val="none"/>
          <w:lang w:eastAsia="zh-CN"/>
        </w:rPr>
        <w:t>①</w:t>
      </w:r>
      <w:r>
        <w:rPr>
          <w:rFonts w:hint="eastAsia" w:ascii="方正仿宋_GBK" w:hAnsi="方正仿宋_GBK" w:eastAsia="方正仿宋_GBK" w:cs="方正仿宋_GBK"/>
          <w:color w:val="auto"/>
          <w:u w:val="none"/>
          <w:lang w:eastAsia="zh-CN"/>
        </w:rPr>
        <w:t>纳入应急减排清单的工业企业应按照“一厂一策”实施方案要求实施黄色预警下的减排措施。</w:t>
      </w:r>
    </w:p>
    <w:p w14:paraId="7ED5C4C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color w:val="auto"/>
          <w:u w:val="none"/>
          <w:lang w:eastAsia="zh-CN"/>
        </w:rPr>
      </w:pPr>
      <w:r>
        <w:rPr>
          <w:rFonts w:hint="eastAsia" w:ascii="方正仿宋_GBK" w:hAnsi="方正仿宋_GBK" w:eastAsia="方正仿宋_GBK" w:cs="方正仿宋_GBK"/>
          <w:snapToGrid w:val="0"/>
          <w:color w:val="auto"/>
          <w:kern w:val="21"/>
          <w:sz w:val="32"/>
          <w:szCs w:val="32"/>
          <w:highlight w:val="none"/>
          <w:lang w:eastAsia="zh-CN"/>
        </w:rPr>
        <w:t>②</w:t>
      </w:r>
      <w:r>
        <w:rPr>
          <w:rFonts w:hint="eastAsia" w:ascii="方正仿宋_GBK" w:hAnsi="方正仿宋_GBK" w:eastAsia="方正仿宋_GBK" w:cs="方正仿宋_GBK"/>
          <w:color w:val="auto"/>
          <w:u w:val="none"/>
          <w:lang w:eastAsia="zh-CN"/>
        </w:rPr>
        <w:t>机动车和非道路移动机械按移动源应急减排清单要求实施黄色预警下的减排措施。加强对城区高污染排放车辆通行管控；开展重点区域周边道路的交通疏导，减少车辆怠速行驶；暂停施工场地非道路移动工程机械作业。</w:t>
      </w:r>
    </w:p>
    <w:p w14:paraId="3ED8F91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color w:val="auto"/>
          <w:u w:val="none"/>
          <w:lang w:eastAsia="zh-CN"/>
        </w:rPr>
      </w:pPr>
      <w:r>
        <w:rPr>
          <w:rFonts w:hint="eastAsia" w:ascii="方正仿宋_GBK" w:hAnsi="方正仿宋_GBK" w:eastAsia="方正仿宋_GBK" w:cs="方正仿宋_GBK"/>
          <w:color w:val="auto"/>
          <w:u w:val="none"/>
          <w:lang w:eastAsia="zh-CN"/>
        </w:rPr>
        <w:t>③施工工地、商品混凝土企业按扬尘源污染管控要求实施黄色预警减排措施。</w:t>
      </w:r>
    </w:p>
    <w:p w14:paraId="53A24A7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color w:val="auto"/>
          <w:u w:val="none"/>
          <w:lang w:val="en-US" w:eastAsia="zh-CN"/>
        </w:rPr>
      </w:pPr>
      <w:r>
        <w:rPr>
          <w:rFonts w:hint="eastAsia" w:ascii="方正仿宋_GBK" w:hAnsi="方正仿宋_GBK" w:eastAsia="方正仿宋_GBK" w:cs="方正仿宋_GBK"/>
          <w:color w:val="auto"/>
          <w:u w:val="none"/>
          <w:lang w:eastAsia="zh-CN"/>
        </w:rPr>
        <w:t>④各主管单位加大对燃煤锅炉、施工场地、机动车排放、工业企业等重点大气污染源的直达检查频次，从严查处农作物秸秆及杂物焚烧、露天烧烤、烟花爆竹无序燃放、餐饮油烟无组织排放等违规行为，城管部门增加道路洒水以及喷雾降尘频次1次以上。</w:t>
      </w:r>
    </w:p>
    <w:p w14:paraId="56B0C878">
      <w:pPr>
        <w:pStyle w:val="5"/>
        <w:keepNext w:val="0"/>
        <w:keepLines w:val="0"/>
        <w:pageBreakBefore w:val="0"/>
        <w:widowControl w:val="0"/>
        <w:numPr>
          <w:ilvl w:val="0"/>
          <w:numId w:val="0"/>
        </w:numPr>
        <w:kinsoku/>
        <w:wordWrap/>
        <w:overflowPunct/>
        <w:topLinePunct w:val="0"/>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08" w:name="_Toc12582"/>
      <w:r>
        <w:rPr>
          <w:rFonts w:hint="eastAsia" w:ascii="方正仿宋_GBK" w:hAnsi="方正仿宋_GBK" w:eastAsia="方正仿宋_GBK" w:cs="方正仿宋_GBK"/>
          <w:b/>
          <w:bCs/>
          <w:color w:val="auto"/>
          <w:kern w:val="2"/>
          <w:sz w:val="32"/>
          <w:szCs w:val="32"/>
          <w:lang w:val="en-US" w:eastAsia="zh-CN" w:bidi="ar-SA"/>
        </w:rPr>
        <w:t>4.5.5</w:t>
      </w:r>
      <w:r>
        <w:rPr>
          <w:rFonts w:hint="eastAsia" w:ascii="方正仿宋_GBK" w:hAnsi="方正仿宋_GBK" w:eastAsia="方正仿宋_GBK" w:cs="方正仿宋_GBK"/>
          <w:color w:val="auto"/>
          <w:lang w:eastAsia="zh-CN"/>
        </w:rPr>
        <w:t>橙色（Ⅱ级）预警应急响应措施</w:t>
      </w:r>
      <w:bookmarkEnd w:id="108"/>
    </w:p>
    <w:p w14:paraId="269BFD27">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在落实Ⅲ级响应措施的基础上，增加以下措施:</w:t>
      </w:r>
    </w:p>
    <w:p w14:paraId="52E76E29">
      <w:pPr>
        <w:keepNext w:val="0"/>
        <w:keepLines w:val="0"/>
        <w:pageBreakBefore w:val="0"/>
        <w:widowControl w:val="0"/>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湘潭市生态环境局湘乡分局和市气象局增加重污染天气下环境空气质量的监测预警会商频次。市指挥部办公室根据实际情况组织评估重污染天气应急减排措施的效果，及时补充完善应对措施。</w:t>
      </w:r>
    </w:p>
    <w:p w14:paraId="438F1B33">
      <w:pPr>
        <w:keepNext w:val="0"/>
        <w:keepLines w:val="0"/>
        <w:pageBreakBefore w:val="0"/>
        <w:widowControl w:val="0"/>
        <w:numPr>
          <w:ilvl w:val="0"/>
          <w:numId w:val="6"/>
        </w:numPr>
        <w:kinsoku/>
        <w:wordWrap/>
        <w:overflowPunct/>
        <w:topLinePunct w:val="0"/>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建议性健康防护措施</w:t>
      </w:r>
    </w:p>
    <w:p w14:paraId="31E773AE">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color w:val="auto"/>
          <w:kern w:val="21"/>
          <w:sz w:val="32"/>
          <w:szCs w:val="32"/>
          <w:highlight w:val="none"/>
        </w:rPr>
      </w:pPr>
      <w:r>
        <w:rPr>
          <w:rFonts w:hint="eastAsia" w:ascii="方正仿宋_GBK" w:hAnsi="方正仿宋_GBK" w:eastAsia="方正仿宋_GBK" w:cs="方正仿宋_GBK"/>
          <w:snapToGrid w:val="0"/>
          <w:color w:val="auto"/>
          <w:kern w:val="21"/>
          <w:sz w:val="32"/>
          <w:szCs w:val="32"/>
          <w:highlight w:val="none"/>
          <w:lang w:eastAsia="zh-CN"/>
        </w:rPr>
        <w:t>①</w:t>
      </w:r>
      <w:r>
        <w:rPr>
          <w:rFonts w:hint="eastAsia" w:ascii="方正仿宋_GBK" w:hAnsi="方正仿宋_GBK" w:eastAsia="方正仿宋_GBK" w:cs="方正仿宋_GBK"/>
          <w:snapToGrid w:val="0"/>
          <w:color w:val="auto"/>
          <w:kern w:val="21"/>
          <w:sz w:val="32"/>
          <w:szCs w:val="32"/>
          <w:highlight w:val="none"/>
        </w:rPr>
        <w:t>停止举办露天比赛等大型群众性户外活动，旅游景区、度假区等旅游场所户外旅游活动采取缩短开放时间、游客限流、参观人员有序疏导等措施。</w:t>
      </w:r>
    </w:p>
    <w:p w14:paraId="771C583E">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color w:val="auto"/>
          <w:kern w:val="21"/>
          <w:sz w:val="32"/>
          <w:szCs w:val="32"/>
          <w:highlight w:val="none"/>
        </w:rPr>
      </w:pPr>
      <w:r>
        <w:rPr>
          <w:rFonts w:hint="eastAsia" w:ascii="方正仿宋_GBK" w:hAnsi="方正仿宋_GBK" w:eastAsia="方正仿宋_GBK" w:cs="方正仿宋_GBK"/>
          <w:snapToGrid w:val="0"/>
          <w:color w:val="auto"/>
          <w:kern w:val="21"/>
          <w:sz w:val="32"/>
          <w:szCs w:val="32"/>
          <w:highlight w:val="none"/>
          <w:lang w:eastAsia="zh-CN"/>
        </w:rPr>
        <w:t>②</w:t>
      </w:r>
      <w:r>
        <w:rPr>
          <w:rFonts w:hint="eastAsia" w:ascii="方正仿宋_GBK" w:hAnsi="方正仿宋_GBK" w:eastAsia="方正仿宋_GBK" w:cs="方正仿宋_GBK"/>
          <w:snapToGrid w:val="0"/>
          <w:color w:val="auto"/>
          <w:kern w:val="21"/>
          <w:sz w:val="32"/>
          <w:szCs w:val="32"/>
          <w:highlight w:val="none"/>
        </w:rPr>
        <w:t>中小学、幼儿园停止户外活动，延期举行体育考试和运动会等户外活动。</w:t>
      </w:r>
    </w:p>
    <w:p w14:paraId="3B0D03E6">
      <w:pPr>
        <w:keepNext w:val="0"/>
        <w:keepLines w:val="0"/>
        <w:pageBreakBefore w:val="0"/>
        <w:widowControl w:val="0"/>
        <w:numPr>
          <w:ilvl w:val="0"/>
          <w:numId w:val="0"/>
        </w:numPr>
        <w:kinsoku/>
        <w:wordWrap/>
        <w:overflowPunct/>
        <w:topLinePunct w:val="0"/>
        <w:autoSpaceDE/>
        <w:autoSpaceDN/>
        <w:bidi w:val="0"/>
        <w:snapToGrid w:val="0"/>
        <w:spacing w:line="600"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snapToGrid w:val="0"/>
          <w:color w:val="auto"/>
          <w:kern w:val="21"/>
          <w:sz w:val="32"/>
          <w:szCs w:val="32"/>
          <w:highlight w:val="none"/>
          <w:lang w:eastAsia="zh-CN"/>
        </w:rPr>
        <w:t>③</w:t>
      </w:r>
      <w:r>
        <w:rPr>
          <w:rFonts w:hint="eastAsia" w:ascii="方正仿宋_GBK" w:hAnsi="方正仿宋_GBK" w:eastAsia="方正仿宋_GBK" w:cs="方正仿宋_GBK"/>
          <w:snapToGrid w:val="0"/>
          <w:color w:val="auto"/>
          <w:kern w:val="21"/>
          <w:sz w:val="32"/>
          <w:szCs w:val="32"/>
          <w:highlight w:val="none"/>
        </w:rPr>
        <w:t>加强</w:t>
      </w:r>
      <w:r>
        <w:rPr>
          <w:rFonts w:hint="eastAsia" w:ascii="方正仿宋_GBK" w:hAnsi="方正仿宋_GBK" w:eastAsia="方正仿宋_GBK" w:cs="方正仿宋_GBK"/>
          <w:snapToGrid w:val="0"/>
          <w:color w:val="auto"/>
          <w:kern w:val="21"/>
          <w:sz w:val="32"/>
          <w:szCs w:val="32"/>
          <w:highlight w:val="none"/>
          <w:lang w:val="en-US" w:eastAsia="zh-CN"/>
        </w:rPr>
        <w:t>我市</w:t>
      </w:r>
      <w:r>
        <w:rPr>
          <w:rFonts w:hint="eastAsia" w:ascii="方正仿宋_GBK" w:hAnsi="方正仿宋_GBK" w:eastAsia="方正仿宋_GBK" w:cs="方正仿宋_GBK"/>
          <w:snapToGrid w:val="0"/>
          <w:color w:val="auto"/>
          <w:kern w:val="21"/>
          <w:sz w:val="32"/>
          <w:szCs w:val="32"/>
          <w:highlight w:val="none"/>
        </w:rPr>
        <w:t>医院呼吸及心血管门、急诊就诊情况监测，包括就诊人数、就诊疾病种类、抢救、住院、死亡等情况。</w:t>
      </w:r>
    </w:p>
    <w:p w14:paraId="38983D81">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（2）建议性污染减排措施</w:t>
      </w:r>
    </w:p>
    <w:p w14:paraId="0393E4B6">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倡导公众及排放大气污染物的单位自觉采取措施，减少污染物排放。具体措施：</w:t>
      </w:r>
    </w:p>
    <w:p w14:paraId="742931B7">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方正仿宋_GBK" w:hAnsi="方正仿宋_GBK" w:eastAsia="方正仿宋_GBK" w:cs="方正仿宋_GBK"/>
          <w:snapToGrid w:val="0"/>
          <w:color w:val="auto"/>
          <w:kern w:val="21"/>
          <w:sz w:val="32"/>
          <w:szCs w:val="32"/>
          <w:highlight w:val="none"/>
        </w:rPr>
      </w:pPr>
      <w:r>
        <w:rPr>
          <w:rFonts w:hint="eastAsia" w:ascii="方正仿宋_GBK" w:hAnsi="方正仿宋_GBK" w:eastAsia="方正仿宋_GBK" w:cs="方正仿宋_GBK"/>
          <w:snapToGrid w:val="0"/>
          <w:color w:val="auto"/>
          <w:kern w:val="21"/>
          <w:sz w:val="32"/>
          <w:szCs w:val="32"/>
          <w:highlight w:val="none"/>
          <w:lang w:eastAsia="zh-CN"/>
        </w:rPr>
        <w:t>①</w:t>
      </w:r>
      <w:r>
        <w:rPr>
          <w:rFonts w:hint="eastAsia" w:ascii="方正仿宋_GBK" w:hAnsi="方正仿宋_GBK" w:eastAsia="方正仿宋_GBK" w:cs="方正仿宋_GBK"/>
          <w:snapToGrid w:val="0"/>
          <w:color w:val="auto"/>
          <w:kern w:val="21"/>
          <w:sz w:val="32"/>
          <w:szCs w:val="32"/>
          <w:highlight w:val="none"/>
        </w:rPr>
        <w:t>交通运输部门加大公共交通运力保障，合理增加城市主干道的公共交通工具的营运频次和营运时间。</w:t>
      </w:r>
    </w:p>
    <w:p w14:paraId="6BC2B9E5">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snapToGrid w:val="0"/>
          <w:color w:val="auto"/>
          <w:kern w:val="21"/>
          <w:sz w:val="32"/>
          <w:szCs w:val="32"/>
          <w:highlight w:val="none"/>
          <w:lang w:eastAsia="zh-CN"/>
        </w:rPr>
        <w:t>②</w:t>
      </w:r>
      <w:r>
        <w:rPr>
          <w:rFonts w:hint="eastAsia" w:ascii="方正仿宋_GBK" w:hAnsi="方正仿宋_GBK" w:eastAsia="方正仿宋_GBK" w:cs="方正仿宋_GBK"/>
          <w:snapToGrid w:val="0"/>
          <w:color w:val="auto"/>
          <w:kern w:val="21"/>
          <w:sz w:val="32"/>
          <w:szCs w:val="32"/>
          <w:highlight w:val="none"/>
        </w:rPr>
        <w:t>在科学研判且条件适宜的情况下，采用人工影响局部天气措施，改善大气环境。</w:t>
      </w:r>
    </w:p>
    <w:p w14:paraId="3A5D6664">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（3）强制性污染控制措施</w:t>
      </w:r>
    </w:p>
    <w:p w14:paraId="1D7CDD9B">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在黄色预警基础上，采取强化措施，进一步降低污染物排放量。</w:t>
      </w:r>
    </w:p>
    <w:p w14:paraId="4A6CBE9C">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snapToGrid w:val="0"/>
          <w:color w:val="auto"/>
          <w:kern w:val="21"/>
          <w:sz w:val="32"/>
          <w:szCs w:val="32"/>
          <w:highlight w:val="none"/>
          <w:lang w:eastAsia="zh-CN"/>
        </w:rPr>
        <w:t>①</w:t>
      </w:r>
      <w:r>
        <w:rPr>
          <w:rFonts w:hint="eastAsia" w:ascii="方正仿宋_GBK" w:hAnsi="方正仿宋_GBK" w:eastAsia="方正仿宋_GBK" w:cs="方正仿宋_GBK"/>
          <w:color w:val="auto"/>
          <w:lang w:eastAsia="zh-CN"/>
        </w:rPr>
        <w:t>纳入应急减排清单的工业企业应按照“一厂一策”实施方案要求实施橙色预警下的减排措施。</w:t>
      </w:r>
    </w:p>
    <w:p w14:paraId="2ADBFE20">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snapToGrid w:val="0"/>
          <w:color w:val="auto"/>
          <w:kern w:val="21"/>
          <w:sz w:val="32"/>
          <w:szCs w:val="32"/>
          <w:highlight w:val="none"/>
          <w:lang w:eastAsia="zh-CN"/>
        </w:rPr>
        <w:t>②</w:t>
      </w:r>
      <w:r>
        <w:rPr>
          <w:rFonts w:hint="eastAsia" w:ascii="方正仿宋_GBK" w:hAnsi="方正仿宋_GBK" w:eastAsia="方正仿宋_GBK" w:cs="方正仿宋_GBK"/>
          <w:color w:val="auto"/>
          <w:lang w:eastAsia="zh-CN"/>
        </w:rPr>
        <w:t>机动车和非道路移动机械按移动源应急减排项目清单要求实施橙色预警下的减排措施。在黄色预警应急减排的基础上，全市范围内停止柴油工程机械作业。</w:t>
      </w:r>
    </w:p>
    <w:p w14:paraId="39AB24B8">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snapToGrid w:val="0"/>
          <w:color w:val="auto"/>
          <w:kern w:val="21"/>
          <w:sz w:val="32"/>
          <w:szCs w:val="32"/>
          <w:highlight w:val="none"/>
          <w:lang w:eastAsia="zh-CN"/>
        </w:rPr>
        <w:t>③</w:t>
      </w:r>
      <w:r>
        <w:rPr>
          <w:rFonts w:hint="eastAsia" w:ascii="方正仿宋_GBK" w:hAnsi="方正仿宋_GBK" w:eastAsia="方正仿宋_GBK" w:cs="方正仿宋_GBK"/>
          <w:color w:val="auto"/>
          <w:lang w:eastAsia="zh-CN"/>
        </w:rPr>
        <w:t>施工工地、商品混凝土企业按扬尘源污染管控要求实施橙色预警下的减排措施。</w:t>
      </w:r>
    </w:p>
    <w:p w14:paraId="17181ED4">
      <w:pPr>
        <w:pStyle w:val="5"/>
        <w:keepNext w:val="0"/>
        <w:keepLines w:val="0"/>
        <w:pageBreakBefore w:val="0"/>
        <w:widowControl w:val="0"/>
        <w:numPr>
          <w:ilvl w:val="0"/>
          <w:numId w:val="0"/>
        </w:numPr>
        <w:kinsoku/>
        <w:wordWrap/>
        <w:overflowPunct/>
        <w:topLinePunct w:val="0"/>
        <w:autoSpaceDE/>
        <w:autoSpaceDN/>
        <w:bidi w:val="0"/>
        <w:spacing w:line="60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09" w:name="_Toc5254"/>
      <w:r>
        <w:rPr>
          <w:rFonts w:hint="eastAsia" w:ascii="方正仿宋_GBK" w:hAnsi="方正仿宋_GBK" w:eastAsia="方正仿宋_GBK" w:cs="方正仿宋_GBK"/>
          <w:b/>
          <w:bCs/>
          <w:color w:val="auto"/>
          <w:kern w:val="2"/>
          <w:sz w:val="32"/>
          <w:szCs w:val="32"/>
          <w:lang w:val="en-US" w:eastAsia="zh-CN" w:bidi="ar-SA"/>
        </w:rPr>
        <w:t>4.5.6</w:t>
      </w:r>
      <w:r>
        <w:rPr>
          <w:rFonts w:hint="eastAsia" w:ascii="方正仿宋_GBK" w:hAnsi="方正仿宋_GBK" w:eastAsia="方正仿宋_GBK" w:cs="方正仿宋_GBK"/>
          <w:color w:val="auto"/>
          <w:lang w:eastAsia="zh-CN"/>
        </w:rPr>
        <w:t>红色（Ⅰ级）预警应急响应措施</w:t>
      </w:r>
      <w:bookmarkEnd w:id="109"/>
    </w:p>
    <w:p w14:paraId="7F9F71B4">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在落实Ⅱ级响应措施的基础上，增加以下措施：</w:t>
      </w:r>
    </w:p>
    <w:p w14:paraId="29B7DB2F">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（1）建议性健康防护措施</w:t>
      </w:r>
    </w:p>
    <w:p w14:paraId="0A544275">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①中小学、幼儿园临时停课。</w:t>
      </w:r>
    </w:p>
    <w:p w14:paraId="117675E6">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②停止举办户外大型活动。</w:t>
      </w:r>
    </w:p>
    <w:p w14:paraId="6428A536">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③一般人群避免户外活动，室外作业人员停止或减少室外作业，并加强防护。</w:t>
      </w:r>
    </w:p>
    <w:p w14:paraId="01346932">
      <w:pPr>
        <w:keepNext w:val="0"/>
        <w:keepLines w:val="0"/>
        <w:pageBreakBefore w:val="0"/>
        <w:widowControl w:val="0"/>
        <w:numPr>
          <w:ilvl w:val="0"/>
          <w:numId w:val="0"/>
        </w:numPr>
        <w:kinsoku/>
        <w:wordWrap/>
        <w:overflowPunct/>
        <w:topLinePunct w:val="0"/>
        <w:autoSpaceDE/>
        <w:autoSpaceDN/>
        <w:bidi w:val="0"/>
        <w:spacing w:line="60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④根据空气质量监测中主要污染物种类，针对性开展主要污染物健康危害的监测，包括人体内暴露水平以及生物效应指标等。</w:t>
      </w:r>
    </w:p>
    <w:p w14:paraId="2512D97C">
      <w:pPr>
        <w:keepNext w:val="0"/>
        <w:keepLines w:val="0"/>
        <w:pageBreakBefore w:val="0"/>
        <w:widowControl w:val="0"/>
        <w:kinsoku/>
        <w:wordWrap/>
        <w:overflowPunct/>
        <w:topLinePunct w:val="0"/>
        <w:autoSpaceDE/>
        <w:autoSpaceDN/>
        <w:bidi w:val="0"/>
        <w:spacing w:line="60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（2）建议性污染减排措施</w:t>
      </w:r>
    </w:p>
    <w:p w14:paraId="27AEC7FD">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倡导公众及排放大气污染物的单位自觉采取措施，减少污染物排放。具体措施：</w:t>
      </w:r>
    </w:p>
    <w:p w14:paraId="668426AD">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①建议企事业单位根据实际情况，采取调休、错峰上下班、远程办公等弹性工作制。</w:t>
      </w:r>
    </w:p>
    <w:p w14:paraId="3E6DF9E1">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②倡导过境的柴油货车绕行，避开主城区行驶。</w:t>
      </w:r>
    </w:p>
    <w:p w14:paraId="0F3F24B0">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w:t>
      </w:r>
      <w:r>
        <w:rPr>
          <w:rFonts w:hint="eastAsia" w:ascii="方正仿宋_GBK" w:hAnsi="方正仿宋_GBK" w:eastAsia="方正仿宋_GBK" w:cs="方正仿宋_GBK"/>
          <w:color w:val="auto"/>
          <w:lang w:val="en-US" w:eastAsia="zh-CN"/>
        </w:rPr>
        <w:t>3</w:t>
      </w:r>
      <w:r>
        <w:rPr>
          <w:rFonts w:hint="eastAsia" w:ascii="方正仿宋_GBK" w:hAnsi="方正仿宋_GBK" w:eastAsia="方正仿宋_GBK" w:cs="方正仿宋_GBK"/>
          <w:color w:val="auto"/>
          <w:lang w:eastAsia="zh-CN"/>
        </w:rPr>
        <w:t>）强制性污染控制措施</w:t>
      </w:r>
    </w:p>
    <w:p w14:paraId="212EC08E">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rPr>
        <w:t>在</w:t>
      </w:r>
      <w:r>
        <w:rPr>
          <w:rFonts w:hint="eastAsia" w:ascii="方正仿宋_GBK" w:hAnsi="方正仿宋_GBK" w:eastAsia="方正仿宋_GBK" w:cs="方正仿宋_GBK"/>
          <w:color w:val="auto"/>
          <w:lang w:eastAsia="zh-CN"/>
        </w:rPr>
        <w:t>橙</w:t>
      </w:r>
      <w:r>
        <w:rPr>
          <w:rFonts w:hint="eastAsia" w:ascii="方正仿宋_GBK" w:hAnsi="方正仿宋_GBK" w:eastAsia="方正仿宋_GBK" w:cs="方正仿宋_GBK"/>
          <w:color w:val="auto"/>
        </w:rPr>
        <w:t>色预警基础上，采取强化措施，进一步降低污染物排放量。</w:t>
      </w:r>
    </w:p>
    <w:p w14:paraId="1894B07B">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①纳入应急减排清单的工业企业应按照“一厂一策”实施方案要求实施红色预警下的减排措施。</w:t>
      </w:r>
    </w:p>
    <w:p w14:paraId="394E9EDF">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②机动车和非道路移动机械按移动源应急减排清单要求实施红色预警下的减排措施。</w:t>
      </w:r>
    </w:p>
    <w:p w14:paraId="631262E0">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③施工工地、商品混凝土企业按扬尘源污染管控要求实施红色预警下的减排措施。</w:t>
      </w:r>
    </w:p>
    <w:p w14:paraId="4C84CA0C">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④有关企业严格按照大气污染防治特护期错峰生产限产实施方案要求，落实红色预警期间错峰生产、限产停产措施。</w:t>
      </w:r>
    </w:p>
    <w:p w14:paraId="323B0961">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eastAsia="zh-CN"/>
        </w:rPr>
        <w:t>⑤生态环境部门每日开展生态环境执法监察巡查，会同科技和工业信息化部门检查有关企业停工停产落实情况；住房城乡建设部门加强建筑施工工地管控，全市所有施工工地停止施工作业；公安部门加强对车辆限行区域高污染排放车辆通行管控，强化城区道路的交通疏导；城管执法部门增加道路洒水以及喷雾降尘频次3次以上，全市停止所有渣土、建筑垃圾运输作业。</w:t>
      </w:r>
    </w:p>
    <w:p w14:paraId="75A44136">
      <w:pPr>
        <w:pStyle w:val="4"/>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color w:val="auto"/>
          <w:lang w:val="en-US" w:eastAsia="zh-CN"/>
        </w:rPr>
      </w:pPr>
      <w:bookmarkStart w:id="110" w:name="_Toc8029"/>
      <w:r>
        <w:rPr>
          <w:rFonts w:hint="eastAsia" w:ascii="方正仿宋_GBK" w:hAnsi="方正仿宋_GBK" w:eastAsia="方正仿宋_GBK" w:cs="方正仿宋_GBK"/>
          <w:b/>
          <w:bCs/>
          <w:color w:val="auto"/>
          <w:kern w:val="2"/>
          <w:sz w:val="32"/>
          <w:szCs w:val="32"/>
          <w:lang w:val="en-US" w:eastAsia="zh-CN" w:bidi="ar-SA"/>
        </w:rPr>
        <w:t>4.6</w:t>
      </w:r>
      <w:r>
        <w:rPr>
          <w:rFonts w:hint="eastAsia" w:ascii="方正仿宋_GBK" w:hAnsi="方正仿宋_GBK" w:eastAsia="方正仿宋_GBK" w:cs="方正仿宋_GBK"/>
          <w:color w:val="auto"/>
          <w:lang w:eastAsia="zh-CN"/>
        </w:rPr>
        <w:t>响应级别调整或终止</w:t>
      </w:r>
      <w:bookmarkEnd w:id="110"/>
    </w:p>
    <w:p w14:paraId="574D8C99">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sz w:val="32"/>
          <w:szCs w:val="32"/>
          <w:highlight w:val="none"/>
        </w:rPr>
        <w:t>应急响应期间，根据预警级别调整，及时提升或降低应急响应级别，提高应急响应的针对性。当预警解除信息发布后，应急响应自动终止。</w:t>
      </w:r>
    </w:p>
    <w:p w14:paraId="208AC37F">
      <w:pPr>
        <w:pStyle w:val="4"/>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11" w:name="_Toc13026"/>
      <w:r>
        <w:rPr>
          <w:rFonts w:hint="eastAsia" w:ascii="方正仿宋_GBK" w:hAnsi="方正仿宋_GBK" w:eastAsia="方正仿宋_GBK" w:cs="方正仿宋_GBK"/>
          <w:b/>
          <w:bCs/>
          <w:color w:val="auto"/>
          <w:kern w:val="2"/>
          <w:sz w:val="32"/>
          <w:szCs w:val="32"/>
          <w:lang w:val="en-US" w:eastAsia="zh-CN" w:bidi="ar-SA"/>
        </w:rPr>
        <w:t>4.7</w:t>
      </w:r>
      <w:r>
        <w:rPr>
          <w:rFonts w:hint="eastAsia" w:ascii="方正仿宋_GBK" w:hAnsi="方正仿宋_GBK" w:eastAsia="方正仿宋_GBK" w:cs="方正仿宋_GBK"/>
          <w:color w:val="auto"/>
          <w:lang w:eastAsia="zh-CN"/>
        </w:rPr>
        <w:t>部门联动与职责分工</w:t>
      </w:r>
      <w:bookmarkEnd w:id="111"/>
    </w:p>
    <w:p w14:paraId="36C0BC18">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预警响应启动时，市指挥部成员单位和乡镇</w:t>
      </w:r>
      <w:r>
        <w:rPr>
          <w:rFonts w:hint="eastAsia" w:ascii="方正仿宋_GBK" w:hAnsi="方正仿宋_GBK" w:eastAsia="方正仿宋_GBK" w:cs="方正仿宋_GBK"/>
          <w:color w:val="auto"/>
          <w:lang w:val="en-US" w:eastAsia="zh-CN"/>
        </w:rPr>
        <w:t>人民政府</w:t>
      </w:r>
      <w:r>
        <w:rPr>
          <w:rFonts w:hint="eastAsia" w:ascii="方正仿宋_GBK" w:hAnsi="方正仿宋_GBK" w:eastAsia="方正仿宋_GBK" w:cs="方正仿宋_GBK"/>
          <w:color w:val="auto"/>
          <w:lang w:eastAsia="zh-CN"/>
        </w:rPr>
        <w:t>、街道办事处、园区重污染天气应急指挥机构、企事业单位应启动应急响应。</w:t>
      </w:r>
    </w:p>
    <w:p w14:paraId="66EAE2EF">
      <w:pPr>
        <w:pStyle w:val="4"/>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12" w:name="_Toc9067"/>
      <w:r>
        <w:rPr>
          <w:rFonts w:hint="eastAsia" w:ascii="方正仿宋_GBK" w:hAnsi="方正仿宋_GBK" w:eastAsia="方正仿宋_GBK" w:cs="方正仿宋_GBK"/>
          <w:b/>
          <w:bCs/>
          <w:color w:val="auto"/>
          <w:kern w:val="2"/>
          <w:sz w:val="32"/>
          <w:szCs w:val="32"/>
          <w:lang w:val="en-US" w:eastAsia="zh-CN" w:bidi="ar-SA"/>
        </w:rPr>
        <w:t>4.8</w:t>
      </w:r>
      <w:r>
        <w:rPr>
          <w:rFonts w:hint="eastAsia" w:ascii="方正仿宋_GBK" w:hAnsi="方正仿宋_GBK" w:eastAsia="方正仿宋_GBK" w:cs="方正仿宋_GBK"/>
          <w:color w:val="auto"/>
          <w:lang w:eastAsia="zh-CN"/>
        </w:rPr>
        <w:t>区域应急联动</w:t>
      </w:r>
      <w:bookmarkEnd w:id="112"/>
    </w:p>
    <w:p w14:paraId="1CE5450F">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加强与周边韶山市、娄底市的协作，共同做好重污染天气应对工作。市指挥部办公室密切与周边市的沟通协调，加强信息共享，提高区域重污染天气预报预警的准确度，积极参与区域联合预警会商；收到湘潭市重污染天气应急指挥部的区域联动预警提示信息后，及时通报并积极开展区域应急联动，加强区域联防联控，共同降低重污染天气的影响。</w:t>
      </w:r>
    </w:p>
    <w:p w14:paraId="478BFC1C">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重大活动期间，根据环境空气质量改善要求，采取相应应急响应措施。</w:t>
      </w:r>
    </w:p>
    <w:p w14:paraId="1E670E22">
      <w:pPr>
        <w:pStyle w:val="3"/>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b/>
          <w:bCs/>
          <w:color w:val="auto"/>
          <w:kern w:val="44"/>
          <w:sz w:val="32"/>
          <w:szCs w:val="44"/>
          <w:lang w:val="en-US" w:eastAsia="zh-CN" w:bidi="ar-SA"/>
        </w:rPr>
      </w:pPr>
      <w:bookmarkStart w:id="113" w:name="_Toc15095"/>
      <w:bookmarkStart w:id="114" w:name="_Toc448910823"/>
      <w:bookmarkStart w:id="115" w:name="_Toc31147"/>
      <w:bookmarkStart w:id="116" w:name="_Toc10490"/>
      <w:r>
        <w:rPr>
          <w:rFonts w:hint="eastAsia" w:ascii="方正仿宋_GBK" w:hAnsi="方正仿宋_GBK" w:eastAsia="方正仿宋_GBK" w:cs="方正仿宋_GBK"/>
          <w:b/>
          <w:bCs/>
          <w:color w:val="auto"/>
          <w:kern w:val="44"/>
          <w:sz w:val="32"/>
          <w:szCs w:val="44"/>
          <w:lang w:val="en-US" w:eastAsia="zh-CN" w:bidi="ar-SA"/>
        </w:rPr>
        <w:t>5.总结评估</w:t>
      </w:r>
      <w:bookmarkEnd w:id="113"/>
      <w:bookmarkEnd w:id="114"/>
      <w:bookmarkEnd w:id="115"/>
      <w:bookmarkEnd w:id="116"/>
    </w:p>
    <w:p w14:paraId="0C8CE518">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响应终止后，乡镇人民政府、街道办事处、经开区管委会、各重点废气排放单位应向市指挥部办公室报送总结评估报告；市指挥部办公室组织对响应过程、响应措施、响应效果等进行总结评估，编制总结评估报告报送湘乡市人民政府和湘潭市生态环境局。</w:t>
      </w:r>
    </w:p>
    <w:p w14:paraId="63BC1D30">
      <w:pPr>
        <w:pStyle w:val="3"/>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b/>
          <w:bCs/>
          <w:color w:val="auto"/>
          <w:kern w:val="44"/>
          <w:sz w:val="32"/>
          <w:szCs w:val="44"/>
          <w:lang w:val="en-US" w:eastAsia="zh-CN" w:bidi="ar-SA"/>
        </w:rPr>
      </w:pPr>
      <w:bookmarkStart w:id="117" w:name="_Toc14730"/>
      <w:r>
        <w:rPr>
          <w:rFonts w:hint="eastAsia" w:ascii="方正仿宋_GBK" w:hAnsi="方正仿宋_GBK" w:eastAsia="方正仿宋_GBK" w:cs="方正仿宋_GBK"/>
          <w:b/>
          <w:bCs/>
          <w:color w:val="auto"/>
          <w:kern w:val="44"/>
          <w:sz w:val="32"/>
          <w:szCs w:val="44"/>
          <w:lang w:val="en-US" w:eastAsia="zh-CN" w:bidi="ar-SA"/>
        </w:rPr>
        <w:t>6.检查监督</w:t>
      </w:r>
      <w:bookmarkEnd w:id="117"/>
    </w:p>
    <w:p w14:paraId="6EE4F248">
      <w:pPr>
        <w:pStyle w:val="4"/>
        <w:keepNext w:val="0"/>
        <w:keepLines w:val="0"/>
        <w:pageBreakBefore w:val="0"/>
        <w:widowControl w:val="0"/>
        <w:numPr>
          <w:ilvl w:val="1"/>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b/>
          <w:bCs/>
          <w:color w:val="auto"/>
          <w:kern w:val="2"/>
          <w:sz w:val="32"/>
          <w:szCs w:val="32"/>
          <w:lang w:val="en-US" w:eastAsia="zh-CN" w:bidi="ar-SA"/>
        </w:rPr>
      </w:pPr>
      <w:bookmarkStart w:id="118" w:name="_Toc11294"/>
      <w:r>
        <w:rPr>
          <w:rFonts w:hint="eastAsia" w:ascii="方正仿宋_GBK" w:hAnsi="方正仿宋_GBK" w:eastAsia="方正仿宋_GBK" w:cs="方正仿宋_GBK"/>
          <w:b/>
          <w:bCs/>
          <w:color w:val="auto"/>
          <w:kern w:val="2"/>
          <w:sz w:val="32"/>
          <w:szCs w:val="32"/>
          <w:lang w:val="en-US" w:eastAsia="zh-CN" w:bidi="ar-SA"/>
        </w:rPr>
        <w:t>6.1事后检查</w:t>
      </w:r>
      <w:bookmarkEnd w:id="118"/>
    </w:p>
    <w:p w14:paraId="62F9F97F">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在预警响应期间以及响应终止后，市指挥部对乡镇人民政府、街道办事处、经开区管委会和市直相关单位（部门）应急响应工作实施情况</w:t>
      </w:r>
      <w:r>
        <w:rPr>
          <w:rFonts w:hint="eastAsia" w:ascii="方正仿宋_GBK" w:hAnsi="方正仿宋_GBK" w:eastAsia="方正仿宋_GBK" w:cs="方正仿宋_GBK"/>
          <w:color w:val="auto"/>
          <w:sz w:val="32"/>
          <w:szCs w:val="32"/>
          <w:highlight w:val="none"/>
        </w:rPr>
        <w:t>进行事后监督检查</w:t>
      </w:r>
      <w:r>
        <w:rPr>
          <w:rFonts w:hint="eastAsia" w:ascii="方正仿宋_GBK" w:hAnsi="方正仿宋_GBK" w:eastAsia="方正仿宋_GBK" w:cs="方正仿宋_GBK"/>
          <w:color w:val="auto"/>
          <w:lang w:eastAsia="zh-CN"/>
        </w:rPr>
        <w:t>。</w:t>
      </w:r>
    </w:p>
    <w:p w14:paraId="0F774BC8">
      <w:pPr>
        <w:pStyle w:val="4"/>
        <w:keepNext w:val="0"/>
        <w:keepLines w:val="0"/>
        <w:pageBreakBefore w:val="0"/>
        <w:widowControl w:val="0"/>
        <w:numPr>
          <w:ilvl w:val="1"/>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19" w:name="_Toc4015"/>
      <w:r>
        <w:rPr>
          <w:rFonts w:hint="eastAsia" w:ascii="方正仿宋_GBK" w:hAnsi="方正仿宋_GBK" w:eastAsia="方正仿宋_GBK" w:cs="方正仿宋_GBK"/>
          <w:b/>
          <w:bCs/>
          <w:color w:val="auto"/>
          <w:kern w:val="2"/>
          <w:sz w:val="32"/>
          <w:szCs w:val="32"/>
          <w:lang w:val="en-US" w:eastAsia="zh-CN" w:bidi="ar-SA"/>
        </w:rPr>
        <w:t>6.2社会监督</w:t>
      </w:r>
      <w:bookmarkEnd w:id="119"/>
    </w:p>
    <w:p w14:paraId="72A5FCF5">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全市建立重污染天气应对公众参与机制，通过网络平台、热线电话等多种渠道，鼓励公众对重污染天气应对的各项工作的实施情况及结果进行监督、提出改进建议。</w:t>
      </w:r>
    </w:p>
    <w:p w14:paraId="2E9A023F">
      <w:pPr>
        <w:pStyle w:val="3"/>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b/>
          <w:bCs/>
          <w:color w:val="auto"/>
          <w:kern w:val="44"/>
          <w:sz w:val="32"/>
          <w:szCs w:val="44"/>
          <w:lang w:val="en-US" w:eastAsia="zh-CN" w:bidi="ar-SA"/>
        </w:rPr>
      </w:pPr>
      <w:bookmarkStart w:id="120" w:name="_Toc24709"/>
      <w:r>
        <w:rPr>
          <w:rFonts w:hint="eastAsia" w:ascii="方正仿宋_GBK" w:hAnsi="方正仿宋_GBK" w:eastAsia="方正仿宋_GBK" w:cs="方正仿宋_GBK"/>
          <w:b/>
          <w:bCs/>
          <w:color w:val="auto"/>
          <w:kern w:val="44"/>
          <w:sz w:val="32"/>
          <w:szCs w:val="44"/>
          <w:lang w:val="en-US" w:eastAsia="zh-CN" w:bidi="ar-SA"/>
        </w:rPr>
        <w:t>7.工作保障</w:t>
      </w:r>
      <w:bookmarkEnd w:id="120"/>
      <w:r>
        <w:rPr>
          <w:rFonts w:hint="eastAsia" w:ascii="方正仿宋_GBK" w:hAnsi="方正仿宋_GBK" w:eastAsia="方正仿宋_GBK" w:cs="方正仿宋_GBK"/>
          <w:b/>
          <w:bCs/>
          <w:color w:val="auto"/>
          <w:kern w:val="44"/>
          <w:sz w:val="32"/>
          <w:szCs w:val="44"/>
          <w:lang w:val="en-US" w:eastAsia="zh-CN" w:bidi="ar-SA"/>
        </w:rPr>
        <w:t xml:space="preserve"> </w:t>
      </w:r>
    </w:p>
    <w:p w14:paraId="09B9E4B0">
      <w:pPr>
        <w:pStyle w:val="4"/>
        <w:keepNext w:val="0"/>
        <w:keepLines w:val="0"/>
        <w:pageBreakBefore w:val="0"/>
        <w:widowControl w:val="0"/>
        <w:numPr>
          <w:ilvl w:val="1"/>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21" w:name="_Toc13075"/>
      <w:r>
        <w:rPr>
          <w:rFonts w:hint="eastAsia" w:ascii="方正仿宋_GBK" w:hAnsi="方正仿宋_GBK" w:eastAsia="方正仿宋_GBK" w:cs="方正仿宋_GBK"/>
          <w:b/>
          <w:bCs/>
          <w:color w:val="auto"/>
          <w:kern w:val="2"/>
          <w:sz w:val="32"/>
          <w:szCs w:val="32"/>
          <w:lang w:val="en-US" w:eastAsia="zh-CN" w:bidi="ar-SA"/>
        </w:rPr>
        <w:t>7.1</w:t>
      </w:r>
      <w:r>
        <w:rPr>
          <w:rFonts w:hint="eastAsia" w:ascii="方正仿宋_GBK" w:hAnsi="方正仿宋_GBK" w:eastAsia="方正仿宋_GBK" w:cs="方正仿宋_GBK"/>
          <w:color w:val="auto"/>
          <w:lang w:eastAsia="zh-CN"/>
        </w:rPr>
        <w:t>组织保障</w:t>
      </w:r>
      <w:bookmarkEnd w:id="121"/>
    </w:p>
    <w:p w14:paraId="38322AF2">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val="en-US" w:eastAsia="zh-CN"/>
        </w:rPr>
      </w:pPr>
      <w:r>
        <w:rPr>
          <w:rFonts w:hint="eastAsia" w:ascii="方正仿宋_GBK" w:hAnsi="方正仿宋_GBK" w:eastAsia="方正仿宋_GBK" w:cs="方正仿宋_GBK"/>
          <w:color w:val="auto"/>
          <w:lang w:eastAsia="zh-CN"/>
        </w:rPr>
        <w:t>市指挥部各有关成员单位应进一步加强重污染天气应对工作制度建设，按照职责分工制定相应的应急预案或方案。将重污染天气应对管理、预警响应工作纳入政府突发环境事件应急管理体系。</w:t>
      </w:r>
    </w:p>
    <w:p w14:paraId="647068BB">
      <w:pPr>
        <w:pStyle w:val="4"/>
        <w:keepNext w:val="0"/>
        <w:keepLines w:val="0"/>
        <w:pageBreakBefore w:val="0"/>
        <w:widowControl w:val="0"/>
        <w:numPr>
          <w:ilvl w:val="1"/>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b/>
          <w:bCs/>
          <w:color w:val="auto"/>
          <w:kern w:val="2"/>
          <w:sz w:val="32"/>
          <w:szCs w:val="32"/>
          <w:lang w:val="en-US" w:eastAsia="zh-CN" w:bidi="ar-SA"/>
        </w:rPr>
      </w:pPr>
      <w:bookmarkStart w:id="122" w:name="_Toc1318"/>
      <w:bookmarkStart w:id="123" w:name="_Toc27667"/>
      <w:bookmarkStart w:id="124" w:name="_Toc448910825"/>
      <w:bookmarkStart w:id="125" w:name="_Toc14471"/>
      <w:r>
        <w:rPr>
          <w:rFonts w:hint="eastAsia" w:ascii="方正仿宋_GBK" w:hAnsi="方正仿宋_GBK" w:eastAsia="方正仿宋_GBK" w:cs="方正仿宋_GBK"/>
          <w:b/>
          <w:bCs/>
          <w:color w:val="auto"/>
          <w:kern w:val="2"/>
          <w:sz w:val="32"/>
          <w:szCs w:val="32"/>
          <w:lang w:val="en-US" w:eastAsia="zh-CN" w:bidi="ar-SA"/>
        </w:rPr>
        <w:t>7.2人力资源保障</w:t>
      </w:r>
      <w:bookmarkEnd w:id="122"/>
      <w:bookmarkEnd w:id="123"/>
      <w:bookmarkEnd w:id="124"/>
      <w:bookmarkEnd w:id="125"/>
    </w:p>
    <w:p w14:paraId="2E5FBD7C">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sz w:val="32"/>
          <w:szCs w:val="32"/>
          <w:highlight w:val="none"/>
        </w:rPr>
      </w:pPr>
      <w:bookmarkStart w:id="126" w:name="_Toc9960"/>
      <w:r>
        <w:rPr>
          <w:rFonts w:hint="eastAsia" w:ascii="方正仿宋_GBK" w:hAnsi="方正仿宋_GBK" w:eastAsia="方正仿宋_GBK" w:cs="方正仿宋_GBK"/>
          <w:snapToGrid w:val="0"/>
          <w:color w:val="auto"/>
          <w:kern w:val="21"/>
          <w:sz w:val="32"/>
          <w:szCs w:val="32"/>
          <w:highlight w:val="none"/>
        </w:rPr>
        <w:t>加强重污染天气应急管理、监测预警、专家、医护等应急队伍建设，</w:t>
      </w:r>
      <w:r>
        <w:rPr>
          <w:rFonts w:hint="eastAsia" w:ascii="方正仿宋_GBK" w:hAnsi="方正仿宋_GBK" w:eastAsia="方正仿宋_GBK" w:cs="方正仿宋_GBK"/>
          <w:color w:val="auto"/>
          <w:sz w:val="32"/>
          <w:szCs w:val="32"/>
          <w:highlight w:val="none"/>
        </w:rPr>
        <w:t>市指挥部各成员单位应明确专人负责重污染天气应急工作，提高应对能力，确保重污染天气预警期间能迅速参与并完成各项应急响应工作。</w:t>
      </w:r>
      <w:r>
        <w:rPr>
          <w:rFonts w:hint="eastAsia" w:ascii="方正仿宋_GBK" w:hAnsi="方正仿宋_GBK" w:eastAsia="方正仿宋_GBK" w:cs="方正仿宋_GBK"/>
          <w:color w:val="auto"/>
          <w:sz w:val="32"/>
          <w:szCs w:val="32"/>
          <w:highlight w:val="none"/>
          <w:lang w:eastAsia="zh-CN"/>
        </w:rPr>
        <w:t>湘潭</w:t>
      </w:r>
      <w:r>
        <w:rPr>
          <w:rFonts w:hint="eastAsia" w:ascii="方正仿宋_GBK" w:hAnsi="方正仿宋_GBK" w:eastAsia="方正仿宋_GBK" w:cs="方正仿宋_GBK"/>
          <w:color w:val="auto"/>
          <w:sz w:val="32"/>
          <w:szCs w:val="32"/>
          <w:highlight w:val="none"/>
        </w:rPr>
        <w:t>市生态环境局</w:t>
      </w:r>
      <w:r>
        <w:rPr>
          <w:rFonts w:hint="eastAsia" w:ascii="方正仿宋_GBK" w:hAnsi="方正仿宋_GBK" w:eastAsia="方正仿宋_GBK" w:cs="方正仿宋_GBK"/>
          <w:color w:val="auto"/>
          <w:sz w:val="32"/>
          <w:szCs w:val="32"/>
          <w:highlight w:val="none"/>
          <w:lang w:eastAsia="zh-CN"/>
        </w:rPr>
        <w:t>湘乡分局</w:t>
      </w:r>
      <w:r>
        <w:rPr>
          <w:rFonts w:hint="eastAsia" w:ascii="方正仿宋_GBK" w:hAnsi="方正仿宋_GBK" w:eastAsia="方正仿宋_GBK" w:cs="方正仿宋_GBK"/>
          <w:color w:val="auto"/>
          <w:sz w:val="32"/>
          <w:szCs w:val="32"/>
          <w:highlight w:val="none"/>
        </w:rPr>
        <w:t>、市气象局要加强专业技术人员日常培训，培养一支训练有素的应急监测、综合分析和应急处置队伍。</w:t>
      </w:r>
    </w:p>
    <w:p w14:paraId="6880D34C">
      <w:pPr>
        <w:pStyle w:val="4"/>
        <w:keepNext w:val="0"/>
        <w:keepLines w:val="0"/>
        <w:pageBreakBefore w:val="0"/>
        <w:widowControl w:val="0"/>
        <w:numPr>
          <w:ilvl w:val="1"/>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b/>
          <w:bCs/>
          <w:color w:val="auto"/>
          <w:kern w:val="2"/>
          <w:sz w:val="32"/>
          <w:szCs w:val="32"/>
          <w:lang w:val="en-US" w:eastAsia="zh-CN" w:bidi="ar-SA"/>
        </w:rPr>
      </w:pPr>
      <w:r>
        <w:rPr>
          <w:rFonts w:hint="eastAsia" w:ascii="方正仿宋_GBK" w:hAnsi="方正仿宋_GBK" w:eastAsia="方正仿宋_GBK" w:cs="方正仿宋_GBK"/>
          <w:b/>
          <w:bCs/>
          <w:color w:val="auto"/>
          <w:kern w:val="2"/>
          <w:sz w:val="32"/>
          <w:szCs w:val="32"/>
          <w:lang w:val="en-US" w:eastAsia="zh-CN" w:bidi="ar-SA"/>
        </w:rPr>
        <w:t>7.3资金和物资保障</w:t>
      </w:r>
      <w:bookmarkEnd w:id="126"/>
    </w:p>
    <w:p w14:paraId="204321E6">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财政部门统筹安排专项资金，为做好大气环境重污染应对工作提供财力保障。各成员单位和部门应根据各自职能分工，配备种类齐全、数量充足的仪器、车辆和防护器材等硬件装备，进行日常管理和维护保养，确保重污染天气应对工作顺利实施。</w:t>
      </w:r>
    </w:p>
    <w:bookmarkEnd w:id="73"/>
    <w:bookmarkEnd w:id="74"/>
    <w:bookmarkEnd w:id="75"/>
    <w:bookmarkEnd w:id="76"/>
    <w:bookmarkEnd w:id="77"/>
    <w:bookmarkEnd w:id="78"/>
    <w:bookmarkEnd w:id="79"/>
    <w:bookmarkEnd w:id="80"/>
    <w:p w14:paraId="53D1198E">
      <w:pPr>
        <w:pStyle w:val="4"/>
        <w:keepNext w:val="0"/>
        <w:keepLines w:val="0"/>
        <w:pageBreakBefore w:val="0"/>
        <w:widowControl w:val="0"/>
        <w:numPr>
          <w:ilvl w:val="1"/>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27" w:name="_Toc16863"/>
      <w:bookmarkStart w:id="128" w:name="_Toc22247"/>
      <w:bookmarkStart w:id="129" w:name="_Toc23066"/>
      <w:r>
        <w:rPr>
          <w:rFonts w:hint="eastAsia" w:ascii="方正仿宋_GBK" w:hAnsi="方正仿宋_GBK" w:eastAsia="方正仿宋_GBK" w:cs="方正仿宋_GBK"/>
          <w:b/>
          <w:bCs/>
          <w:color w:val="auto"/>
          <w:kern w:val="2"/>
          <w:sz w:val="32"/>
          <w:szCs w:val="32"/>
          <w:lang w:val="en-US" w:eastAsia="zh-CN" w:bidi="ar-SA"/>
        </w:rPr>
        <w:t>7.4</w:t>
      </w:r>
      <w:bookmarkEnd w:id="127"/>
      <w:bookmarkEnd w:id="128"/>
      <w:r>
        <w:rPr>
          <w:rFonts w:hint="eastAsia" w:ascii="方正仿宋_GBK" w:hAnsi="方正仿宋_GBK" w:eastAsia="方正仿宋_GBK" w:cs="方正仿宋_GBK"/>
          <w:color w:val="auto"/>
          <w:lang w:eastAsia="zh-CN"/>
        </w:rPr>
        <w:t>监测预警能力保障</w:t>
      </w:r>
      <w:bookmarkEnd w:id="129"/>
    </w:p>
    <w:p w14:paraId="4B4634E9">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全市加快环境空气质量监测网络建设，完善环境空气质量监测仪器设备、预测预报模型等软硬件配备，加强环境空气质量、气象条件预测预报等相关领域的基础研究。完善市空气质量信息发布平台和预报</w:t>
      </w:r>
      <w:r>
        <w:rPr>
          <w:rFonts w:hint="eastAsia" w:ascii="方正仿宋_GBK" w:hAnsi="方正仿宋_GBK" w:eastAsia="方正仿宋_GBK" w:cs="方正仿宋_GBK"/>
          <w:color w:val="auto"/>
          <w:spacing w:val="-6"/>
          <w:sz w:val="32"/>
          <w:lang w:eastAsia="zh-CN"/>
        </w:rPr>
        <w:t>预警平台，乡镇人民政府、街道办事处根据实际情况建立本区域空气质量信息发布平台和预报预警平</w:t>
      </w:r>
      <w:r>
        <w:rPr>
          <w:rFonts w:hint="eastAsia" w:ascii="方正仿宋_GBK" w:hAnsi="方正仿宋_GBK" w:eastAsia="方正仿宋_GBK" w:cs="方正仿宋_GBK"/>
          <w:color w:val="auto"/>
          <w:lang w:eastAsia="zh-CN"/>
        </w:rPr>
        <w:t>台。</w:t>
      </w:r>
    </w:p>
    <w:p w14:paraId="047577C9">
      <w:pPr>
        <w:pStyle w:val="4"/>
        <w:keepNext w:val="0"/>
        <w:keepLines w:val="0"/>
        <w:pageBreakBefore w:val="0"/>
        <w:widowControl w:val="0"/>
        <w:numPr>
          <w:ilvl w:val="1"/>
          <w:numId w:val="0"/>
        </w:numPr>
        <w:kinsoku/>
        <w:wordWrap/>
        <w:overflowPunct/>
        <w:topLinePunct w:val="0"/>
        <w:autoSpaceDE/>
        <w:autoSpaceDN/>
        <w:bidi w:val="0"/>
        <w:adjustRightInd/>
        <w:snapToGrid/>
        <w:spacing w:line="620" w:lineRule="exact"/>
        <w:ind w:left="0" w:leftChars="0" w:firstLine="643" w:firstLineChars="200"/>
        <w:textAlignment w:val="auto"/>
        <w:rPr>
          <w:rFonts w:hint="eastAsia" w:ascii="方正仿宋_GBK" w:hAnsi="方正仿宋_GBK" w:eastAsia="方正仿宋_GBK" w:cs="方正仿宋_GBK"/>
          <w:color w:val="auto"/>
          <w:lang w:eastAsia="zh-CN"/>
        </w:rPr>
      </w:pPr>
      <w:bookmarkStart w:id="130" w:name="_Toc5581"/>
      <w:bookmarkStart w:id="131" w:name="_Toc4173"/>
      <w:bookmarkStart w:id="132" w:name="_Toc9295"/>
      <w:r>
        <w:rPr>
          <w:rFonts w:hint="eastAsia" w:ascii="方正仿宋_GBK" w:hAnsi="方正仿宋_GBK" w:eastAsia="方正仿宋_GBK" w:cs="方正仿宋_GBK"/>
          <w:b/>
          <w:bCs/>
          <w:color w:val="auto"/>
          <w:kern w:val="2"/>
          <w:sz w:val="32"/>
          <w:szCs w:val="32"/>
          <w:lang w:val="en-US" w:eastAsia="zh-CN" w:bidi="ar-SA"/>
        </w:rPr>
        <w:t>7.5</w:t>
      </w:r>
      <w:r>
        <w:rPr>
          <w:rFonts w:hint="eastAsia" w:ascii="方正仿宋_GBK" w:hAnsi="方正仿宋_GBK" w:eastAsia="方正仿宋_GBK" w:cs="方正仿宋_GBK"/>
          <w:color w:val="auto"/>
          <w:lang w:eastAsia="zh-CN"/>
        </w:rPr>
        <w:t>通信保障</w:t>
      </w:r>
      <w:bookmarkEnd w:id="130"/>
    </w:p>
    <w:p w14:paraId="33C7EE4A">
      <w:pPr>
        <w:keepNext w:val="0"/>
        <w:keepLines w:val="0"/>
        <w:pageBreakBefore w:val="0"/>
        <w:widowControl w:val="0"/>
        <w:kinsoku/>
        <w:wordWrap/>
        <w:overflowPunct/>
        <w:topLinePunct w:val="0"/>
        <w:autoSpaceDE/>
        <w:autoSpaceDN/>
        <w:bidi w:val="0"/>
        <w:adjustRightInd/>
        <w:snapToGrid/>
        <w:spacing w:line="620" w:lineRule="exact"/>
        <w:ind w:left="0" w:firstLine="640" w:firstLineChars="200"/>
        <w:textAlignment w:val="auto"/>
        <w:rPr>
          <w:rFonts w:hint="eastAsia" w:ascii="方正仿宋_GBK" w:hAnsi="方正仿宋_GBK" w:eastAsia="方正仿宋_GBK" w:cs="方正仿宋_GBK"/>
          <w:color w:val="auto"/>
          <w:lang w:eastAsia="zh-CN"/>
        </w:rPr>
      </w:pPr>
      <w:r>
        <w:rPr>
          <w:rFonts w:hint="eastAsia" w:ascii="方正仿宋_GBK" w:hAnsi="方正仿宋_GBK" w:eastAsia="方正仿宋_GBK" w:cs="方正仿宋_GBK"/>
          <w:color w:val="auto"/>
          <w:lang w:eastAsia="zh-CN"/>
        </w:rPr>
        <w:t>建立市指挥部办公室、指挥部成员单位、各乡镇人民政府、街道办事处、经开区管委会、各重点废气排放企业（单位）应急指挥负责人及工作人员通讯录，确保应急处置</w:t>
      </w:r>
      <w:r>
        <w:rPr>
          <w:rFonts w:hint="eastAsia" w:ascii="方正仿宋_GBK" w:hAnsi="方正仿宋_GBK" w:eastAsia="方正仿宋_GBK" w:cs="方正仿宋_GBK"/>
          <w:color w:val="auto"/>
          <w:lang w:val="en-US" w:eastAsia="zh-CN"/>
        </w:rPr>
        <w:t>24小时</w:t>
      </w:r>
      <w:r>
        <w:rPr>
          <w:rFonts w:hint="eastAsia" w:ascii="方正仿宋_GBK" w:hAnsi="方正仿宋_GBK" w:eastAsia="方正仿宋_GBK" w:cs="方正仿宋_GBK"/>
          <w:color w:val="auto"/>
          <w:lang w:eastAsia="zh-CN"/>
        </w:rPr>
        <w:t>通讯畅通，保证预警信息和指令及时有效传达。</w:t>
      </w:r>
    </w:p>
    <w:p w14:paraId="536FAC1F">
      <w:pPr>
        <w:pStyle w:val="3"/>
        <w:keepNext w:val="0"/>
        <w:keepLines w:val="0"/>
        <w:pageBreakBefore w:val="0"/>
        <w:widowControl w:val="0"/>
        <w:numPr>
          <w:ilvl w:val="0"/>
          <w:numId w:val="0"/>
        </w:numPr>
        <w:kinsoku/>
        <w:wordWrap/>
        <w:overflowPunct/>
        <w:topLinePunct w:val="0"/>
        <w:bidi w:val="0"/>
        <w:snapToGrid/>
        <w:spacing w:line="600" w:lineRule="exact"/>
        <w:ind w:left="0" w:leftChars="0" w:firstLine="643" w:firstLineChars="200"/>
        <w:textAlignment w:val="auto"/>
        <w:rPr>
          <w:rFonts w:hint="eastAsia" w:ascii="方正仿宋_GBK" w:hAnsi="方正仿宋_GBK" w:eastAsia="方正仿宋_GBK" w:cs="方正仿宋_GBK"/>
          <w:b/>
          <w:bCs/>
          <w:color w:val="auto"/>
          <w:kern w:val="44"/>
          <w:sz w:val="32"/>
          <w:szCs w:val="32"/>
          <w:lang w:val="en-US" w:eastAsia="zh-CN" w:bidi="ar-SA"/>
        </w:rPr>
      </w:pPr>
      <w:bookmarkStart w:id="133" w:name="_Toc21624"/>
      <w:r>
        <w:rPr>
          <w:rFonts w:hint="eastAsia" w:ascii="方正仿宋_GBK" w:hAnsi="方正仿宋_GBK" w:eastAsia="方正仿宋_GBK" w:cs="方正仿宋_GBK"/>
          <w:b/>
          <w:bCs/>
          <w:color w:val="auto"/>
          <w:kern w:val="44"/>
          <w:sz w:val="32"/>
          <w:szCs w:val="32"/>
          <w:lang w:val="en-US" w:eastAsia="zh-CN" w:bidi="ar-SA"/>
        </w:rPr>
        <w:t>8.责任与奖惩</w:t>
      </w:r>
      <w:bookmarkEnd w:id="133"/>
    </w:p>
    <w:p w14:paraId="46BC55A9">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对在重污染天气应急处置工作中做出突出贡献的单位和个人予以通报表扬。</w:t>
      </w:r>
    </w:p>
    <w:p w14:paraId="43CAD58C">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在重污染天气应急处置工作中有下列行为的，视情节和后果对有关单位和责任人依法追究。涉嫌犯罪的，依法移送司法机关处理。</w:t>
      </w:r>
    </w:p>
    <w:p w14:paraId="7361BC3E">
      <w:pPr>
        <w:keepNext w:val="0"/>
        <w:keepLines w:val="0"/>
        <w:pageBreakBefore w:val="0"/>
        <w:widowControl w:val="0"/>
        <w:numPr>
          <w:ilvl w:val="0"/>
          <w:numId w:val="7"/>
        </w:numPr>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不依法履行大气环境保护相关法律、规定、政策规定的；</w:t>
      </w:r>
    </w:p>
    <w:p w14:paraId="7153ED3D">
      <w:pPr>
        <w:keepNext w:val="0"/>
        <w:keepLines w:val="0"/>
        <w:pageBreakBefore w:val="0"/>
        <w:widowControl w:val="0"/>
        <w:numPr>
          <w:ilvl w:val="0"/>
          <w:numId w:val="7"/>
        </w:numPr>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不按照规定制定重污染天气应急预案，拒绝承担重污染天气应急义务和责任的；</w:t>
      </w:r>
    </w:p>
    <w:p w14:paraId="4BCDD1AE">
      <w:pPr>
        <w:keepNext w:val="0"/>
        <w:keepLines w:val="0"/>
        <w:pageBreakBefore w:val="0"/>
        <w:widowControl w:val="0"/>
        <w:numPr>
          <w:ilvl w:val="0"/>
          <w:numId w:val="7"/>
        </w:numPr>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拒不执行重污染天气应急预案，不服从命令和指挥或者在事件响应时有意设置障碍的；</w:t>
      </w:r>
    </w:p>
    <w:p w14:paraId="3A0FF888">
      <w:pPr>
        <w:keepNext w:val="0"/>
        <w:keepLines w:val="0"/>
        <w:pageBreakBefore w:val="0"/>
        <w:widowControl w:val="0"/>
        <w:numPr>
          <w:ilvl w:val="0"/>
          <w:numId w:val="7"/>
        </w:numPr>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阻碍重污染天气事件应急工作人员依法履行职责或蓄意破坏的；</w:t>
      </w:r>
    </w:p>
    <w:p w14:paraId="49EC4EA2">
      <w:pPr>
        <w:keepNext w:val="0"/>
        <w:keepLines w:val="0"/>
        <w:pageBreakBefore w:val="0"/>
        <w:widowControl w:val="0"/>
        <w:numPr>
          <w:ilvl w:val="0"/>
          <w:numId w:val="7"/>
        </w:numPr>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不按规定报告、通报重污染天气时间真实情况的；</w:t>
      </w:r>
    </w:p>
    <w:p w14:paraId="2B544697">
      <w:pPr>
        <w:keepNext w:val="0"/>
        <w:keepLines w:val="0"/>
        <w:pageBreakBefore w:val="0"/>
        <w:widowControl w:val="0"/>
        <w:numPr>
          <w:ilvl w:val="0"/>
          <w:numId w:val="7"/>
        </w:numPr>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挤占、挪用重污染天气应急处置工作资金、装备和物资的；</w:t>
      </w:r>
    </w:p>
    <w:p w14:paraId="09FE3E42">
      <w:pPr>
        <w:keepNext w:val="0"/>
        <w:keepLines w:val="0"/>
        <w:pageBreakBefore w:val="0"/>
        <w:widowControl w:val="0"/>
        <w:numPr>
          <w:ilvl w:val="0"/>
          <w:numId w:val="7"/>
        </w:numPr>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散布谣言，扰乱社会秩序的；</w:t>
      </w:r>
    </w:p>
    <w:p w14:paraId="64EBC85F">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w:t>
      </w:r>
      <w:r>
        <w:rPr>
          <w:rFonts w:hint="eastAsia" w:ascii="方正仿宋_GBK" w:hAnsi="方正仿宋_GBK" w:eastAsia="方正仿宋_GBK" w:cs="方正仿宋_GBK"/>
          <w:color w:val="auto"/>
          <w:sz w:val="32"/>
          <w:szCs w:val="32"/>
          <w:lang w:val="en-US" w:eastAsia="zh-CN"/>
        </w:rPr>
        <w:t>8）</w:t>
      </w:r>
      <w:r>
        <w:rPr>
          <w:rFonts w:hint="eastAsia" w:ascii="方正仿宋_GBK" w:hAnsi="方正仿宋_GBK" w:eastAsia="方正仿宋_GBK" w:cs="方正仿宋_GBK"/>
          <w:color w:val="auto"/>
          <w:sz w:val="32"/>
          <w:szCs w:val="32"/>
          <w:lang w:eastAsia="zh-CN"/>
        </w:rPr>
        <w:t>其他对重污染天气事件应急处置工作造成危害或严重阻碍行为的。</w:t>
      </w:r>
    </w:p>
    <w:bookmarkEnd w:id="131"/>
    <w:bookmarkEnd w:id="132"/>
    <w:p w14:paraId="037EA6F2">
      <w:pPr>
        <w:pStyle w:val="3"/>
        <w:keepNext w:val="0"/>
        <w:keepLines w:val="0"/>
        <w:pageBreakBefore w:val="0"/>
        <w:widowControl w:val="0"/>
        <w:numPr>
          <w:ilvl w:val="0"/>
          <w:numId w:val="0"/>
        </w:numPr>
        <w:kinsoku/>
        <w:wordWrap/>
        <w:overflowPunct/>
        <w:topLinePunct w:val="0"/>
        <w:bidi w:val="0"/>
        <w:snapToGrid/>
        <w:spacing w:line="600" w:lineRule="exact"/>
        <w:ind w:left="0" w:leftChars="0" w:firstLine="643" w:firstLineChars="200"/>
        <w:textAlignment w:val="auto"/>
        <w:rPr>
          <w:rFonts w:hint="eastAsia" w:ascii="方正仿宋_GBK" w:hAnsi="方正仿宋_GBK" w:eastAsia="方正仿宋_GBK" w:cs="方正仿宋_GBK"/>
          <w:color w:val="auto"/>
          <w:sz w:val="32"/>
          <w:szCs w:val="32"/>
          <w:lang w:eastAsia="zh-CN"/>
        </w:rPr>
      </w:pPr>
      <w:bookmarkStart w:id="134" w:name="_Toc25885"/>
      <w:bookmarkStart w:id="135" w:name="_Toc14368"/>
      <w:bookmarkStart w:id="136" w:name="_Toc20246"/>
      <w:bookmarkStart w:id="137" w:name="_Toc30560"/>
      <w:bookmarkStart w:id="138" w:name="_Toc22229"/>
      <w:bookmarkStart w:id="139" w:name="_Toc13872"/>
      <w:bookmarkStart w:id="140" w:name="_Toc25156"/>
      <w:bookmarkStart w:id="141" w:name="_Toc25133"/>
      <w:bookmarkStart w:id="142" w:name="_Toc19836"/>
      <w:r>
        <w:rPr>
          <w:rFonts w:hint="eastAsia" w:ascii="方正仿宋_GBK" w:hAnsi="方正仿宋_GBK" w:eastAsia="方正仿宋_GBK" w:cs="方正仿宋_GBK"/>
          <w:b/>
          <w:bCs/>
          <w:color w:val="auto"/>
          <w:kern w:val="44"/>
          <w:sz w:val="32"/>
          <w:szCs w:val="32"/>
          <w:lang w:val="en-US" w:eastAsia="zh-CN" w:bidi="ar-SA"/>
        </w:rPr>
        <w:t>9.</w:t>
      </w:r>
      <w:r>
        <w:rPr>
          <w:rFonts w:hint="eastAsia" w:ascii="方正仿宋_GBK" w:hAnsi="方正仿宋_GBK" w:eastAsia="方正仿宋_GBK" w:cs="方正仿宋_GBK"/>
          <w:color w:val="auto"/>
          <w:sz w:val="32"/>
          <w:szCs w:val="32"/>
          <w:lang w:eastAsia="zh-CN"/>
        </w:rPr>
        <w:t>预案管理</w:t>
      </w:r>
      <w:bookmarkEnd w:id="134"/>
      <w:bookmarkEnd w:id="135"/>
      <w:bookmarkEnd w:id="136"/>
    </w:p>
    <w:p w14:paraId="2908CAEA">
      <w:pPr>
        <w:pStyle w:val="4"/>
        <w:keepNext w:val="0"/>
        <w:keepLines w:val="0"/>
        <w:pageBreakBefore w:val="0"/>
        <w:widowControl w:val="0"/>
        <w:numPr>
          <w:ilvl w:val="0"/>
          <w:numId w:val="0"/>
        </w:numPr>
        <w:kinsoku/>
        <w:wordWrap/>
        <w:overflowPunct/>
        <w:topLinePunct w:val="0"/>
        <w:bidi w:val="0"/>
        <w:snapToGrid/>
        <w:spacing w:line="600" w:lineRule="exact"/>
        <w:ind w:left="0" w:leftChars="0" w:firstLine="643" w:firstLineChars="200"/>
        <w:textAlignment w:val="auto"/>
        <w:rPr>
          <w:rFonts w:hint="eastAsia" w:ascii="方正仿宋_GBK" w:hAnsi="方正仿宋_GBK" w:eastAsia="方正仿宋_GBK" w:cs="方正仿宋_GBK"/>
          <w:color w:val="auto"/>
          <w:sz w:val="32"/>
          <w:szCs w:val="32"/>
          <w:lang w:eastAsia="zh-CN"/>
        </w:rPr>
      </w:pPr>
      <w:bookmarkStart w:id="143" w:name="_Toc549"/>
      <w:bookmarkStart w:id="144" w:name="_Toc27003"/>
      <w:bookmarkStart w:id="145" w:name="_Toc31483"/>
      <w:r>
        <w:rPr>
          <w:rFonts w:hint="eastAsia" w:ascii="方正仿宋_GBK" w:hAnsi="方正仿宋_GBK" w:eastAsia="方正仿宋_GBK" w:cs="方正仿宋_GBK"/>
          <w:b/>
          <w:bCs/>
          <w:color w:val="auto"/>
          <w:kern w:val="2"/>
          <w:sz w:val="32"/>
          <w:szCs w:val="32"/>
          <w:lang w:val="en-US" w:eastAsia="zh-CN" w:bidi="ar-SA"/>
        </w:rPr>
        <w:t>9.1</w:t>
      </w:r>
      <w:r>
        <w:rPr>
          <w:rFonts w:hint="eastAsia" w:ascii="方正仿宋_GBK" w:hAnsi="方正仿宋_GBK" w:eastAsia="方正仿宋_GBK" w:cs="方正仿宋_GBK"/>
          <w:color w:val="auto"/>
          <w:sz w:val="32"/>
          <w:szCs w:val="32"/>
          <w:lang w:eastAsia="zh-CN"/>
        </w:rPr>
        <w:t>预案宣传</w:t>
      </w:r>
      <w:bookmarkEnd w:id="143"/>
      <w:bookmarkEnd w:id="144"/>
      <w:bookmarkEnd w:id="145"/>
    </w:p>
    <w:p w14:paraId="3EE3E2D0">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lang w:eastAsia="zh-CN"/>
        </w:rPr>
        <w:t>各单位应充分利用新闻媒体及信息网络，加强预案以及重污染天气应急法律、法规和预防、避险、自救、互救知识的宣传，及时、准确发布重污染天气事件有关信息，正确引导舆论。</w:t>
      </w:r>
    </w:p>
    <w:p w14:paraId="06AA1C69">
      <w:pPr>
        <w:pStyle w:val="4"/>
        <w:keepNext w:val="0"/>
        <w:keepLines w:val="0"/>
        <w:pageBreakBefore w:val="0"/>
        <w:widowControl w:val="0"/>
        <w:numPr>
          <w:ilvl w:val="0"/>
          <w:numId w:val="0"/>
        </w:numPr>
        <w:kinsoku/>
        <w:wordWrap/>
        <w:overflowPunct/>
        <w:topLinePunct w:val="0"/>
        <w:bidi w:val="0"/>
        <w:snapToGrid/>
        <w:spacing w:line="600" w:lineRule="exact"/>
        <w:ind w:left="0" w:leftChars="0" w:firstLine="643" w:firstLineChars="200"/>
        <w:textAlignment w:val="auto"/>
        <w:rPr>
          <w:rFonts w:hint="eastAsia" w:ascii="方正仿宋_GBK" w:hAnsi="方正仿宋_GBK" w:eastAsia="方正仿宋_GBK" w:cs="方正仿宋_GBK"/>
          <w:color w:val="auto"/>
          <w:sz w:val="32"/>
          <w:szCs w:val="32"/>
          <w:lang w:eastAsia="zh-CN"/>
        </w:rPr>
      </w:pPr>
      <w:bookmarkStart w:id="146" w:name="_Toc29123"/>
      <w:bookmarkStart w:id="147" w:name="_Toc32612"/>
      <w:bookmarkStart w:id="148" w:name="_Toc19811"/>
      <w:r>
        <w:rPr>
          <w:rFonts w:hint="eastAsia" w:ascii="方正仿宋_GBK" w:hAnsi="方正仿宋_GBK" w:eastAsia="方正仿宋_GBK" w:cs="方正仿宋_GBK"/>
          <w:b/>
          <w:bCs/>
          <w:color w:val="auto"/>
          <w:kern w:val="2"/>
          <w:sz w:val="32"/>
          <w:szCs w:val="32"/>
          <w:lang w:val="en-US" w:eastAsia="zh-CN" w:bidi="ar-SA"/>
        </w:rPr>
        <w:t>9.2</w:t>
      </w:r>
      <w:r>
        <w:rPr>
          <w:rFonts w:hint="eastAsia" w:ascii="方正仿宋_GBK" w:hAnsi="方正仿宋_GBK" w:eastAsia="方正仿宋_GBK" w:cs="方正仿宋_GBK"/>
          <w:color w:val="auto"/>
          <w:sz w:val="32"/>
          <w:szCs w:val="32"/>
          <w:lang w:eastAsia="zh-CN"/>
        </w:rPr>
        <w:t>预案培训与演练</w:t>
      </w:r>
      <w:bookmarkEnd w:id="146"/>
      <w:bookmarkEnd w:id="147"/>
      <w:bookmarkEnd w:id="148"/>
    </w:p>
    <w:p w14:paraId="6093AB5E">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各乡镇人民政府、街道办事处、经开区管委会</w:t>
      </w:r>
      <w:r>
        <w:rPr>
          <w:rFonts w:hint="eastAsia" w:ascii="方正仿宋_GBK" w:hAnsi="方正仿宋_GBK" w:eastAsia="方正仿宋_GBK" w:cs="方正仿宋_GBK"/>
          <w:color w:val="auto"/>
          <w:sz w:val="32"/>
          <w:szCs w:val="32"/>
        </w:rPr>
        <w:t>应建立健全重污染天气应急预案培训制度，根据应急预案职责分工，制定培训计划，明确培训内容与时间，考核培训效果，确保培训规范有序进行。</w:t>
      </w:r>
    </w:p>
    <w:p w14:paraId="6BEE3F25">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各乡镇人民政府、街道办事处、经开区管委会</w:t>
      </w:r>
      <w:r>
        <w:rPr>
          <w:rFonts w:hint="eastAsia" w:ascii="方正仿宋_GBK" w:hAnsi="方正仿宋_GBK" w:eastAsia="方正仿宋_GBK" w:cs="方正仿宋_GBK"/>
          <w:color w:val="auto"/>
          <w:sz w:val="32"/>
          <w:szCs w:val="32"/>
        </w:rPr>
        <w:t>应定期组织预案演练，编制演练方案，明确演练目的、方式、参与人员、内容、规则以及场景等，重点检验重污染天气应急指挥组织机构、预警信息发布、预警响应措施落实、监督检查执行等，演练后应及时总结评估，提出改进建议。</w:t>
      </w:r>
    </w:p>
    <w:p w14:paraId="4A7E1233">
      <w:pPr>
        <w:pStyle w:val="4"/>
        <w:keepNext w:val="0"/>
        <w:keepLines w:val="0"/>
        <w:pageBreakBefore w:val="0"/>
        <w:widowControl w:val="0"/>
        <w:numPr>
          <w:ilvl w:val="0"/>
          <w:numId w:val="0"/>
        </w:numPr>
        <w:kinsoku/>
        <w:wordWrap/>
        <w:overflowPunct/>
        <w:topLinePunct w:val="0"/>
        <w:bidi w:val="0"/>
        <w:snapToGrid/>
        <w:spacing w:line="600" w:lineRule="exact"/>
        <w:ind w:left="0" w:leftChars="0" w:firstLine="643" w:firstLineChars="200"/>
        <w:textAlignment w:val="auto"/>
        <w:rPr>
          <w:rFonts w:hint="eastAsia" w:ascii="方正仿宋_GBK" w:hAnsi="方正仿宋_GBK" w:eastAsia="方正仿宋_GBK" w:cs="方正仿宋_GBK"/>
          <w:color w:val="auto"/>
          <w:sz w:val="32"/>
          <w:szCs w:val="32"/>
        </w:rPr>
      </w:pPr>
      <w:bookmarkStart w:id="149" w:name="_Toc25552"/>
      <w:bookmarkStart w:id="150" w:name="_Toc21814"/>
      <w:bookmarkStart w:id="151" w:name="_Toc2034"/>
      <w:r>
        <w:rPr>
          <w:rFonts w:hint="eastAsia" w:ascii="方正仿宋_GBK" w:hAnsi="方正仿宋_GBK" w:eastAsia="方正仿宋_GBK" w:cs="方正仿宋_GBK"/>
          <w:b/>
          <w:bCs/>
          <w:color w:val="auto"/>
          <w:kern w:val="2"/>
          <w:sz w:val="32"/>
          <w:szCs w:val="32"/>
          <w:lang w:val="en-US" w:eastAsia="zh-CN" w:bidi="ar-SA"/>
        </w:rPr>
        <w:t>9.3</w:t>
      </w:r>
      <w:r>
        <w:rPr>
          <w:rFonts w:hint="eastAsia" w:ascii="方正仿宋_GBK" w:hAnsi="方正仿宋_GBK" w:eastAsia="方正仿宋_GBK" w:cs="方正仿宋_GBK"/>
          <w:color w:val="auto"/>
          <w:sz w:val="32"/>
          <w:szCs w:val="32"/>
          <w:lang w:eastAsia="zh-CN"/>
        </w:rPr>
        <w:t>预案修订</w:t>
      </w:r>
      <w:bookmarkEnd w:id="149"/>
      <w:bookmarkEnd w:id="150"/>
      <w:bookmarkEnd w:id="151"/>
    </w:p>
    <w:p w14:paraId="06221321">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根据实际情况的变化，及时修订完善本预案。有下列情形之一的，市指挥部应及时提请市人民政府进行修订∶</w:t>
      </w:r>
    </w:p>
    <w:p w14:paraId="10E5F524">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rPr>
        <w:t>（1）重污染天气应急指挥机构及其职责发生重大调整的</w:t>
      </w:r>
      <w:r>
        <w:rPr>
          <w:rFonts w:hint="eastAsia" w:ascii="方正仿宋_GBK" w:hAnsi="方正仿宋_GBK" w:eastAsia="方正仿宋_GBK" w:cs="方正仿宋_GBK"/>
          <w:color w:val="auto"/>
          <w:sz w:val="32"/>
          <w:szCs w:val="32"/>
          <w:lang w:eastAsia="zh-CN"/>
        </w:rPr>
        <w:t>；</w:t>
      </w:r>
    </w:p>
    <w:p w14:paraId="477B1C61">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eastAsia="zh-CN"/>
        </w:rPr>
      </w:pPr>
      <w:r>
        <w:rPr>
          <w:rFonts w:hint="eastAsia" w:ascii="方正仿宋_GBK" w:hAnsi="方正仿宋_GBK" w:eastAsia="方正仿宋_GBK" w:cs="方正仿宋_GBK"/>
          <w:color w:val="auto"/>
          <w:sz w:val="32"/>
          <w:szCs w:val="32"/>
        </w:rPr>
        <w:t>（2）依据的法律、行政法规、规章等发生变化的</w:t>
      </w:r>
      <w:r>
        <w:rPr>
          <w:rFonts w:hint="eastAsia" w:ascii="方正仿宋_GBK" w:hAnsi="方正仿宋_GBK" w:eastAsia="方正仿宋_GBK" w:cs="方正仿宋_GBK"/>
          <w:color w:val="auto"/>
          <w:sz w:val="32"/>
          <w:szCs w:val="32"/>
          <w:lang w:eastAsia="zh-CN"/>
        </w:rPr>
        <w:t>；</w:t>
      </w:r>
    </w:p>
    <w:p w14:paraId="19537E86">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rPr>
        <w:t>（3）市指挥部认为应当修订的。</w:t>
      </w:r>
    </w:p>
    <w:p w14:paraId="33ED286B">
      <w:pPr>
        <w:pStyle w:val="4"/>
        <w:keepNext w:val="0"/>
        <w:keepLines w:val="0"/>
        <w:pageBreakBefore w:val="0"/>
        <w:widowControl w:val="0"/>
        <w:numPr>
          <w:ilvl w:val="0"/>
          <w:numId w:val="0"/>
        </w:numPr>
        <w:kinsoku/>
        <w:wordWrap/>
        <w:overflowPunct/>
        <w:topLinePunct w:val="0"/>
        <w:bidi w:val="0"/>
        <w:snapToGrid/>
        <w:spacing w:line="600" w:lineRule="exact"/>
        <w:ind w:left="0" w:leftChars="0" w:firstLine="643" w:firstLineChars="200"/>
        <w:textAlignment w:val="auto"/>
        <w:rPr>
          <w:rFonts w:hint="eastAsia" w:ascii="方正仿宋_GBK" w:hAnsi="方正仿宋_GBK" w:eastAsia="方正仿宋_GBK" w:cs="方正仿宋_GBK"/>
          <w:color w:val="auto"/>
          <w:sz w:val="32"/>
          <w:szCs w:val="32"/>
        </w:rPr>
      </w:pPr>
      <w:bookmarkStart w:id="152" w:name="_Toc28133"/>
      <w:bookmarkStart w:id="153" w:name="_Toc30425"/>
      <w:bookmarkStart w:id="154" w:name="_Toc23178"/>
      <w:r>
        <w:rPr>
          <w:rFonts w:hint="eastAsia" w:ascii="方正仿宋_GBK" w:hAnsi="方正仿宋_GBK" w:eastAsia="方正仿宋_GBK" w:cs="方正仿宋_GBK"/>
          <w:b/>
          <w:bCs/>
          <w:color w:val="auto"/>
          <w:kern w:val="2"/>
          <w:sz w:val="32"/>
          <w:szCs w:val="32"/>
          <w:lang w:val="en-US" w:eastAsia="zh-CN" w:bidi="ar-SA"/>
        </w:rPr>
        <w:t>9.4</w:t>
      </w:r>
      <w:r>
        <w:rPr>
          <w:rFonts w:hint="eastAsia" w:ascii="方正仿宋_GBK" w:hAnsi="方正仿宋_GBK" w:eastAsia="方正仿宋_GBK" w:cs="方正仿宋_GBK"/>
          <w:color w:val="auto"/>
          <w:sz w:val="32"/>
          <w:szCs w:val="32"/>
          <w:lang w:eastAsia="zh-CN"/>
        </w:rPr>
        <w:t>预案备案</w:t>
      </w:r>
      <w:bookmarkEnd w:id="152"/>
      <w:bookmarkEnd w:id="153"/>
      <w:bookmarkEnd w:id="154"/>
    </w:p>
    <w:p w14:paraId="084F9BEB">
      <w:pPr>
        <w:keepNext w:val="0"/>
        <w:keepLines w:val="0"/>
        <w:pageBreakBefore w:val="0"/>
        <w:widowControl w:val="0"/>
        <w:kinsoku/>
        <w:wordWrap/>
        <w:overflowPunct/>
        <w:topLinePunct w:val="0"/>
        <w:bidi w:val="0"/>
        <w:snapToGrid/>
        <w:spacing w:line="600" w:lineRule="exact"/>
        <w:ind w:left="0" w:firstLine="640" w:firstLineChars="200"/>
        <w:textAlignment w:val="auto"/>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 w:val="32"/>
          <w:szCs w:val="32"/>
          <w:lang w:eastAsia="zh-CN"/>
        </w:rPr>
        <w:t>各乡镇人民政府、街道办事处、经开区管委会要根据本预案制定本辖区内</w:t>
      </w:r>
      <w:r>
        <w:rPr>
          <w:rFonts w:hint="eastAsia" w:ascii="方正仿宋_GBK" w:hAnsi="方正仿宋_GBK" w:eastAsia="方正仿宋_GBK" w:cs="方正仿宋_GBK"/>
          <w:color w:val="auto"/>
          <w:sz w:val="32"/>
          <w:szCs w:val="32"/>
        </w:rPr>
        <w:t>重污染天气应急预案，并报市指挥部办公室备案。各成员单位要制定本部门重污染天气应急专项实施方案，报市指挥部办公室备案。</w:t>
      </w:r>
    </w:p>
    <w:bookmarkEnd w:id="137"/>
    <w:bookmarkEnd w:id="138"/>
    <w:bookmarkEnd w:id="139"/>
    <w:bookmarkEnd w:id="140"/>
    <w:bookmarkEnd w:id="141"/>
    <w:bookmarkEnd w:id="142"/>
    <w:p w14:paraId="447162C1">
      <w:pPr>
        <w:pStyle w:val="4"/>
        <w:keepNext w:val="0"/>
        <w:keepLines w:val="0"/>
        <w:pageBreakBefore w:val="0"/>
        <w:widowControl w:val="0"/>
        <w:numPr>
          <w:ilvl w:val="1"/>
          <w:numId w:val="0"/>
        </w:numPr>
        <w:kinsoku/>
        <w:wordWrap/>
        <w:overflowPunct/>
        <w:topLinePunct w:val="0"/>
        <w:bidi w:val="0"/>
        <w:snapToGrid/>
        <w:spacing w:line="600" w:lineRule="exact"/>
        <w:ind w:left="0" w:leftChars="0" w:firstLine="643" w:firstLineChars="200"/>
        <w:textAlignment w:val="auto"/>
        <w:rPr>
          <w:rFonts w:hint="eastAsia" w:ascii="方正仿宋_GBK" w:hAnsi="方正仿宋_GBK" w:eastAsia="方正仿宋_GBK" w:cs="方正仿宋_GBK"/>
          <w:b/>
          <w:bCs/>
          <w:color w:val="auto"/>
          <w:kern w:val="2"/>
          <w:sz w:val="32"/>
          <w:szCs w:val="32"/>
          <w:lang w:val="en-US" w:eastAsia="zh-CN" w:bidi="ar-SA"/>
        </w:rPr>
      </w:pPr>
      <w:bookmarkStart w:id="155" w:name="_Toc29340"/>
      <w:r>
        <w:rPr>
          <w:rFonts w:hint="eastAsia" w:ascii="方正仿宋_GBK" w:hAnsi="方正仿宋_GBK" w:eastAsia="方正仿宋_GBK" w:cs="方正仿宋_GBK"/>
          <w:b/>
          <w:bCs/>
          <w:color w:val="auto"/>
          <w:kern w:val="2"/>
          <w:sz w:val="32"/>
          <w:szCs w:val="32"/>
          <w:lang w:val="en-US" w:eastAsia="zh-CN" w:bidi="ar-SA"/>
        </w:rPr>
        <w:t>9.5预案实施</w:t>
      </w:r>
      <w:bookmarkEnd w:id="155"/>
    </w:p>
    <w:p w14:paraId="1861B11E">
      <w:pPr>
        <w:pStyle w:val="3"/>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方正仿宋_GBK" w:hAnsi="方正仿宋_GBK" w:eastAsia="方正仿宋_GBK" w:cs="方正仿宋_GBK"/>
          <w:b w:val="0"/>
          <w:bCs w:val="0"/>
          <w:color w:val="auto"/>
          <w:kern w:val="2"/>
          <w:sz w:val="32"/>
          <w:szCs w:val="32"/>
          <w:lang w:val="en-US" w:eastAsia="zh-CN" w:bidi="ar-SA"/>
        </w:rPr>
      </w:pPr>
      <w:bookmarkStart w:id="156" w:name="_Toc16222"/>
      <w:r>
        <w:rPr>
          <w:rFonts w:hint="eastAsia" w:ascii="方正仿宋_GBK" w:hAnsi="方正仿宋_GBK" w:eastAsia="方正仿宋_GBK" w:cs="方正仿宋_GBK"/>
          <w:b w:val="0"/>
          <w:bCs w:val="0"/>
          <w:color w:val="auto"/>
          <w:kern w:val="2"/>
          <w:sz w:val="32"/>
          <w:szCs w:val="32"/>
          <w:lang w:val="en-US" w:eastAsia="zh-CN" w:bidi="ar-SA"/>
        </w:rPr>
        <w:t>市指挥部办公室负责对有关成员单位专项实施方案和应急体系建设、应急措施组织落实等情况进行监督。将重污染天气应对工作作为各地各单位污染防治攻坚战考核的一项重要内容，对在重污染天气应急处置工作中作出突出贡献的单位和个人按有关规定予以通报表扬，对工作不力的单位和个人，按有关规定严肃追责问责。</w:t>
      </w:r>
    </w:p>
    <w:p w14:paraId="67875E81">
      <w:pPr>
        <w:pStyle w:val="3"/>
        <w:keepNext w:val="0"/>
        <w:keepLines w:val="0"/>
        <w:pageBreakBefore w:val="0"/>
        <w:widowControl w:val="0"/>
        <w:numPr>
          <w:ilvl w:val="0"/>
          <w:numId w:val="0"/>
        </w:numPr>
        <w:kinsoku/>
        <w:wordWrap/>
        <w:overflowPunct/>
        <w:topLinePunct w:val="0"/>
        <w:bidi w:val="0"/>
        <w:snapToGrid/>
        <w:spacing w:line="600" w:lineRule="exact"/>
        <w:ind w:firstLine="643" w:firstLineChars="200"/>
        <w:textAlignment w:val="auto"/>
        <w:rPr>
          <w:rFonts w:hint="eastAsia" w:ascii="方正仿宋_GBK" w:hAnsi="方正仿宋_GBK" w:eastAsia="方正仿宋_GBK" w:cs="方正仿宋_GBK"/>
          <w:b/>
          <w:bCs/>
          <w:color w:val="auto"/>
          <w:kern w:val="44"/>
          <w:sz w:val="32"/>
          <w:szCs w:val="32"/>
          <w:lang w:val="en-US" w:eastAsia="zh-CN" w:bidi="ar-SA"/>
        </w:rPr>
      </w:pPr>
      <w:r>
        <w:rPr>
          <w:rFonts w:hint="eastAsia" w:ascii="方正仿宋_GBK" w:hAnsi="方正仿宋_GBK" w:eastAsia="方正仿宋_GBK" w:cs="方正仿宋_GBK"/>
          <w:b/>
          <w:bCs/>
          <w:color w:val="auto"/>
          <w:kern w:val="44"/>
          <w:sz w:val="32"/>
          <w:szCs w:val="32"/>
          <w:lang w:val="en-US" w:eastAsia="zh-CN" w:bidi="ar-SA"/>
        </w:rPr>
        <w:t>10.附则</w:t>
      </w:r>
      <w:bookmarkEnd w:id="156"/>
    </w:p>
    <w:p w14:paraId="496CB7A5">
      <w:pPr>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本预案自印发之日起施行。《湘乡市重污染天气应急预案》（湘乡政办发〔2019〕7号）同时废止。</w:t>
      </w:r>
    </w:p>
    <w:sectPr>
      <w:pgSz w:w="11906" w:h="16838"/>
      <w:pgMar w:top="1984" w:right="1531" w:bottom="1587" w:left="1587"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8EEE9">
    <w:pPr>
      <w:pStyle w:val="1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9532EF">
    <w:pPr>
      <w:pStyle w:val="1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671D5">
    <w:pPr>
      <w:pStyle w:val="1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756026">
    <w:pPr>
      <w:pStyle w:val="15"/>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52705</wp:posOffset>
              </wp:positionV>
              <wp:extent cx="1116330" cy="334645"/>
              <wp:effectExtent l="0" t="0" r="0" b="0"/>
              <wp:wrapNone/>
              <wp:docPr id="4" name="文本框 4"/>
              <wp:cNvGraphicFramePr/>
              <a:graphic xmlns:a="http://schemas.openxmlformats.org/drawingml/2006/main">
                <a:graphicData uri="http://schemas.microsoft.com/office/word/2010/wordprocessingShape">
                  <wps:wsp>
                    <wps:cNvSpPr txBox="1"/>
                    <wps:spPr>
                      <a:xfrm>
                        <a:off x="0" y="0"/>
                        <a:ext cx="1116330" cy="3346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12A510">
                          <w:pPr>
                            <w:pStyle w:val="15"/>
                            <w:keepNext w:val="0"/>
                            <w:keepLines w:val="0"/>
                            <w:pageBreakBefore w:val="0"/>
                            <w:widowControl w:val="0"/>
                            <w:kinsoku/>
                            <w:wordWrap/>
                            <w:overflowPunct/>
                            <w:topLinePunct w:val="0"/>
                            <w:bidi w:val="0"/>
                            <w:adjustRightInd/>
                            <w:snapToGrid w:val="0"/>
                            <w:spacing w:line="320" w:lineRule="exact"/>
                            <w:ind w:left="0" w:leftChars="0" w:firstLine="0" w:firstLineChars="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4.15pt;height:26.35pt;width:87.9pt;mso-position-horizontal:outside;mso-position-horizontal-relative:margin;z-index:251659264;mso-width-relative:page;mso-height-relative:page;" filled="f" stroked="f" coordsize="21600,21600" o:gfxdata="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8C7UtQAAAAFAQAADwAAAAAAAAABACAAAAAiAAAAZHJzL2Rvd25yZXYu&#10;eG1sUEsBAhQAFAAAAAgAh07iQIYcSHw4AgAAYgQAAA4AAAAAAAAAAQAgAAAAIwEAAGRycy9lMm9E&#10;b2MueG1sUEsFBgAAAAAGAAYAWQEAAM0FAAAAAA==&#10;">
              <v:fill on="f" focussize="0,0"/>
              <v:stroke on="f" weight="0.5pt"/>
              <v:imagedata o:title=""/>
              <o:lock v:ext="edit" aspectratio="f"/>
              <v:textbox inset="0mm,0mm,0mm,0mm">
                <w:txbxContent>
                  <w:p w14:paraId="3A12A510">
                    <w:pPr>
                      <w:pStyle w:val="15"/>
                      <w:keepNext w:val="0"/>
                      <w:keepLines w:val="0"/>
                      <w:pageBreakBefore w:val="0"/>
                      <w:widowControl w:val="0"/>
                      <w:kinsoku/>
                      <w:wordWrap/>
                      <w:overflowPunct/>
                      <w:topLinePunct w:val="0"/>
                      <w:bidi w:val="0"/>
                      <w:adjustRightInd/>
                      <w:snapToGrid w:val="0"/>
                      <w:spacing w:line="320" w:lineRule="exact"/>
                      <w:ind w:left="0" w:leftChars="0" w:firstLine="0" w:firstLineChars="0"/>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76070">
    <w:pPr>
      <w:pStyle w:val="1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80087">
    <w:pPr>
      <w:pStyle w:val="1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660069">
    <w:pPr>
      <w:pStyle w:val="16"/>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34D31">
    <w:pPr>
      <w:pStyle w:val="16"/>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5D25B2"/>
    <w:multiLevelType w:val="singleLevel"/>
    <w:tmpl w:val="865D25B2"/>
    <w:lvl w:ilvl="0" w:tentative="0">
      <w:start w:val="1"/>
      <w:numFmt w:val="decimal"/>
      <w:suff w:val="nothing"/>
      <w:lvlText w:val="（%1）"/>
      <w:lvlJc w:val="left"/>
    </w:lvl>
  </w:abstractNum>
  <w:abstractNum w:abstractNumId="1">
    <w:nsid w:val="87351CF5"/>
    <w:multiLevelType w:val="multilevel"/>
    <w:tmpl w:val="87351CF5"/>
    <w:lvl w:ilvl="0" w:tentative="0">
      <w:start w:val="1"/>
      <w:numFmt w:val="decimal"/>
      <w:isLgl/>
      <w:suff w:val="space"/>
      <w:lvlText w:val="%1"/>
      <w:lvlJc w:val="left"/>
      <w:pPr>
        <w:tabs>
          <w:tab w:val="left" w:pos="0"/>
        </w:tabs>
        <w:ind w:left="425" w:hanging="425"/>
      </w:pPr>
      <w:rPr>
        <w:rFonts w:hint="default" w:ascii="仿宋" w:hAnsi="仿宋" w:eastAsia="仿宋" w:cs="仿宋"/>
        <w:b/>
        <w:bCs/>
        <w:sz w:val="32"/>
        <w:szCs w:val="32"/>
      </w:rPr>
    </w:lvl>
    <w:lvl w:ilvl="1" w:tentative="0">
      <w:start w:val="1"/>
      <w:numFmt w:val="decimal"/>
      <w:isLgl/>
      <w:suff w:val="space"/>
      <w:lvlText w:val="%1.%2"/>
      <w:lvlJc w:val="left"/>
      <w:pPr>
        <w:tabs>
          <w:tab w:val="left" w:pos="420"/>
        </w:tabs>
        <w:ind w:left="567" w:hanging="567"/>
      </w:pPr>
      <w:rPr>
        <w:rFonts w:hint="default" w:ascii="仿宋" w:hAnsi="仿宋" w:eastAsia="仿宋" w:cs="仿宋"/>
        <w:b/>
        <w:bCs/>
        <w:sz w:val="28"/>
        <w:szCs w:val="28"/>
      </w:rPr>
    </w:lvl>
    <w:lvl w:ilvl="2" w:tentative="0">
      <w:start w:val="1"/>
      <w:numFmt w:val="decimal"/>
      <w:isLgl/>
      <w:suff w:val="space"/>
      <w:lvlText w:val="%1.%2.%3"/>
      <w:lvlJc w:val="left"/>
      <w:pPr>
        <w:tabs>
          <w:tab w:val="left" w:pos="0"/>
        </w:tabs>
        <w:ind w:left="992" w:hanging="992"/>
      </w:pPr>
      <w:rPr>
        <w:rFonts w:hint="default" w:ascii="仿宋" w:hAnsi="仿宋" w:eastAsia="仿宋" w:cs="仿宋"/>
        <w:b/>
        <w:bCs/>
        <w:sz w:val="24"/>
        <w:szCs w:val="24"/>
      </w:rPr>
    </w:lvl>
    <w:lvl w:ilvl="3" w:tentative="0">
      <w:start w:val="1"/>
      <w:numFmt w:val="decimal"/>
      <w:isLgl/>
      <w:suff w:val="space"/>
      <w:lvlText w:val="%1.%2.%3.%4"/>
      <w:lvlJc w:val="left"/>
      <w:pPr>
        <w:tabs>
          <w:tab w:val="left" w:pos="420"/>
        </w:tabs>
        <w:ind w:left="1984" w:hanging="1984"/>
      </w:pPr>
      <w:rPr>
        <w:rFonts w:hint="default" w:ascii="仿宋" w:hAnsi="仿宋" w:eastAsia="仿宋" w:cs="仿宋"/>
        <w:b/>
        <w:bCs/>
        <w:sz w:val="24"/>
        <w:szCs w:val="24"/>
      </w:rPr>
    </w:lvl>
    <w:lvl w:ilvl="4" w:tentative="0">
      <w:start w:val="1"/>
      <w:numFmt w:val="decimal"/>
      <w:isLgl/>
      <w:suff w:val="space"/>
      <w:lvlText w:val="%1.%2.%3.%4.%5"/>
      <w:lvlJc w:val="left"/>
      <w:pPr>
        <w:tabs>
          <w:tab w:val="left" w:pos="0"/>
        </w:tabs>
        <w:ind w:left="2551" w:hanging="2551"/>
      </w:pPr>
      <w:rPr>
        <w:rFonts w:hint="default" w:ascii="宋体" w:hAnsi="宋体" w:eastAsia="宋体" w:cs="宋体"/>
        <w:b/>
        <w:bCs/>
        <w:sz w:val="24"/>
        <w:szCs w:val="24"/>
      </w:rPr>
    </w:lvl>
    <w:lvl w:ilvl="5" w:tentative="0">
      <w:start w:val="1"/>
      <w:numFmt w:val="decimal"/>
      <w:lvlRestart w:val="2"/>
      <w:pStyle w:val="29"/>
      <w:suff w:val="space"/>
      <w:lvlText w:val="表%1.%2-%6 "/>
      <w:lvlJc w:val="left"/>
      <w:pPr>
        <w:tabs>
          <w:tab w:val="left" w:pos="0"/>
        </w:tabs>
        <w:ind w:left="3260" w:hanging="3260"/>
      </w:pPr>
      <w:rPr>
        <w:rFonts w:hint="default" w:ascii="仿宋" w:hAnsi="仿宋" w:eastAsia="仿宋" w:cs="仿宋"/>
        <w:b/>
        <w:bCs/>
        <w:sz w:val="21"/>
        <w:szCs w:val="21"/>
      </w:rPr>
    </w:lvl>
    <w:lvl w:ilvl="6" w:tentative="0">
      <w:start w:val="1"/>
      <w:numFmt w:val="decimal"/>
      <w:lvlRestart w:val="2"/>
      <w:suff w:val="space"/>
      <w:lvlText w:val="图%1.%2-%7 "/>
      <w:lvlJc w:val="left"/>
      <w:pPr>
        <w:tabs>
          <w:tab w:val="left" w:pos="0"/>
        </w:tabs>
        <w:ind w:left="3827" w:hanging="3827"/>
      </w:pPr>
      <w:rPr>
        <w:rFonts w:hint="default" w:ascii="仿宋" w:hAnsi="仿宋" w:eastAsia="仿宋" w:cs="仿宋"/>
      </w:rPr>
    </w:lvl>
    <w:lvl w:ilvl="7" w:tentative="0">
      <w:start w:val="1"/>
      <w:numFmt w:val="decimal"/>
      <w:lvlText w:val="%1.%2.%3.%4.%5.%6.%7.%8"/>
      <w:lvlJc w:val="left"/>
      <w:pPr>
        <w:tabs>
          <w:tab w:val="left" w:pos="420"/>
        </w:tabs>
        <w:ind w:left="4394" w:hanging="1418"/>
      </w:pPr>
      <w:rPr>
        <w:rFonts w:hint="default" w:ascii="宋体" w:hAnsi="宋体" w:eastAsia="宋体" w:cs="宋体"/>
      </w:rPr>
    </w:lvl>
    <w:lvl w:ilvl="8" w:tentative="0">
      <w:start w:val="1"/>
      <w:numFmt w:val="decimal"/>
      <w:lvlText w:val="%1.%2.%3.%4.%5.%6.%7.%8.%9"/>
      <w:lvlJc w:val="left"/>
      <w:pPr>
        <w:ind w:left="5102" w:hanging="1700"/>
      </w:pPr>
      <w:rPr>
        <w:rFonts w:hint="eastAsia"/>
      </w:rPr>
    </w:lvl>
  </w:abstractNum>
  <w:abstractNum w:abstractNumId="2">
    <w:nsid w:val="FDBB5B96"/>
    <w:multiLevelType w:val="multilevel"/>
    <w:tmpl w:val="FDBB5B96"/>
    <w:lvl w:ilvl="0" w:tentative="0">
      <w:start w:val="1"/>
      <w:numFmt w:val="decimal"/>
      <w:suff w:val="space"/>
      <w:lvlText w:val="第%1章"/>
      <w:lvlJc w:val="center"/>
      <w:pPr>
        <w:ind w:left="0" w:firstLine="0"/>
      </w:pPr>
      <w:rPr>
        <w:rFonts w:hint="default" w:ascii="宋体" w:hAnsi="宋体" w:eastAsia="宋体" w:cs="宋体"/>
      </w:rPr>
    </w:lvl>
    <w:lvl w:ilvl="1" w:tentative="0">
      <w:start w:val="1"/>
      <w:numFmt w:val="decimal"/>
      <w:isLgl/>
      <w:suff w:val="space"/>
      <w:lvlText w:val="%1.%2"/>
      <w:lvlJc w:val="left"/>
      <w:pPr>
        <w:tabs>
          <w:tab w:val="left" w:pos="0"/>
        </w:tabs>
        <w:ind w:left="0" w:firstLine="0"/>
      </w:pPr>
      <w:rPr>
        <w:rFonts w:hint="default" w:ascii="宋体" w:hAnsi="宋体" w:eastAsia="宋体" w:cs="宋体"/>
      </w:rPr>
    </w:lvl>
    <w:lvl w:ilvl="2" w:tentative="0">
      <w:start w:val="1"/>
      <w:numFmt w:val="decimal"/>
      <w:suff w:val="space"/>
      <w:lvlText w:val="%1.%2.%3"/>
      <w:lvlJc w:val="left"/>
      <w:pPr>
        <w:ind w:left="0" w:firstLine="0"/>
      </w:pPr>
      <w:rPr>
        <w:rFonts w:hint="default" w:ascii="宋体" w:hAnsi="宋体" w:eastAsia="宋体" w:cs="宋体"/>
      </w:rPr>
    </w:lvl>
    <w:lvl w:ilvl="3" w:tentative="0">
      <w:start w:val="1"/>
      <w:numFmt w:val="decimal"/>
      <w:pStyle w:val="6"/>
      <w:suff w:val="space"/>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3">
    <w:nsid w:val="1F270B90"/>
    <w:multiLevelType w:val="singleLevel"/>
    <w:tmpl w:val="1F270B90"/>
    <w:lvl w:ilvl="0" w:tentative="0">
      <w:start w:val="1"/>
      <w:numFmt w:val="decimal"/>
      <w:suff w:val="nothing"/>
      <w:lvlText w:val="（%1）"/>
      <w:lvlJc w:val="left"/>
    </w:lvl>
  </w:abstractNum>
  <w:abstractNum w:abstractNumId="4">
    <w:nsid w:val="3B56299B"/>
    <w:multiLevelType w:val="multilevel"/>
    <w:tmpl w:val="3B56299B"/>
    <w:lvl w:ilvl="0" w:tentative="0">
      <w:start w:val="1"/>
      <w:numFmt w:val="decimal"/>
      <w:pStyle w:val="3"/>
      <w:lvlText w:val="%1."/>
      <w:lvlJc w:val="left"/>
      <w:pPr>
        <w:ind w:left="425" w:hanging="425"/>
      </w:pPr>
      <w:rPr>
        <w:rFonts w:hint="default"/>
      </w:rPr>
    </w:lvl>
    <w:lvl w:ilvl="1" w:tentative="0">
      <w:start w:val="1"/>
      <w:numFmt w:val="decimal"/>
      <w:pStyle w:val="4"/>
      <w:lvlText w:val="%1.%2."/>
      <w:lvlJc w:val="left"/>
      <w:pPr>
        <w:ind w:left="567" w:hanging="567"/>
      </w:pPr>
      <w:rPr>
        <w:rFonts w:hint="default"/>
      </w:rPr>
    </w:lvl>
    <w:lvl w:ilvl="2" w:tentative="0">
      <w:start w:val="1"/>
      <w:numFmt w:val="decimal"/>
      <w:pStyle w:val="5"/>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58D83CA7"/>
    <w:multiLevelType w:val="singleLevel"/>
    <w:tmpl w:val="58D83CA7"/>
    <w:lvl w:ilvl="0" w:tentative="0">
      <w:start w:val="1"/>
      <w:numFmt w:val="decimal"/>
      <w:suff w:val="nothing"/>
      <w:lvlText w:val="（%1）"/>
      <w:lvlJc w:val="left"/>
    </w:lvl>
  </w:abstractNum>
  <w:abstractNum w:abstractNumId="6">
    <w:nsid w:val="71945F80"/>
    <w:multiLevelType w:val="singleLevel"/>
    <w:tmpl w:val="71945F80"/>
    <w:lvl w:ilvl="0" w:tentative="0">
      <w:start w:val="1"/>
      <w:numFmt w:val="decimal"/>
      <w:suff w:val="nothing"/>
      <w:lvlText w:val="（%1）"/>
      <w:lvlJc w:val="left"/>
    </w:lvl>
  </w:abstractNum>
  <w:num w:numId="1">
    <w:abstractNumId w:val="4"/>
  </w:num>
  <w:num w:numId="2">
    <w:abstractNumId w:val="2"/>
  </w:num>
  <w:num w:numId="3">
    <w:abstractNumId w:val="1"/>
  </w:num>
  <w:num w:numId="4">
    <w:abstractNumId w:val="5"/>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1"/>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RiN2IyYTAwMDk1ZGUxNGJjZTlkYmE0NzU2NTE4NzYifQ=="/>
  </w:docVars>
  <w:rsids>
    <w:rsidRoot w:val="00000000"/>
    <w:rsid w:val="015067DE"/>
    <w:rsid w:val="01892BA5"/>
    <w:rsid w:val="01D241B3"/>
    <w:rsid w:val="02E1151B"/>
    <w:rsid w:val="02E54872"/>
    <w:rsid w:val="031F2471"/>
    <w:rsid w:val="03BB1846"/>
    <w:rsid w:val="041C1D5E"/>
    <w:rsid w:val="04363AE8"/>
    <w:rsid w:val="047563BF"/>
    <w:rsid w:val="04AE7B23"/>
    <w:rsid w:val="04FF212C"/>
    <w:rsid w:val="051C13C9"/>
    <w:rsid w:val="057F4D75"/>
    <w:rsid w:val="06112117"/>
    <w:rsid w:val="06212113"/>
    <w:rsid w:val="067D77AC"/>
    <w:rsid w:val="06A20FC1"/>
    <w:rsid w:val="06C02DB5"/>
    <w:rsid w:val="06FF4665"/>
    <w:rsid w:val="073354A0"/>
    <w:rsid w:val="076B1CFB"/>
    <w:rsid w:val="076B2A72"/>
    <w:rsid w:val="07C66F31"/>
    <w:rsid w:val="082A3964"/>
    <w:rsid w:val="08720753"/>
    <w:rsid w:val="0990589E"/>
    <w:rsid w:val="09DB3168"/>
    <w:rsid w:val="0A911494"/>
    <w:rsid w:val="0B753148"/>
    <w:rsid w:val="0C106EEC"/>
    <w:rsid w:val="0C994C14"/>
    <w:rsid w:val="0D0504FC"/>
    <w:rsid w:val="0D4D3DCB"/>
    <w:rsid w:val="0D7161F6"/>
    <w:rsid w:val="0DED6FC6"/>
    <w:rsid w:val="0E012A71"/>
    <w:rsid w:val="0EBD108E"/>
    <w:rsid w:val="0EDE5E68"/>
    <w:rsid w:val="0F1E7653"/>
    <w:rsid w:val="0F2B20F7"/>
    <w:rsid w:val="0F412D11"/>
    <w:rsid w:val="0F944276"/>
    <w:rsid w:val="101C0036"/>
    <w:rsid w:val="107734BE"/>
    <w:rsid w:val="10C20BDE"/>
    <w:rsid w:val="10EF574B"/>
    <w:rsid w:val="112A0531"/>
    <w:rsid w:val="11C10E95"/>
    <w:rsid w:val="12286587"/>
    <w:rsid w:val="12776C61"/>
    <w:rsid w:val="12F15453"/>
    <w:rsid w:val="14213E6D"/>
    <w:rsid w:val="1445272E"/>
    <w:rsid w:val="15080B89"/>
    <w:rsid w:val="154458C1"/>
    <w:rsid w:val="157D50D3"/>
    <w:rsid w:val="15895EDE"/>
    <w:rsid w:val="15AB60E4"/>
    <w:rsid w:val="16A811A7"/>
    <w:rsid w:val="16D65A10"/>
    <w:rsid w:val="17126D6E"/>
    <w:rsid w:val="18452800"/>
    <w:rsid w:val="19185113"/>
    <w:rsid w:val="19856C4C"/>
    <w:rsid w:val="19F306FA"/>
    <w:rsid w:val="1A5A7A38"/>
    <w:rsid w:val="1A6E7C95"/>
    <w:rsid w:val="1A743983"/>
    <w:rsid w:val="1A8543E5"/>
    <w:rsid w:val="1B090FCA"/>
    <w:rsid w:val="1B256F50"/>
    <w:rsid w:val="1B322073"/>
    <w:rsid w:val="1B7C407F"/>
    <w:rsid w:val="1BBBC80C"/>
    <w:rsid w:val="1BC043AC"/>
    <w:rsid w:val="1CF218FE"/>
    <w:rsid w:val="1D4B17EC"/>
    <w:rsid w:val="1D81336E"/>
    <w:rsid w:val="1DFD14A7"/>
    <w:rsid w:val="1E085A00"/>
    <w:rsid w:val="1E8A260F"/>
    <w:rsid w:val="1F04583F"/>
    <w:rsid w:val="1F4B6242"/>
    <w:rsid w:val="1F824A45"/>
    <w:rsid w:val="1FBDFEBC"/>
    <w:rsid w:val="1FEB532F"/>
    <w:rsid w:val="1FF60A00"/>
    <w:rsid w:val="1FF70178"/>
    <w:rsid w:val="1FF97A4C"/>
    <w:rsid w:val="1FFF6CC7"/>
    <w:rsid w:val="205B4263"/>
    <w:rsid w:val="20971013"/>
    <w:rsid w:val="20C20786"/>
    <w:rsid w:val="21933ED0"/>
    <w:rsid w:val="21AD4F92"/>
    <w:rsid w:val="22096085"/>
    <w:rsid w:val="221E379A"/>
    <w:rsid w:val="22412A89"/>
    <w:rsid w:val="226F7F3E"/>
    <w:rsid w:val="228B6578"/>
    <w:rsid w:val="23424499"/>
    <w:rsid w:val="23502079"/>
    <w:rsid w:val="241018F1"/>
    <w:rsid w:val="241308F8"/>
    <w:rsid w:val="245051B0"/>
    <w:rsid w:val="26795443"/>
    <w:rsid w:val="268B0BB7"/>
    <w:rsid w:val="26C44238"/>
    <w:rsid w:val="26FA7981"/>
    <w:rsid w:val="274F2647"/>
    <w:rsid w:val="27787DF0"/>
    <w:rsid w:val="27912C60"/>
    <w:rsid w:val="27B64475"/>
    <w:rsid w:val="28667C49"/>
    <w:rsid w:val="28F17E5A"/>
    <w:rsid w:val="2907142C"/>
    <w:rsid w:val="2939535D"/>
    <w:rsid w:val="29B40BCD"/>
    <w:rsid w:val="2A5650C3"/>
    <w:rsid w:val="2A816FBC"/>
    <w:rsid w:val="2A846AAC"/>
    <w:rsid w:val="2AFA5B62"/>
    <w:rsid w:val="2B8A00F2"/>
    <w:rsid w:val="2C924360"/>
    <w:rsid w:val="2DAC6A95"/>
    <w:rsid w:val="2F35577E"/>
    <w:rsid w:val="2F4D3910"/>
    <w:rsid w:val="2F957310"/>
    <w:rsid w:val="2FA64589"/>
    <w:rsid w:val="303E14AB"/>
    <w:rsid w:val="30442F65"/>
    <w:rsid w:val="30A92DC8"/>
    <w:rsid w:val="310D15A9"/>
    <w:rsid w:val="318B508B"/>
    <w:rsid w:val="321019B8"/>
    <w:rsid w:val="325417CA"/>
    <w:rsid w:val="32650F71"/>
    <w:rsid w:val="32CF3C2F"/>
    <w:rsid w:val="336458E2"/>
    <w:rsid w:val="348C0A37"/>
    <w:rsid w:val="35694F9D"/>
    <w:rsid w:val="35C12962"/>
    <w:rsid w:val="363B4A21"/>
    <w:rsid w:val="366A7748"/>
    <w:rsid w:val="368C2F70"/>
    <w:rsid w:val="36B32DAA"/>
    <w:rsid w:val="36C739AA"/>
    <w:rsid w:val="37E518A4"/>
    <w:rsid w:val="38526424"/>
    <w:rsid w:val="38972282"/>
    <w:rsid w:val="391E45EB"/>
    <w:rsid w:val="39317DFF"/>
    <w:rsid w:val="39DA2245"/>
    <w:rsid w:val="39F32125"/>
    <w:rsid w:val="39FF8EB4"/>
    <w:rsid w:val="3A7D7C88"/>
    <w:rsid w:val="3A7E52C6"/>
    <w:rsid w:val="3AB40B45"/>
    <w:rsid w:val="3AE01ADD"/>
    <w:rsid w:val="3B7F8127"/>
    <w:rsid w:val="3BAF6F5D"/>
    <w:rsid w:val="3BC91B82"/>
    <w:rsid w:val="3C3A4DF5"/>
    <w:rsid w:val="3C6725E4"/>
    <w:rsid w:val="3C92326C"/>
    <w:rsid w:val="3C97266F"/>
    <w:rsid w:val="3C9963E7"/>
    <w:rsid w:val="3C9D7BF4"/>
    <w:rsid w:val="3CEF6007"/>
    <w:rsid w:val="3D2551B7"/>
    <w:rsid w:val="3DC41242"/>
    <w:rsid w:val="3DC73669"/>
    <w:rsid w:val="3DF140E7"/>
    <w:rsid w:val="3F0A169F"/>
    <w:rsid w:val="3FDA11F0"/>
    <w:rsid w:val="3FF35E0E"/>
    <w:rsid w:val="401D2E8B"/>
    <w:rsid w:val="40282A92"/>
    <w:rsid w:val="40632F94"/>
    <w:rsid w:val="406423BD"/>
    <w:rsid w:val="40AB0497"/>
    <w:rsid w:val="41BE41FA"/>
    <w:rsid w:val="41C04416"/>
    <w:rsid w:val="41FA4207"/>
    <w:rsid w:val="431E7646"/>
    <w:rsid w:val="436D5ED7"/>
    <w:rsid w:val="441647C1"/>
    <w:rsid w:val="4425472F"/>
    <w:rsid w:val="44255FFE"/>
    <w:rsid w:val="44AC0B72"/>
    <w:rsid w:val="44BF422A"/>
    <w:rsid w:val="45763769"/>
    <w:rsid w:val="4639132E"/>
    <w:rsid w:val="46AC6D17"/>
    <w:rsid w:val="47C63E08"/>
    <w:rsid w:val="47E875B3"/>
    <w:rsid w:val="47ED75E7"/>
    <w:rsid w:val="48D9212F"/>
    <w:rsid w:val="4A2D127E"/>
    <w:rsid w:val="4AB4671C"/>
    <w:rsid w:val="4BBC79FC"/>
    <w:rsid w:val="4C713EEB"/>
    <w:rsid w:val="4C714C8A"/>
    <w:rsid w:val="4C72630D"/>
    <w:rsid w:val="4C7B313E"/>
    <w:rsid w:val="4DED20EF"/>
    <w:rsid w:val="4E0860F6"/>
    <w:rsid w:val="4E9650FA"/>
    <w:rsid w:val="4E9E5ADF"/>
    <w:rsid w:val="4ED06F79"/>
    <w:rsid w:val="4F221CA0"/>
    <w:rsid w:val="4F754A92"/>
    <w:rsid w:val="4FE13ED5"/>
    <w:rsid w:val="4FF27E90"/>
    <w:rsid w:val="506337A7"/>
    <w:rsid w:val="50F30EAD"/>
    <w:rsid w:val="511856D5"/>
    <w:rsid w:val="51591E1C"/>
    <w:rsid w:val="51741265"/>
    <w:rsid w:val="51C615D4"/>
    <w:rsid w:val="51D81B85"/>
    <w:rsid w:val="524C6CFF"/>
    <w:rsid w:val="52C86D6D"/>
    <w:rsid w:val="52D356F3"/>
    <w:rsid w:val="53EA0E7E"/>
    <w:rsid w:val="540126D5"/>
    <w:rsid w:val="545F0481"/>
    <w:rsid w:val="55805F3E"/>
    <w:rsid w:val="55874F5B"/>
    <w:rsid w:val="56201633"/>
    <w:rsid w:val="56413A34"/>
    <w:rsid w:val="56B460E4"/>
    <w:rsid w:val="56B75990"/>
    <w:rsid w:val="56EC172F"/>
    <w:rsid w:val="57610389"/>
    <w:rsid w:val="58ED2673"/>
    <w:rsid w:val="599E20D1"/>
    <w:rsid w:val="5A0E3B19"/>
    <w:rsid w:val="5A11284A"/>
    <w:rsid w:val="5A8C0EE1"/>
    <w:rsid w:val="5AFD593B"/>
    <w:rsid w:val="5B4B4377"/>
    <w:rsid w:val="5C17073E"/>
    <w:rsid w:val="5C2F1899"/>
    <w:rsid w:val="5C4F0418"/>
    <w:rsid w:val="5DDFF6A3"/>
    <w:rsid w:val="5E293FEF"/>
    <w:rsid w:val="5EFB03E4"/>
    <w:rsid w:val="5FAB3BB8"/>
    <w:rsid w:val="60C352B3"/>
    <w:rsid w:val="60F90953"/>
    <w:rsid w:val="611A4231"/>
    <w:rsid w:val="612C6F7A"/>
    <w:rsid w:val="617D6EBE"/>
    <w:rsid w:val="61950F4A"/>
    <w:rsid w:val="62050A10"/>
    <w:rsid w:val="621B1C44"/>
    <w:rsid w:val="629E5C56"/>
    <w:rsid w:val="638E1826"/>
    <w:rsid w:val="63974B7F"/>
    <w:rsid w:val="63FA4B93"/>
    <w:rsid w:val="644D317A"/>
    <w:rsid w:val="654E674A"/>
    <w:rsid w:val="658137B1"/>
    <w:rsid w:val="65B50AD2"/>
    <w:rsid w:val="65D025CA"/>
    <w:rsid w:val="672F78C9"/>
    <w:rsid w:val="67900263"/>
    <w:rsid w:val="67D55C76"/>
    <w:rsid w:val="68440261"/>
    <w:rsid w:val="68AD6BF3"/>
    <w:rsid w:val="68AF4719"/>
    <w:rsid w:val="68B24DA4"/>
    <w:rsid w:val="69164798"/>
    <w:rsid w:val="692A0243"/>
    <w:rsid w:val="695D5F23"/>
    <w:rsid w:val="6987790B"/>
    <w:rsid w:val="6A445335"/>
    <w:rsid w:val="6A451B01"/>
    <w:rsid w:val="6A617C95"/>
    <w:rsid w:val="6BC009EB"/>
    <w:rsid w:val="6C9D530E"/>
    <w:rsid w:val="6D2C27DC"/>
    <w:rsid w:val="6DA33170"/>
    <w:rsid w:val="6DFE44C1"/>
    <w:rsid w:val="6E940155"/>
    <w:rsid w:val="6EB60417"/>
    <w:rsid w:val="6FC860C0"/>
    <w:rsid w:val="6FFC486D"/>
    <w:rsid w:val="70932B72"/>
    <w:rsid w:val="71457691"/>
    <w:rsid w:val="71AA3CCF"/>
    <w:rsid w:val="71FB277D"/>
    <w:rsid w:val="71FB452B"/>
    <w:rsid w:val="73514C27"/>
    <w:rsid w:val="735B6D49"/>
    <w:rsid w:val="73771C14"/>
    <w:rsid w:val="73A82490"/>
    <w:rsid w:val="73CB55F4"/>
    <w:rsid w:val="744D3F3D"/>
    <w:rsid w:val="74C4779E"/>
    <w:rsid w:val="74F52B50"/>
    <w:rsid w:val="750E252E"/>
    <w:rsid w:val="752D5343"/>
    <w:rsid w:val="753A4E05"/>
    <w:rsid w:val="759E3A78"/>
    <w:rsid w:val="75C94940"/>
    <w:rsid w:val="75DB0083"/>
    <w:rsid w:val="762E0E6F"/>
    <w:rsid w:val="76584CD4"/>
    <w:rsid w:val="767E4F66"/>
    <w:rsid w:val="76FD0D45"/>
    <w:rsid w:val="77197F04"/>
    <w:rsid w:val="77427AE6"/>
    <w:rsid w:val="77BAAABE"/>
    <w:rsid w:val="77EB6DF0"/>
    <w:rsid w:val="798748E4"/>
    <w:rsid w:val="79A25BD4"/>
    <w:rsid w:val="79E11D79"/>
    <w:rsid w:val="7A6137F7"/>
    <w:rsid w:val="7A762F8B"/>
    <w:rsid w:val="7C093CE8"/>
    <w:rsid w:val="7C825B31"/>
    <w:rsid w:val="7C85487B"/>
    <w:rsid w:val="7C9F63FA"/>
    <w:rsid w:val="7CFC3146"/>
    <w:rsid w:val="7D0F3197"/>
    <w:rsid w:val="7D472D1A"/>
    <w:rsid w:val="7D621902"/>
    <w:rsid w:val="7D862E5C"/>
    <w:rsid w:val="7D8B3E17"/>
    <w:rsid w:val="7EC860DC"/>
    <w:rsid w:val="7EE60311"/>
    <w:rsid w:val="7F274BC1"/>
    <w:rsid w:val="7F3FE8E5"/>
    <w:rsid w:val="7FD832C2"/>
    <w:rsid w:val="7FFE8A48"/>
    <w:rsid w:val="7FFFA2F1"/>
    <w:rsid w:val="BBAFEC51"/>
    <w:rsid w:val="DBEBF8E8"/>
    <w:rsid w:val="EE7B0EE5"/>
    <w:rsid w:val="EEDF8AF9"/>
    <w:rsid w:val="EEF7BE98"/>
    <w:rsid w:val="FB7B461E"/>
    <w:rsid w:val="FB7D87C5"/>
    <w:rsid w:val="FEBFA1BB"/>
    <w:rsid w:val="FED98BB1"/>
    <w:rsid w:val="FEDEECD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 w:cs="Times New Roman"/>
      <w:kern w:val="2"/>
      <w:sz w:val="32"/>
      <w:szCs w:val="22"/>
      <w:lang w:val="en-US" w:eastAsia="zh-CN" w:bidi="ar-SA"/>
    </w:rPr>
  </w:style>
  <w:style w:type="paragraph" w:styleId="3">
    <w:name w:val="heading 1"/>
    <w:basedOn w:val="1"/>
    <w:next w:val="1"/>
    <w:link w:val="23"/>
    <w:qFormat/>
    <w:uiPriority w:val="0"/>
    <w:pPr>
      <w:keepNext/>
      <w:keepLines/>
      <w:numPr>
        <w:ilvl w:val="0"/>
        <w:numId w:val="1"/>
      </w:numPr>
      <w:spacing w:line="600" w:lineRule="exact"/>
      <w:ind w:left="425" w:hanging="425" w:firstLineChars="0"/>
      <w:jc w:val="both"/>
      <w:outlineLvl w:val="0"/>
    </w:pPr>
    <w:rPr>
      <w:b/>
      <w:bCs/>
      <w:kern w:val="44"/>
      <w:szCs w:val="44"/>
    </w:rPr>
  </w:style>
  <w:style w:type="paragraph" w:styleId="4">
    <w:name w:val="heading 2"/>
    <w:basedOn w:val="1"/>
    <w:next w:val="1"/>
    <w:qFormat/>
    <w:uiPriority w:val="0"/>
    <w:pPr>
      <w:keepNext/>
      <w:keepLines/>
      <w:numPr>
        <w:ilvl w:val="1"/>
        <w:numId w:val="1"/>
      </w:numPr>
      <w:spacing w:line="600" w:lineRule="exact"/>
      <w:ind w:left="567" w:hanging="567" w:firstLineChars="0"/>
      <w:outlineLvl w:val="1"/>
    </w:pPr>
    <w:rPr>
      <w:b/>
      <w:bCs/>
      <w:szCs w:val="32"/>
    </w:rPr>
  </w:style>
  <w:style w:type="paragraph" w:styleId="5">
    <w:name w:val="heading 3"/>
    <w:basedOn w:val="1"/>
    <w:next w:val="1"/>
    <w:link w:val="24"/>
    <w:unhideWhenUsed/>
    <w:qFormat/>
    <w:uiPriority w:val="9"/>
    <w:pPr>
      <w:keepNext/>
      <w:keepLines/>
      <w:numPr>
        <w:ilvl w:val="2"/>
        <w:numId w:val="1"/>
      </w:numPr>
      <w:ind w:firstLineChars="0"/>
      <w:outlineLvl w:val="2"/>
    </w:pPr>
    <w:rPr>
      <w:b/>
      <w:bCs/>
      <w:szCs w:val="32"/>
    </w:rPr>
  </w:style>
  <w:style w:type="paragraph" w:styleId="6">
    <w:name w:val="heading 4"/>
    <w:basedOn w:val="1"/>
    <w:next w:val="1"/>
    <w:unhideWhenUsed/>
    <w:qFormat/>
    <w:uiPriority w:val="9"/>
    <w:pPr>
      <w:keepNext/>
      <w:keepLines/>
      <w:numPr>
        <w:ilvl w:val="3"/>
        <w:numId w:val="2"/>
      </w:numPr>
      <w:ind w:firstLineChars="0"/>
      <w:outlineLvl w:val="3"/>
    </w:pPr>
    <w:rPr>
      <w:rFonts w:cs="Times New Roman"/>
      <w:b/>
      <w:bCs/>
      <w:szCs w:val="28"/>
    </w:rPr>
  </w:style>
  <w:style w:type="paragraph" w:styleId="7">
    <w:name w:val="heading 5"/>
    <w:basedOn w:val="1"/>
    <w:next w:val="1"/>
    <w:unhideWhenUsed/>
    <w:qFormat/>
    <w:uiPriority w:val="0"/>
    <w:pPr>
      <w:keepNext/>
      <w:keepLines/>
      <w:spacing w:beforeLines="0" w:beforeAutospacing="0" w:afterLines="0" w:afterAutospacing="0" w:line="360" w:lineRule="auto"/>
      <w:outlineLvl w:val="4"/>
    </w:pPr>
    <w:rPr>
      <w:rFonts w:ascii="Times New Roman" w:hAnsi="Times New Roman" w:eastAsia="宋体"/>
      <w:b/>
    </w:rPr>
  </w:style>
  <w:style w:type="character" w:default="1" w:styleId="22">
    <w:name w:val="Default Paragraph Font"/>
    <w:semiHidden/>
    <w:qFormat/>
    <w:uiPriority w:val="0"/>
  </w:style>
  <w:style w:type="table" w:default="1" w:styleId="20">
    <w:name w:val="Normal Table"/>
    <w:semiHidden/>
    <w:qFormat/>
    <w:uiPriority w:val="0"/>
    <w:tblPr>
      <w:tblCellMar>
        <w:top w:w="0" w:type="dxa"/>
        <w:left w:w="108" w:type="dxa"/>
        <w:bottom w:w="0" w:type="dxa"/>
        <w:right w:w="108" w:type="dxa"/>
      </w:tblCellMar>
    </w:tblPr>
  </w:style>
  <w:style w:type="paragraph" w:customStyle="1" w:styleId="2">
    <w:name w:val="样式2"/>
    <w:autoRedefine/>
    <w:qFormat/>
    <w:uiPriority w:val="0"/>
    <w:pPr>
      <w:widowControl/>
      <w:shd w:val="clear" w:color="auto" w:fill="FFFFFF"/>
      <w:spacing w:before="100" w:beforeAutospacing="1" w:after="100" w:afterAutospacing="1"/>
      <w:ind w:left="562"/>
      <w:jc w:val="center"/>
    </w:pPr>
    <w:rPr>
      <w:rFonts w:ascii="宋体" w:hAnsi="Calibri" w:eastAsiaTheme="minorEastAsia" w:cstheme="minorBidi"/>
      <w:b/>
      <w:bCs/>
      <w:kern w:val="2"/>
      <w:sz w:val="21"/>
      <w:szCs w:val="21"/>
      <w:lang w:val="en-US" w:eastAsia="zh-CN" w:bidi="ar-SA"/>
    </w:rPr>
  </w:style>
  <w:style w:type="paragraph" w:styleId="8">
    <w:name w:val="caption"/>
    <w:basedOn w:val="1"/>
    <w:next w:val="1"/>
    <w:unhideWhenUsed/>
    <w:qFormat/>
    <w:uiPriority w:val="0"/>
    <w:pPr>
      <w:spacing w:line="240" w:lineRule="auto"/>
      <w:ind w:firstLine="0" w:firstLineChars="0"/>
      <w:jc w:val="center"/>
    </w:pPr>
    <w:rPr>
      <w:rFonts w:ascii="Arial" w:hAnsi="Arial" w:eastAsia="宋体"/>
      <w:b/>
      <w:sz w:val="24"/>
    </w:rPr>
  </w:style>
  <w:style w:type="paragraph" w:styleId="9">
    <w:name w:val="annotation text"/>
    <w:basedOn w:val="1"/>
    <w:qFormat/>
    <w:uiPriority w:val="0"/>
    <w:pPr>
      <w:jc w:val="left"/>
    </w:pPr>
  </w:style>
  <w:style w:type="paragraph" w:styleId="10">
    <w:name w:val="Body Text Indent"/>
    <w:basedOn w:val="1"/>
    <w:next w:val="11"/>
    <w:qFormat/>
    <w:uiPriority w:val="0"/>
    <w:pPr>
      <w:widowControl w:val="0"/>
      <w:ind w:firstLine="640" w:firstLineChars="200"/>
      <w:jc w:val="both"/>
    </w:pPr>
    <w:rPr>
      <w:rFonts w:eastAsia="仿宋_GB2312" w:asciiTheme="minorHAnsi" w:hAnsiTheme="minorHAnsi" w:cstheme="minorBidi"/>
      <w:kern w:val="2"/>
      <w:sz w:val="32"/>
      <w:szCs w:val="24"/>
      <w:lang w:val="en-US" w:eastAsia="zh-CN" w:bidi="ar-SA"/>
    </w:rPr>
  </w:style>
  <w:style w:type="paragraph" w:styleId="11">
    <w:name w:val="Body Text Indent 2"/>
    <w:basedOn w:val="1"/>
    <w:next w:val="1"/>
    <w:qFormat/>
    <w:uiPriority w:val="0"/>
    <w:pPr>
      <w:widowControl w:val="0"/>
      <w:ind w:left="200" w:leftChars="200"/>
      <w:jc w:val="both"/>
    </w:pPr>
    <w:rPr>
      <w:rFonts w:asciiTheme="minorHAnsi" w:hAnsiTheme="minorHAnsi" w:eastAsiaTheme="minorEastAsia" w:cstheme="minorBidi"/>
      <w:kern w:val="2"/>
      <w:sz w:val="21"/>
      <w:szCs w:val="24"/>
      <w:lang w:val="en-US" w:eastAsia="zh-CN" w:bidi="ar-SA"/>
    </w:rPr>
  </w:style>
  <w:style w:type="paragraph" w:styleId="12">
    <w:name w:val="toc 3"/>
    <w:basedOn w:val="1"/>
    <w:next w:val="1"/>
    <w:qFormat/>
    <w:uiPriority w:val="0"/>
    <w:pPr>
      <w:ind w:left="640" w:leftChars="200"/>
    </w:pPr>
  </w:style>
  <w:style w:type="paragraph" w:styleId="13">
    <w:name w:val="Plain Text"/>
    <w:basedOn w:val="1"/>
    <w:next w:val="14"/>
    <w:unhideWhenUsed/>
    <w:qFormat/>
    <w:uiPriority w:val="0"/>
    <w:rPr>
      <w:rFonts w:ascii="宋体" w:hAnsi="Courier New" w:cs="Courier New"/>
      <w:szCs w:val="21"/>
    </w:rPr>
  </w:style>
  <w:style w:type="paragraph" w:styleId="14">
    <w:name w:val="toc 9"/>
    <w:basedOn w:val="1"/>
    <w:next w:val="1"/>
    <w:unhideWhenUsed/>
    <w:qFormat/>
    <w:uiPriority w:val="39"/>
    <w:pPr>
      <w:ind w:left="3360"/>
    </w:pPr>
  </w:style>
  <w:style w:type="paragraph" w:styleId="15">
    <w:name w:val="footer"/>
    <w:basedOn w:val="1"/>
    <w:unhideWhenUsed/>
    <w:qFormat/>
    <w:uiPriority w:val="99"/>
    <w:pPr>
      <w:tabs>
        <w:tab w:val="center" w:pos="4153"/>
        <w:tab w:val="right" w:pos="8306"/>
      </w:tabs>
      <w:snapToGrid w:val="0"/>
      <w:jc w:val="left"/>
    </w:pPr>
    <w:rPr>
      <w:sz w:val="18"/>
      <w:szCs w:val="18"/>
    </w:rPr>
  </w:style>
  <w:style w:type="paragraph" w:styleId="1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0"/>
    <w:pPr>
      <w:ind w:firstLine="0" w:firstLineChars="0"/>
    </w:pPr>
  </w:style>
  <w:style w:type="paragraph" w:styleId="18">
    <w:name w:val="toc 2"/>
    <w:basedOn w:val="1"/>
    <w:next w:val="1"/>
    <w:qFormat/>
    <w:uiPriority w:val="0"/>
    <w:pPr>
      <w:ind w:left="0" w:leftChars="0"/>
    </w:pPr>
  </w:style>
  <w:style w:type="paragraph" w:styleId="19">
    <w:name w:val="Body Text First Indent 2"/>
    <w:basedOn w:val="10"/>
    <w:next w:val="1"/>
    <w:qFormat/>
    <w:uiPriority w:val="0"/>
    <w:pPr>
      <w:widowControl w:val="0"/>
      <w:ind w:firstLine="420" w:firstLineChars="200"/>
      <w:jc w:val="both"/>
    </w:pPr>
    <w:rPr>
      <w:rFonts w:eastAsia="仿宋_GB2312" w:asciiTheme="minorHAnsi" w:hAnsiTheme="minorHAnsi" w:cstheme="minorBidi"/>
      <w:kern w:val="2"/>
      <w:sz w:val="32"/>
      <w:szCs w:val="24"/>
      <w:lang w:val="en-US" w:eastAsia="zh-CN" w:bidi="ar-SA"/>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3">
    <w:name w:val="标题 1 Char"/>
    <w:link w:val="3"/>
    <w:qFormat/>
    <w:uiPriority w:val="0"/>
    <w:rPr>
      <w:b/>
      <w:bCs/>
      <w:kern w:val="44"/>
      <w:szCs w:val="44"/>
    </w:rPr>
  </w:style>
  <w:style w:type="character" w:customStyle="1" w:styleId="24">
    <w:name w:val="标题 3 Char"/>
    <w:link w:val="5"/>
    <w:qFormat/>
    <w:uiPriority w:val="9"/>
    <w:rPr>
      <w:b/>
      <w:bCs/>
      <w:szCs w:val="32"/>
    </w:rPr>
  </w:style>
  <w:style w:type="paragraph" w:customStyle="1" w:styleId="2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6">
    <w:name w:val="WPSOffice手动目录 1"/>
    <w:qFormat/>
    <w:uiPriority w:val="0"/>
    <w:pPr>
      <w:ind w:leftChars="0"/>
    </w:pPr>
    <w:rPr>
      <w:rFonts w:ascii="Times New Roman" w:hAnsi="Times New Roman" w:eastAsia="仿宋" w:cs="Times New Roman"/>
      <w:sz w:val="32"/>
      <w:szCs w:val="20"/>
    </w:rPr>
  </w:style>
  <w:style w:type="paragraph" w:customStyle="1" w:styleId="27">
    <w:name w:val="WPSOffice手动目录 2"/>
    <w:qFormat/>
    <w:uiPriority w:val="0"/>
    <w:pPr>
      <w:ind w:leftChars="200"/>
    </w:pPr>
    <w:rPr>
      <w:rFonts w:ascii="Times New Roman" w:hAnsi="Times New Roman" w:eastAsia="仿宋" w:cs="Times New Roman"/>
      <w:sz w:val="32"/>
      <w:szCs w:val="20"/>
    </w:rPr>
  </w:style>
  <w:style w:type="paragraph" w:customStyle="1" w:styleId="28">
    <w:name w:val="无间隔"/>
    <w:basedOn w:val="1"/>
    <w:qFormat/>
    <w:uiPriority w:val="0"/>
    <w:pPr>
      <w:spacing w:line="440" w:lineRule="exact"/>
      <w:ind w:firstLine="0" w:firstLineChars="0"/>
      <w:jc w:val="center"/>
    </w:pPr>
    <w:rPr>
      <w:rFonts w:hint="eastAsia"/>
      <w:sz w:val="28"/>
    </w:rPr>
  </w:style>
  <w:style w:type="paragraph" w:customStyle="1" w:styleId="29">
    <w:name w:val="国网表头"/>
    <w:basedOn w:val="1"/>
    <w:next w:val="1"/>
    <w:qFormat/>
    <w:uiPriority w:val="0"/>
    <w:pPr>
      <w:numPr>
        <w:ilvl w:val="5"/>
        <w:numId w:val="3"/>
      </w:numPr>
      <w:tabs>
        <w:tab w:val="left" w:pos="420"/>
        <w:tab w:val="clear" w:pos="0"/>
      </w:tabs>
      <w:spacing w:before="50" w:beforeLines="50" w:line="240" w:lineRule="auto"/>
      <w:ind w:firstLine="0" w:firstLineChars="0"/>
      <w:jc w:val="center"/>
    </w:pPr>
    <w:rPr>
      <w:b/>
      <w:bCs/>
      <w:sz w:val="21"/>
      <w:szCs w:val="21"/>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2870</Words>
  <Characters>3019</Characters>
  <Lines>0</Lines>
  <Paragraphs>0</Paragraphs>
  <TotalTime>28</TotalTime>
  <ScaleCrop>false</ScaleCrop>
  <LinksUpToDate>false</LinksUpToDate>
  <CharactersWithSpaces>3042</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2021-03-02T22:51:00Z</dcterms:created>
  <dc:creator>Administrator</dc:creator>
  <cp:lastModifiedBy>一缕茶香</cp:lastModifiedBy>
  <cp:lastPrinted>2024-11-21T00:59:18Z</cp:lastPrinted>
  <dcterms:modified xsi:type="dcterms:W3CDTF">2024-11-21T01:17:32Z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8EAD9A62042A4E13B9FBE0AE750D7B2D_13</vt:lpwstr>
  </property>
</Properties>
</file>