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0" w:after="0" w:afterAutospacing="0" w:line="840" w:lineRule="atLeast"/>
        <w:jc w:val="center"/>
        <w:rPr>
          <w:rFonts w:hint="eastAsia" w:ascii="宋体" w:hAnsi="宋体" w:eastAsia="宋体" w:cs="宋体"/>
          <w:b/>
          <w:bCs/>
          <w:sz w:val="36"/>
          <w:szCs w:val="36"/>
        </w:rPr>
      </w:pPr>
      <w:r>
        <w:rPr>
          <w:rFonts w:ascii="微软雅黑" w:hAnsi="微软雅黑" w:eastAsia="微软雅黑" w:cs="微软雅黑"/>
          <w:b/>
          <w:bCs/>
          <w:color w:val="333333"/>
          <w:sz w:val="44"/>
          <w:szCs w:val="44"/>
          <w:shd w:val="clear" w:fill="FFFFFF"/>
        </w:rPr>
        <w:t>金薮乡</w:t>
      </w:r>
      <w:r>
        <w:rPr>
          <w:rFonts w:hint="eastAsia" w:ascii="微软雅黑" w:hAnsi="微软雅黑" w:eastAsia="微软雅黑" w:cs="微软雅黑"/>
          <w:b/>
          <w:bCs/>
          <w:color w:val="333333"/>
          <w:sz w:val="44"/>
          <w:szCs w:val="44"/>
          <w:shd w:val="clear" w:fill="FFFFFF"/>
        </w:rPr>
        <w:t>202</w:t>
      </w:r>
      <w:r>
        <w:rPr>
          <w:rFonts w:hint="eastAsia" w:ascii="微软雅黑" w:hAnsi="微软雅黑" w:eastAsia="微软雅黑" w:cs="微软雅黑"/>
          <w:b/>
          <w:bCs/>
          <w:color w:val="333333"/>
          <w:sz w:val="44"/>
          <w:szCs w:val="44"/>
          <w:shd w:val="clear" w:fill="FFFFFF"/>
          <w:lang w:val="en-US" w:eastAsia="zh-CN"/>
        </w:rPr>
        <w:t>4</w:t>
      </w:r>
      <w:r>
        <w:rPr>
          <w:rFonts w:hint="eastAsia" w:ascii="微软雅黑" w:hAnsi="微软雅黑" w:eastAsia="微软雅黑" w:cs="微软雅黑"/>
          <w:b/>
          <w:bCs/>
          <w:color w:val="333333"/>
          <w:sz w:val="44"/>
          <w:szCs w:val="44"/>
          <w:shd w:val="clear" w:fill="FFFFFF"/>
        </w:rPr>
        <w:t>年政府信息公开工作年度报告</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ascii="Calibri" w:hAnsi="Calibri" w:cs="Calibri"/>
          <w:sz w:val="24"/>
          <w:szCs w:val="24"/>
        </w:rPr>
      </w:pPr>
      <w:r>
        <w:rPr>
          <w:rFonts w:hint="eastAsia" w:ascii="宋体" w:hAnsi="宋体" w:eastAsia="宋体" w:cs="宋体"/>
          <w:color w:val="333333"/>
          <w:sz w:val="24"/>
          <w:szCs w:val="24"/>
          <w:shd w:val="clear" w:fill="FFFFFF"/>
        </w:rPr>
        <w:t> </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一、总体情况</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202</w:t>
      </w:r>
      <w:r>
        <w:rPr>
          <w:rFonts w:hint="eastAsia" w:ascii="宋体" w:hAnsi="宋体" w:eastAsia="宋体" w:cs="宋体"/>
          <w:color w:val="333333"/>
          <w:sz w:val="24"/>
          <w:szCs w:val="24"/>
          <w:shd w:val="clear" w:fill="FFFFFF"/>
          <w:lang w:val="en-US" w:eastAsia="zh-CN"/>
        </w:rPr>
        <w:t>4</w:t>
      </w:r>
      <w:r>
        <w:rPr>
          <w:rFonts w:hint="eastAsia" w:ascii="宋体" w:hAnsi="宋体" w:eastAsia="宋体" w:cs="宋体"/>
          <w:color w:val="333333"/>
          <w:sz w:val="24"/>
          <w:szCs w:val="24"/>
          <w:shd w:val="clear" w:fill="FFFFFF"/>
        </w:rPr>
        <w:t>年，湘乡市金薮乡人民政府认真贯彻执行《条例》和国、省、市政务公开工作部署，坚持以公开为常态、不公开为例外，以服务大乡、方便群众为原则，以促进权力公开透明运行和重点领域信息公开工作为重点，以看得见、听得懂、易获取、能监督为目标，依法、及时、准确地公开了相关政府信息，提高了群众满意度和获得感。</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（一）主动公开政府信息及平台建设情况</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我乡严格按照《条例》和上级部门的总体要求做好政府信息公开工作，力求做到积极稳妥，及时准确，公开、公正、便民。</w:t>
      </w:r>
      <w:r>
        <w:rPr>
          <w:rFonts w:hint="eastAsia" w:ascii="宋体" w:hAnsi="宋体" w:eastAsia="宋体" w:cs="宋体"/>
          <w:color w:val="333333"/>
          <w:sz w:val="24"/>
          <w:szCs w:val="24"/>
          <w:shd w:val="clear" w:fill="FFFFFF"/>
          <w:lang w:eastAsia="zh-CN"/>
        </w:rPr>
        <w:t>2024</w:t>
      </w:r>
      <w:r>
        <w:rPr>
          <w:rFonts w:hint="eastAsia" w:ascii="宋体" w:hAnsi="宋体" w:eastAsia="宋体" w:cs="宋体"/>
          <w:color w:val="333333"/>
          <w:sz w:val="24"/>
          <w:szCs w:val="24"/>
          <w:shd w:val="clear" w:fill="FFFFFF"/>
        </w:rPr>
        <w:t>年，我乡主要通过政府宣传栏等方式主动公开政府信息，主要公开了本乡的有关工作信息、工作动态、工作报告、办事指南政府有关公告等。</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（二）依申请公开政府信息和不予公开政府信息的情况。</w:t>
      </w:r>
      <w:r>
        <w:rPr>
          <w:rFonts w:hint="eastAsia" w:ascii="宋体" w:hAnsi="宋体" w:eastAsia="宋体" w:cs="宋体"/>
          <w:color w:val="333333"/>
          <w:sz w:val="24"/>
          <w:szCs w:val="24"/>
          <w:shd w:val="clear" w:fill="FFFFFF"/>
          <w:lang w:eastAsia="zh-CN"/>
        </w:rPr>
        <w:t>2024</w:t>
      </w:r>
      <w:r>
        <w:rPr>
          <w:rFonts w:hint="eastAsia" w:ascii="宋体" w:hAnsi="宋体" w:eastAsia="宋体" w:cs="宋体"/>
          <w:color w:val="333333"/>
          <w:sz w:val="24"/>
          <w:szCs w:val="24"/>
          <w:shd w:val="clear" w:fill="FFFFFF"/>
        </w:rPr>
        <w:t>年度，我乡暂未收到依申请公开政府信息情况。</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（三）健全机制，加强政府信息管理工作</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我乡按照湘潭市、湘乡市统一部署，加强组织领导，健全工作机制，认真贯彻《条例》和各级规定的各项要求，扎实推进政府信息公开工作。</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一是加强组织领导，完善工作机构。我乡高度重视政府信息公开工作，详细安排部署了政府信息公开工作,实行专人负责制，成立了由乡党委委员、宣传统战委员任组长，副乡长任副组长的金薮乡政府信息公开工作领导小组，领导小组下设办公室在政务服务中心，并由党政综合办公室负责协助政务服务中心统筹协调编制政府信息公开内容，全力推进我乡的政府信息公开工作。</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二是建立规章制度，落实公开内容。依据《条例》和湘乡市政府信息公开有关文件要求，我乡制定了《金薮乡政府信息公开目录》、《金薮乡政府信息公开指南》和《金薮乡人民政府信息公开制度》，明确了我乡政府信息公开的工作内容、形式和公开、受理、回复的反馈机制。严格遵循政府信息公开基本原则开展信息公开工作，做到“依法公开，真实公正，注重实效，有利监督”。</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（四）压实责任，强化政府信息公开监督保障</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根据机构改革后各部门职能职责，对重新调整后的各职能站办所的政府信息公开工作任务进行了细化，并将工作开展情况纳入各站办所年度专项绩效考核内容。同时明确了一名政务服务中心主任，统筹抓全乡政务公开工作，设置政府信息公开栏6个，配备专职兼职政务公开人员5人。市民服务热线共受理群众诉求238件次，已全部答复落实，按期办结率100%，满意度100%。</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default" w:ascii="Times New Roman" w:hAnsi="Times New Roman" w:cs="Times New Roman"/>
          <w:color w:val="333333"/>
          <w:sz w:val="32"/>
          <w:szCs w:val="32"/>
          <w:shd w:val="clear" w:fill="FFFFFF"/>
        </w:rPr>
        <w:t> </w:t>
      </w:r>
      <w:r>
        <w:rPr>
          <w:rFonts w:hint="eastAsia" w:ascii="宋体" w:hAnsi="宋体" w:eastAsia="宋体" w:cs="宋体"/>
          <w:color w:val="333333"/>
          <w:sz w:val="24"/>
          <w:szCs w:val="24"/>
          <w:shd w:val="clear" w:fill="FFFFFF"/>
        </w:rPr>
        <w:t>二、主动公开政府信息情况</w:t>
      </w:r>
    </w:p>
    <w:tbl>
      <w:tblPr>
        <w:tblStyle w:val="4"/>
        <w:tblW w:w="906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3113"/>
        <w:gridCol w:w="1881"/>
        <w:gridCol w:w="1979"/>
        <w:gridCol w:w="20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06" w:hRule="atLeast"/>
          <w:jc w:val="center"/>
        </w:trPr>
        <w:tc>
          <w:tcPr>
            <w:tcW w:w="9064" w:type="dxa"/>
            <w:gridSpan w:val="4"/>
            <w:tcBorders>
              <w:top w:val="single" w:color="auto" w:sz="6" w:space="0"/>
              <w:left w:val="single" w:color="auto" w:sz="6" w:space="0"/>
              <w:bottom w:val="single" w:color="auto" w:sz="6" w:space="0"/>
              <w:right w:val="single" w:color="auto" w:sz="6" w:space="0"/>
            </w:tcBorders>
            <w:shd w:val="clear" w:color="auto" w:fill="C6D9F1"/>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信息内容</w:t>
            </w:r>
          </w:p>
        </w:tc>
        <w:tc>
          <w:tcPr>
            <w:tcW w:w="1881"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本年制发件数</w:t>
            </w:r>
          </w:p>
        </w:tc>
        <w:tc>
          <w:tcPr>
            <w:tcW w:w="1979"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本年废止件数</w:t>
            </w:r>
          </w:p>
        </w:tc>
        <w:tc>
          <w:tcPr>
            <w:tcW w:w="2091"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规章</w:t>
            </w:r>
          </w:p>
        </w:tc>
        <w:tc>
          <w:tcPr>
            <w:tcW w:w="1881"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1979"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2091"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行政规范性文件</w:t>
            </w:r>
          </w:p>
        </w:tc>
        <w:tc>
          <w:tcPr>
            <w:tcW w:w="1881"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1979"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2091"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06" w:hRule="atLeast"/>
          <w:jc w:val="center"/>
        </w:trPr>
        <w:tc>
          <w:tcPr>
            <w:tcW w:w="9064" w:type="dxa"/>
            <w:gridSpan w:val="4"/>
            <w:tcBorders>
              <w:top w:val="nil"/>
              <w:left w:val="single" w:color="auto" w:sz="6" w:space="0"/>
              <w:bottom w:val="single" w:color="auto" w:sz="6" w:space="0"/>
              <w:right w:val="single" w:color="auto" w:sz="6" w:space="0"/>
            </w:tcBorders>
            <w:shd w:val="clear" w:color="auto" w:fill="C6D9F1"/>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信息内容</w:t>
            </w:r>
          </w:p>
        </w:tc>
        <w:tc>
          <w:tcPr>
            <w:tcW w:w="5951" w:type="dxa"/>
            <w:gridSpan w:val="3"/>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行政许可</w:t>
            </w:r>
          </w:p>
        </w:tc>
        <w:tc>
          <w:tcPr>
            <w:tcW w:w="5951" w:type="dxa"/>
            <w:gridSpan w:val="3"/>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9064" w:type="dxa"/>
            <w:gridSpan w:val="4"/>
            <w:tcBorders>
              <w:top w:val="nil"/>
              <w:left w:val="single" w:color="auto" w:sz="6" w:space="0"/>
              <w:bottom w:val="single" w:color="auto" w:sz="6" w:space="0"/>
              <w:right w:val="single" w:color="auto" w:sz="6" w:space="0"/>
            </w:tcBorders>
            <w:shd w:val="clear" w:color="auto" w:fill="C6D9F1"/>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信息内容</w:t>
            </w:r>
          </w:p>
        </w:tc>
        <w:tc>
          <w:tcPr>
            <w:tcW w:w="5951" w:type="dxa"/>
            <w:gridSpan w:val="3"/>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行政处罚</w:t>
            </w:r>
          </w:p>
        </w:tc>
        <w:tc>
          <w:tcPr>
            <w:tcW w:w="5951" w:type="dxa"/>
            <w:gridSpan w:val="3"/>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行政强制</w:t>
            </w:r>
          </w:p>
        </w:tc>
        <w:tc>
          <w:tcPr>
            <w:tcW w:w="5951" w:type="dxa"/>
            <w:gridSpan w:val="3"/>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9064" w:type="dxa"/>
            <w:gridSpan w:val="4"/>
            <w:tcBorders>
              <w:top w:val="nil"/>
              <w:left w:val="single" w:color="auto" w:sz="6" w:space="0"/>
              <w:bottom w:val="single" w:color="auto" w:sz="6" w:space="0"/>
              <w:right w:val="single" w:color="auto" w:sz="6" w:space="0"/>
            </w:tcBorders>
            <w:shd w:val="clear" w:color="auto" w:fill="C6D9F1"/>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信息内容</w:t>
            </w:r>
          </w:p>
        </w:tc>
        <w:tc>
          <w:tcPr>
            <w:tcW w:w="5951" w:type="dxa"/>
            <w:gridSpan w:val="3"/>
            <w:tcBorders>
              <w:top w:val="nil"/>
              <w:left w:val="nil"/>
              <w:bottom w:val="single" w:color="auto" w:sz="6" w:space="0"/>
              <w:right w:val="single" w:color="000000"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行政事业性收费</w:t>
            </w:r>
          </w:p>
        </w:tc>
        <w:tc>
          <w:tcPr>
            <w:tcW w:w="5951" w:type="dxa"/>
            <w:gridSpan w:val="3"/>
            <w:tcBorders>
              <w:top w:val="nil"/>
              <w:left w:val="nil"/>
              <w:bottom w:val="single" w:color="auto" w:sz="6" w:space="0"/>
              <w:right w:val="single" w:color="000000"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bl>
    <w:p>
      <w:pPr>
        <w:pStyle w:val="3"/>
        <w:keepNext w:val="0"/>
        <w:keepLines w:val="0"/>
        <w:widowControl/>
        <w:suppressLineNumbers w:val="0"/>
        <w:shd w:val="clear" w:fill="FFFFFF"/>
        <w:spacing w:before="0" w:beforeAutospacing="0" w:after="240" w:afterAutospacing="0" w:line="510" w:lineRule="atLeast"/>
        <w:ind w:left="0" w:right="0" w:firstLine="640"/>
        <w:jc w:val="both"/>
        <w:rPr>
          <w:rFonts w:hint="default" w:ascii="Calibri" w:hAnsi="Calibri" w:cs="Calibri"/>
          <w:sz w:val="24"/>
          <w:szCs w:val="24"/>
        </w:rPr>
      </w:pPr>
      <w:r>
        <w:rPr>
          <w:rFonts w:hint="eastAsia" w:ascii="宋体" w:hAnsi="宋体" w:eastAsia="宋体" w:cs="宋体"/>
          <w:color w:val="333333"/>
          <w:sz w:val="24"/>
          <w:szCs w:val="24"/>
          <w:shd w:val="clear" w:fill="FFFFFF"/>
        </w:rPr>
        <w:t>三、收到和处理政府信息公开申请情况</w:t>
      </w:r>
    </w:p>
    <w:tbl>
      <w:tblPr>
        <w:tblStyle w:val="4"/>
        <w:tblW w:w="962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823"/>
        <w:gridCol w:w="936"/>
        <w:gridCol w:w="2953"/>
        <w:gridCol w:w="553"/>
        <w:gridCol w:w="770"/>
        <w:gridCol w:w="715"/>
        <w:gridCol w:w="744"/>
        <w:gridCol w:w="656"/>
        <w:gridCol w:w="730"/>
        <w:gridCol w:w="7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0" w:hRule="atLeast"/>
          <w:jc w:val="center"/>
        </w:trPr>
        <w:tc>
          <w:tcPr>
            <w:tcW w:w="4678" w:type="dxa"/>
            <w:gridSpan w:val="3"/>
            <w:vMerge w:val="restart"/>
            <w:tcBorders>
              <w:top w:val="single" w:color="auto" w:sz="6" w:space="0"/>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（本列数据的勾稽关系为：第一项加第二项之和，等于第三项加第四项之和）</w:t>
            </w:r>
          </w:p>
        </w:tc>
        <w:tc>
          <w:tcPr>
            <w:tcW w:w="4946" w:type="dxa"/>
            <w:gridSpan w:val="7"/>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80" w:hRule="atLeast"/>
          <w:jc w:val="center"/>
        </w:trPr>
        <w:tc>
          <w:tcPr>
            <w:tcW w:w="4678" w:type="dxa"/>
            <w:gridSpan w:val="3"/>
            <w:vMerge w:val="continue"/>
            <w:tcBorders>
              <w:top w:val="single" w:color="auto" w:sz="6" w:space="0"/>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555" w:type="dxa"/>
            <w:vMerge w:val="restart"/>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26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自然人</w:t>
            </w:r>
          </w:p>
        </w:tc>
        <w:tc>
          <w:tcPr>
            <w:tcW w:w="3641" w:type="dxa"/>
            <w:gridSpan w:val="5"/>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26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法人或其他组织</w:t>
            </w:r>
          </w:p>
        </w:tc>
        <w:tc>
          <w:tcPr>
            <w:tcW w:w="750" w:type="dxa"/>
            <w:vMerge w:val="restart"/>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4678" w:type="dxa"/>
            <w:gridSpan w:val="3"/>
            <w:vMerge w:val="continue"/>
            <w:tcBorders>
              <w:top w:val="single" w:color="auto" w:sz="6" w:space="0"/>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555"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26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商业企业</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26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科研机构</w:t>
            </w:r>
          </w:p>
        </w:tc>
        <w:tc>
          <w:tcPr>
            <w:tcW w:w="750"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26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社会公益组织</w:t>
            </w:r>
          </w:p>
        </w:tc>
        <w:tc>
          <w:tcPr>
            <w:tcW w:w="660"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26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法律服务机构</w:t>
            </w:r>
          </w:p>
        </w:tc>
        <w:tc>
          <w:tcPr>
            <w:tcW w:w="735"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26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其他</w:t>
            </w:r>
          </w:p>
        </w:tc>
        <w:tc>
          <w:tcPr>
            <w:tcW w:w="750" w:type="dxa"/>
            <w:vMerge w:val="continue"/>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7" w:hRule="atLeast"/>
          <w:jc w:val="center"/>
        </w:trPr>
        <w:tc>
          <w:tcPr>
            <w:tcW w:w="4678" w:type="dxa"/>
            <w:gridSpan w:val="3"/>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一、本年新收政府信息公开申请数量</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7" w:hRule="atLeast"/>
          <w:jc w:val="center"/>
        </w:trPr>
        <w:tc>
          <w:tcPr>
            <w:tcW w:w="4678" w:type="dxa"/>
            <w:gridSpan w:val="3"/>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二、上年结转政府信息公开申请数量</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72" w:hRule="atLeast"/>
          <w:jc w:val="center"/>
        </w:trPr>
        <w:tc>
          <w:tcPr>
            <w:tcW w:w="825" w:type="dxa"/>
            <w:vMerge w:val="restart"/>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三、本年度办理结果</w:t>
            </w:r>
          </w:p>
        </w:tc>
        <w:tc>
          <w:tcPr>
            <w:tcW w:w="3853" w:type="dxa"/>
            <w:gridSpan w:val="2"/>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（一）予以公开</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5"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3853" w:type="dxa"/>
            <w:gridSpan w:val="2"/>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24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（二）部分公开（区分处理的，只计这一情形，不计其他情形）</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restart"/>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（三）不予公开</w:t>
            </w: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1.属于国家秘密</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2.其他法律行政法规禁止公开</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3.危及“三安全一稳定”</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4.保护第三方合法权益</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5.属于三类内部事务信息</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6.属于四类过程性信息</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7.属于行政执法案卷</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8.属于行政查询事项</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6"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restart"/>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（四）无法提供</w:t>
            </w: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1.本机关不掌握相关政府信息</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2.没有现成信息需要另行制作</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3.补正后申请内容仍不明确</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restart"/>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（五）不予处理</w:t>
            </w: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1.信访举报投诉类申请</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6"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2.重复申请</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6"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3.要求提供公开出版物</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4.无正当理由大量反复申请</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15"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24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5.要求行政机关确认或重新出具已获取信息</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40"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restart"/>
            <w:tcBorders>
              <w:top w:val="nil"/>
              <w:left w:val="nil"/>
              <w:bottom w:val="outset"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（六）其他处理</w:t>
            </w: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24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1.申请人无正当理由逾期不补正、行政机关不再处理其政府信息公开申请</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35"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outset"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24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2.申请人逾期未按收费通知要求缴纳费用、行政机关不再处理其政府信息公开申请</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9"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outset"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3.其他</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84"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3853" w:type="dxa"/>
            <w:gridSpan w:val="2"/>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（七）总计</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44" w:hRule="atLeast"/>
          <w:jc w:val="center"/>
        </w:trPr>
        <w:tc>
          <w:tcPr>
            <w:tcW w:w="4678" w:type="dxa"/>
            <w:gridSpan w:val="3"/>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四、结转下年度继续办理</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bl>
    <w:p>
      <w:pPr>
        <w:pStyle w:val="3"/>
        <w:keepNext w:val="0"/>
        <w:keepLines w:val="0"/>
        <w:widowControl/>
        <w:suppressLineNumbers w:val="0"/>
        <w:shd w:val="clear" w:fill="FFFFFF"/>
        <w:spacing w:before="0" w:beforeAutospacing="0" w:after="0" w:afterAutospacing="0" w:line="510" w:lineRule="atLeast"/>
        <w:ind w:left="0" w:right="0" w:firstLine="640"/>
        <w:jc w:val="both"/>
        <w:rPr>
          <w:rFonts w:hint="default" w:ascii="Calibri" w:hAnsi="Calibri" w:cs="Calibri"/>
          <w:sz w:val="24"/>
          <w:szCs w:val="24"/>
        </w:rPr>
      </w:pPr>
      <w:r>
        <w:rPr>
          <w:rFonts w:hint="eastAsia" w:ascii="宋体" w:hAnsi="宋体" w:eastAsia="宋体" w:cs="宋体"/>
          <w:color w:val="333333"/>
          <w:sz w:val="24"/>
          <w:szCs w:val="24"/>
          <w:shd w:val="clear" w:fill="FFFFFF"/>
        </w:rPr>
        <w:t>四、政府信息公开行政复议、行政诉讼情况</w:t>
      </w:r>
    </w:p>
    <w:tbl>
      <w:tblPr>
        <w:tblStyle w:val="4"/>
        <w:tblW w:w="1008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658"/>
        <w:gridCol w:w="658"/>
        <w:gridCol w:w="658"/>
        <w:gridCol w:w="658"/>
        <w:gridCol w:w="661"/>
        <w:gridCol w:w="691"/>
        <w:gridCol w:w="639"/>
        <w:gridCol w:w="690"/>
        <w:gridCol w:w="690"/>
        <w:gridCol w:w="645"/>
        <w:gridCol w:w="720"/>
        <w:gridCol w:w="690"/>
        <w:gridCol w:w="675"/>
        <w:gridCol w:w="690"/>
        <w:gridCol w:w="6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2" w:hRule="atLeast"/>
          <w:jc w:val="center"/>
        </w:trPr>
        <w:tc>
          <w:tcPr>
            <w:tcW w:w="3293" w:type="dxa"/>
            <w:gridSpan w:val="5"/>
            <w:tcBorders>
              <w:top w:val="single" w:color="auto" w:sz="6" w:space="0"/>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行政复议</w:t>
            </w:r>
          </w:p>
        </w:tc>
        <w:tc>
          <w:tcPr>
            <w:tcW w:w="6790" w:type="dxa"/>
            <w:gridSpan w:val="10"/>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7" w:hRule="atLeast"/>
          <w:jc w:val="center"/>
        </w:trPr>
        <w:tc>
          <w:tcPr>
            <w:tcW w:w="658" w:type="dxa"/>
            <w:vMerge w:val="restart"/>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结果维持</w:t>
            </w:r>
          </w:p>
        </w:tc>
        <w:tc>
          <w:tcPr>
            <w:tcW w:w="658" w:type="dxa"/>
            <w:vMerge w:val="restart"/>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结果纠正</w:t>
            </w:r>
          </w:p>
        </w:tc>
        <w:tc>
          <w:tcPr>
            <w:tcW w:w="658" w:type="dxa"/>
            <w:vMerge w:val="restart"/>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其他结果</w:t>
            </w:r>
          </w:p>
        </w:tc>
        <w:tc>
          <w:tcPr>
            <w:tcW w:w="658" w:type="dxa"/>
            <w:vMerge w:val="restart"/>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尚未审结</w:t>
            </w:r>
          </w:p>
        </w:tc>
        <w:tc>
          <w:tcPr>
            <w:tcW w:w="661" w:type="dxa"/>
            <w:vMerge w:val="restart"/>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总计</w:t>
            </w:r>
          </w:p>
        </w:tc>
        <w:tc>
          <w:tcPr>
            <w:tcW w:w="3355" w:type="dxa"/>
            <w:gridSpan w:val="5"/>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未经复议直接起诉</w:t>
            </w:r>
          </w:p>
        </w:tc>
        <w:tc>
          <w:tcPr>
            <w:tcW w:w="3435" w:type="dxa"/>
            <w:gridSpan w:val="5"/>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8" w:hRule="atLeast"/>
          <w:jc w:val="center"/>
        </w:trPr>
        <w:tc>
          <w:tcPr>
            <w:tcW w:w="658"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658"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658" w:type="dxa"/>
            <w:vMerge w:val="continue"/>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658" w:type="dxa"/>
            <w:vMerge w:val="continue"/>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661" w:type="dxa"/>
            <w:vMerge w:val="continue"/>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default" w:ascii="Times New Roman" w:hAnsi="Times New Roman" w:cs="Times New Roman"/>
                <w:sz w:val="20"/>
                <w:szCs w:val="20"/>
              </w:rPr>
            </w:pPr>
          </w:p>
        </w:tc>
        <w:tc>
          <w:tcPr>
            <w:tcW w:w="691"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结果维持</w:t>
            </w:r>
          </w:p>
        </w:tc>
        <w:tc>
          <w:tcPr>
            <w:tcW w:w="639"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结果纠正</w:t>
            </w:r>
          </w:p>
        </w:tc>
        <w:tc>
          <w:tcPr>
            <w:tcW w:w="690"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其他结果</w:t>
            </w:r>
          </w:p>
        </w:tc>
        <w:tc>
          <w:tcPr>
            <w:tcW w:w="690"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尚未审结</w:t>
            </w:r>
          </w:p>
        </w:tc>
        <w:tc>
          <w:tcPr>
            <w:tcW w:w="645"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总计</w:t>
            </w:r>
          </w:p>
        </w:tc>
        <w:tc>
          <w:tcPr>
            <w:tcW w:w="720"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结果维持</w:t>
            </w:r>
          </w:p>
        </w:tc>
        <w:tc>
          <w:tcPr>
            <w:tcW w:w="690"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结果纠正</w:t>
            </w:r>
          </w:p>
        </w:tc>
        <w:tc>
          <w:tcPr>
            <w:tcW w:w="675"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其他结果</w:t>
            </w:r>
          </w:p>
        </w:tc>
        <w:tc>
          <w:tcPr>
            <w:tcW w:w="690"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尚未审结</w:t>
            </w:r>
          </w:p>
        </w:tc>
        <w:tc>
          <w:tcPr>
            <w:tcW w:w="660"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07" w:hRule="atLeast"/>
          <w:jc w:val="center"/>
        </w:trPr>
        <w:tc>
          <w:tcPr>
            <w:tcW w:w="658"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5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5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5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1"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91"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39"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9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9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4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9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7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9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bl>
    <w:p>
      <w:pPr>
        <w:pStyle w:val="3"/>
        <w:keepNext w:val="0"/>
        <w:keepLines w:val="0"/>
        <w:widowControl/>
        <w:suppressLineNumbers w:val="0"/>
        <w:shd w:val="clear" w:fill="FFFFFF"/>
        <w:spacing w:before="0" w:beforeAutospacing="0" w:after="0" w:afterAutospacing="0" w:line="500" w:lineRule="atLeast"/>
        <w:ind w:left="0" w:right="0"/>
        <w:jc w:val="both"/>
        <w:rPr>
          <w:rFonts w:hint="default" w:ascii="Calibri" w:hAnsi="Calibri" w:cs="Calibri"/>
          <w:sz w:val="24"/>
          <w:szCs w:val="24"/>
        </w:rPr>
      </w:pPr>
      <w:r>
        <w:rPr>
          <w:rFonts w:hint="eastAsia" w:ascii="宋体" w:hAnsi="宋体" w:eastAsia="宋体" w:cs="宋体"/>
          <w:color w:val="333333"/>
          <w:sz w:val="32"/>
          <w:szCs w:val="32"/>
          <w:shd w:val="clear" w:fill="FFFFFF"/>
        </w:rPr>
        <w:t> </w:t>
      </w:r>
    </w:p>
    <w:p>
      <w:pPr>
        <w:pStyle w:val="3"/>
        <w:keepNext w:val="0"/>
        <w:keepLines w:val="0"/>
        <w:widowControl/>
        <w:suppressLineNumbers w:val="0"/>
        <w:shd w:val="clear" w:fill="FFFFFF"/>
        <w:spacing w:before="0" w:beforeAutospacing="0" w:after="0" w:afterAutospacing="0" w:line="500" w:lineRule="atLeast"/>
        <w:ind w:left="0" w:right="0" w:firstLine="640"/>
        <w:jc w:val="both"/>
        <w:rPr>
          <w:rFonts w:hint="default" w:ascii="Calibri" w:hAnsi="Calibri" w:cs="Calibri"/>
          <w:sz w:val="24"/>
          <w:szCs w:val="24"/>
        </w:rPr>
      </w:pPr>
      <w:r>
        <w:rPr>
          <w:rFonts w:hint="eastAsia" w:ascii="宋体" w:hAnsi="宋体" w:eastAsia="宋体" w:cs="宋体"/>
          <w:color w:val="333333"/>
          <w:sz w:val="24"/>
          <w:szCs w:val="24"/>
          <w:shd w:val="clear" w:fill="FFFFFF"/>
        </w:rPr>
        <w:t>五、存在的主要问题及改进情况</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（一）存在的主要问题</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202</w:t>
      </w:r>
      <w:r>
        <w:rPr>
          <w:rFonts w:hint="eastAsia" w:ascii="宋体" w:hAnsi="宋体" w:eastAsia="宋体" w:cs="宋体"/>
          <w:color w:val="333333"/>
          <w:sz w:val="24"/>
          <w:szCs w:val="24"/>
          <w:shd w:val="clear" w:fill="FFFFFF"/>
          <w:lang w:val="en-US" w:eastAsia="zh-CN"/>
        </w:rPr>
        <w:t>3</w:t>
      </w:r>
      <w:r>
        <w:rPr>
          <w:rFonts w:hint="eastAsia" w:ascii="宋体" w:hAnsi="宋体" w:eastAsia="宋体" w:cs="宋体"/>
          <w:color w:val="333333"/>
          <w:sz w:val="24"/>
          <w:szCs w:val="24"/>
          <w:shd w:val="clear" w:fill="FFFFFF"/>
        </w:rPr>
        <w:t>年，我乡政府信息公开工作虽取得了较好成绩，但与公众的需求和政务信息公开要求还存在一定差距：如政府信息公开工作人员业务水平有待提升；信息公开内容的及时性、全面性有待加强。</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（二）工作改进情况</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1.加强业务培训。增强工作人员政务公开意识，强化业务培训，不断提高信息公开的质量和水平，进一步增强政府信息公开工作的透明度。</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2.加强对《中华人民共和国政府信息公开条例》的学习和贯彻力度，进一步压实工作责任。</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3.加强保密审查。严把质量关、保密审查关，依据有关法律、法规严格审核公开内容，确保政府信息公开不影响国家安全、公共安全、经济安全和社会稳定，真正体现公开、公平、公正。</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4.加强工作落地。健全完善信息公开工作机制，拓展政府信息公开的广度和深度，把推进政府信息公开工作与党建、审批改革、精神文明建设等工作有机结合，推动办事层面逐步向决策领域公开迈进。</w:t>
      </w:r>
    </w:p>
    <w:p>
      <w:pPr>
        <w:pStyle w:val="3"/>
        <w:keepNext w:val="0"/>
        <w:keepLines w:val="0"/>
        <w:widowControl/>
        <w:suppressLineNumbers w:val="0"/>
        <w:shd w:val="clear" w:fill="FFFFFF"/>
        <w:spacing w:before="0" w:beforeAutospacing="0" w:after="0" w:afterAutospacing="0" w:line="500" w:lineRule="atLeast"/>
        <w:ind w:left="0" w:right="0" w:firstLine="640"/>
        <w:jc w:val="both"/>
        <w:rPr>
          <w:rFonts w:hint="default" w:ascii="Calibri" w:hAnsi="Calibri" w:cs="Calibri"/>
          <w:sz w:val="24"/>
          <w:szCs w:val="24"/>
        </w:rPr>
      </w:pPr>
      <w:r>
        <w:rPr>
          <w:rFonts w:hint="eastAsia" w:ascii="宋体" w:hAnsi="宋体" w:eastAsia="宋体" w:cs="宋体"/>
          <w:color w:val="333333"/>
          <w:sz w:val="32"/>
          <w:szCs w:val="32"/>
          <w:shd w:val="clear" w:fill="FFFFFF"/>
        </w:rPr>
        <w:t> </w:t>
      </w:r>
      <w:bookmarkStart w:id="0" w:name="_GoBack"/>
      <w:bookmarkEnd w:id="0"/>
      <w:r>
        <w:rPr>
          <w:rFonts w:hint="eastAsia" w:ascii="宋体" w:hAnsi="宋体" w:eastAsia="宋体" w:cs="宋体"/>
          <w:color w:val="333333"/>
          <w:sz w:val="24"/>
          <w:szCs w:val="24"/>
          <w:shd w:val="clear" w:fill="FFFFFF"/>
        </w:rPr>
        <w:t>六、其他需要报告的事项</w:t>
      </w:r>
    </w:p>
    <w:p>
      <w:pPr>
        <w:pStyle w:val="3"/>
        <w:keepNext w:val="0"/>
        <w:keepLines w:val="0"/>
        <w:widowControl/>
        <w:suppressLineNumbers w:val="0"/>
        <w:shd w:val="clear" w:fill="FFFFFF"/>
        <w:spacing w:before="0" w:beforeAutospacing="0" w:after="0" w:afterAutospacing="0" w:line="500" w:lineRule="atLeast"/>
        <w:ind w:left="0" w:right="0" w:firstLine="840"/>
        <w:jc w:val="both"/>
        <w:rPr>
          <w:rFonts w:hint="default" w:ascii="Calibri" w:hAnsi="Calibri" w:cs="Calibri"/>
          <w:sz w:val="24"/>
          <w:szCs w:val="24"/>
        </w:rPr>
      </w:pPr>
      <w:r>
        <w:rPr>
          <w:rFonts w:hint="eastAsia" w:ascii="宋体" w:hAnsi="宋体" w:eastAsia="宋体" w:cs="宋体"/>
          <w:color w:val="333333"/>
          <w:sz w:val="24"/>
          <w:szCs w:val="24"/>
          <w:shd w:val="clear" w:fill="FFFFFF"/>
        </w:rPr>
        <w:t>无</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4YWJjOGMxOTNiYWJmYjc3MjRmNTJmOTg0Y2Q0MTcifQ=="/>
    <w:docVar w:name="KSO_WPS_MARK_KEY" w:val="0b0d7063-f7dc-441b-9d85-302fd84bb59d"/>
  </w:docVars>
  <w:rsids>
    <w:rsidRoot w:val="5578131D"/>
    <w:rsid w:val="1C0B3727"/>
    <w:rsid w:val="1CC96E50"/>
    <w:rsid w:val="23386E19"/>
    <w:rsid w:val="27052011"/>
    <w:rsid w:val="2B9B5E5B"/>
    <w:rsid w:val="5578131D"/>
    <w:rsid w:val="5B5437AD"/>
    <w:rsid w:val="5E7D301B"/>
    <w:rsid w:val="6EAE0FCF"/>
    <w:rsid w:val="7C0E12FE"/>
    <w:rsid w:val="7DA239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2237</Words>
  <Characters>2285</Characters>
  <Lines>0</Lines>
  <Paragraphs>0</Paragraphs>
  <TotalTime>8</TotalTime>
  <ScaleCrop>false</ScaleCrop>
  <LinksUpToDate>false</LinksUpToDate>
  <CharactersWithSpaces>2289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2023-02-24T07:21:00Z</dcterms:created>
  <dc:creator>ωёi゛</dc:creator>
  <cp:lastModifiedBy>user</cp:lastModifiedBy>
  <dcterms:modified xsi:type="dcterms:W3CDTF">2025-01-13T03:52:10Z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3FF2F2B9636944D3B5DCE0D14FC5CA2C_13</vt:lpwstr>
  </property>
</Properties>
</file>