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640" w:lineRule="atLeast"/>
        <w:ind w:left="0" w:right="0"/>
        <w:jc w:val="right"/>
        <w:textAlignment w:val="auto"/>
        <w:rPr>
          <w:rFonts w:hint="default" w:ascii="Times New Roman" w:hAnsi="Times New Roman" w:eastAsia="宋体" w:cs="Times New Roman"/>
        </w:rPr>
      </w:pPr>
      <w:r>
        <w:rPr>
          <w:rFonts w:hint="default" w:ascii="Times New Roman" w:hAnsi="Times New Roman" w:eastAsia="宋体" w:cs="Times New Roman"/>
          <w:color w:val="000000"/>
          <w:sz w:val="32"/>
          <w:szCs w:val="32"/>
        </w:rPr>
        <w:t>潭环审（湘乡）〔202</w:t>
      </w:r>
      <w:r>
        <w:rPr>
          <w:rFonts w:hint="eastAsia" w:ascii="Times New Roman" w:hAnsi="Times New Roman" w:eastAsia="宋体" w:cs="Times New Roman"/>
          <w:color w:val="000000"/>
          <w:sz w:val="32"/>
          <w:szCs w:val="32"/>
          <w:lang w:val="en-US" w:eastAsia="zh-CN"/>
        </w:rPr>
        <w:t>5</w:t>
      </w:r>
      <w:r>
        <w:rPr>
          <w:rFonts w:hint="default" w:ascii="Times New Roman" w:hAnsi="Times New Roman" w:eastAsia="宋体" w:cs="Times New Roman"/>
          <w:color w:val="000000"/>
          <w:sz w:val="32"/>
          <w:szCs w:val="32"/>
        </w:rPr>
        <w:t>〕</w:t>
      </w:r>
      <w:r>
        <w:rPr>
          <w:rFonts w:hint="default" w:ascii="Times New Roman" w:hAnsi="Times New Roman" w:eastAsia="宋体" w:cs="Times New Roman"/>
          <w:color w:val="FF0000"/>
          <w:sz w:val="32"/>
          <w:szCs w:val="32"/>
        </w:rPr>
        <w:t xml:space="preserve">XX </w:t>
      </w:r>
      <w:r>
        <w:rPr>
          <w:rFonts w:hint="default" w:ascii="Times New Roman" w:hAnsi="Times New Roman" w:eastAsia="宋体" w:cs="Times New Roman"/>
          <w:color w:val="000000"/>
          <w:sz w:val="32"/>
          <w:szCs w:val="32"/>
        </w:rPr>
        <w:t xml:space="preserve">号 </w:t>
      </w:r>
    </w:p>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157" w:afterLines="50" w:afterAutospacing="0" w:line="30" w:lineRule="atLeast"/>
        <w:ind w:left="0" w:right="0"/>
        <w:jc w:val="center"/>
        <w:textAlignment w:val="auto"/>
        <w:rPr>
          <w:rFonts w:hint="default" w:ascii="Times New Roman" w:hAnsi="Times New Roman" w:eastAsia="宋体" w:cs="Times New Roman"/>
        </w:rPr>
      </w:pPr>
      <w:r>
        <w:rPr>
          <w:rFonts w:hint="default" w:ascii="Times New Roman" w:hAnsi="Times New Roman" w:eastAsia="宋体" w:cs="Times New Roman"/>
          <w:b/>
          <w:bCs/>
          <w:color w:val="000000"/>
          <w:sz w:val="44"/>
          <w:szCs w:val="44"/>
        </w:rPr>
        <w:t>关于《</w:t>
      </w:r>
      <w:r>
        <w:rPr>
          <w:rFonts w:hint="eastAsia" w:ascii="Times New Roman" w:hAnsi="Times New Roman" w:eastAsia="宋体" w:cs="Times New Roman"/>
          <w:b/>
          <w:bCs/>
          <w:color w:val="000000"/>
          <w:sz w:val="44"/>
          <w:szCs w:val="44"/>
          <w:lang w:eastAsia="zh-CN"/>
        </w:rPr>
        <w:t>年产1500吨高等级钕铁硼粘结磁体技改项目</w:t>
      </w:r>
      <w:r>
        <w:rPr>
          <w:rFonts w:hint="default" w:ascii="Times New Roman" w:hAnsi="Times New Roman" w:eastAsia="宋体" w:cs="Times New Roman"/>
          <w:b/>
          <w:bCs/>
          <w:color w:val="000000"/>
          <w:sz w:val="44"/>
          <w:szCs w:val="44"/>
        </w:rPr>
        <w:t>环境影响报告表》的</w:t>
      </w:r>
      <w:r>
        <w:rPr>
          <w:rFonts w:hint="eastAsia" w:ascii="Times New Roman" w:hAnsi="Times New Roman" w:eastAsia="宋体" w:cs="Times New Roman"/>
          <w:b/>
          <w:bCs/>
          <w:color w:val="000000"/>
          <w:sz w:val="44"/>
          <w:szCs w:val="44"/>
          <w:lang w:val="en-US" w:eastAsia="zh-CN"/>
        </w:rPr>
        <w:t>审批意见</w:t>
      </w:r>
      <w:r>
        <w:rPr>
          <w:rFonts w:hint="default" w:ascii="Times New Roman" w:hAnsi="Times New Roman" w:eastAsia="宋体" w:cs="Times New Roman"/>
        </w:rPr>
        <w:t xml:space="preserve"> </w:t>
      </w:r>
    </w:p>
    <w:p>
      <w:pPr>
        <w:pStyle w:val="16"/>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right="0"/>
        <w:textAlignment w:val="auto"/>
        <w:rPr>
          <w:rFonts w:hint="default" w:ascii="Times New Roman" w:hAnsi="Times New Roman" w:eastAsia="宋体" w:cs="Times New Roman"/>
          <w:color w:val="000000"/>
          <w:sz w:val="28"/>
          <w:szCs w:val="28"/>
          <w:lang w:val="en-US" w:eastAsia="zh-CN"/>
        </w:rPr>
      </w:pPr>
    </w:p>
    <w:p>
      <w:pPr>
        <w:pStyle w:val="16"/>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right="0"/>
        <w:textAlignment w:val="auto"/>
        <w:rPr>
          <w:rFonts w:hint="default"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lang w:eastAsia="zh-CN"/>
        </w:rPr>
        <w:t>湖南众磁新材料科技有限公司</w:t>
      </w:r>
      <w:r>
        <w:rPr>
          <w:rFonts w:hint="default" w:ascii="Times New Roman" w:hAnsi="Times New Roman" w:eastAsia="宋体" w:cs="Times New Roman"/>
          <w:color w:val="000000"/>
          <w:sz w:val="28"/>
          <w:szCs w:val="28"/>
        </w:rPr>
        <w:t xml:space="preserve">： </w:t>
      </w:r>
    </w:p>
    <w:p>
      <w:pPr>
        <w:pStyle w:val="16"/>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560" w:firstLineChars="200"/>
        <w:textAlignment w:val="auto"/>
        <w:rPr>
          <w:rFonts w:hint="default" w:ascii="Times New Roman" w:hAnsi="Times New Roman" w:eastAsia="宋体" w:cs="Times New Roman"/>
          <w:color w:val="000000"/>
          <w:sz w:val="28"/>
          <w:szCs w:val="28"/>
          <w:lang w:val="en-US" w:eastAsia="zh-CN"/>
        </w:rPr>
      </w:pPr>
      <w:r>
        <w:rPr>
          <w:rFonts w:hint="default" w:ascii="Times New Roman" w:hAnsi="Times New Roman" w:eastAsia="宋体" w:cs="Times New Roman"/>
          <w:color w:val="000000"/>
          <w:sz w:val="28"/>
          <w:szCs w:val="28"/>
        </w:rPr>
        <w:t>你</w:t>
      </w:r>
      <w:r>
        <w:rPr>
          <w:rFonts w:hint="eastAsia" w:ascii="Times New Roman" w:hAnsi="Times New Roman" w:eastAsia="宋体" w:cs="Times New Roman"/>
          <w:color w:val="000000"/>
          <w:sz w:val="28"/>
          <w:szCs w:val="28"/>
          <w:lang w:val="en-US" w:eastAsia="zh-CN"/>
        </w:rPr>
        <w:t>单位</w:t>
      </w:r>
      <w:r>
        <w:rPr>
          <w:rFonts w:hint="default" w:ascii="Times New Roman" w:hAnsi="Times New Roman" w:eastAsia="宋体" w:cs="Times New Roman"/>
          <w:color w:val="000000"/>
          <w:sz w:val="28"/>
          <w:szCs w:val="28"/>
        </w:rPr>
        <w:t>报批由</w:t>
      </w:r>
      <w:r>
        <w:rPr>
          <w:rFonts w:hint="default" w:ascii="Times New Roman" w:hAnsi="Times New Roman" w:eastAsia="宋体" w:cs="Times New Roman"/>
          <w:color w:val="000000"/>
          <w:sz w:val="28"/>
          <w:szCs w:val="28"/>
          <w:lang w:val="en-US" w:eastAsia="zh-CN"/>
        </w:rPr>
        <w:t>湖南蓝方环保科技有限公司编制的《</w:t>
      </w:r>
      <w:r>
        <w:rPr>
          <w:rFonts w:hint="eastAsia" w:ascii="Times New Roman" w:hAnsi="Times New Roman" w:eastAsia="宋体" w:cs="Times New Roman"/>
          <w:color w:val="000000"/>
          <w:sz w:val="28"/>
          <w:szCs w:val="28"/>
          <w:lang w:eastAsia="zh-CN"/>
        </w:rPr>
        <w:t>年产1500吨高等级钕铁硼粘结磁体技改项目</w:t>
      </w:r>
      <w:r>
        <w:rPr>
          <w:rFonts w:hint="default" w:ascii="Times New Roman" w:hAnsi="Times New Roman" w:eastAsia="宋体" w:cs="Times New Roman"/>
          <w:color w:val="000000"/>
          <w:sz w:val="28"/>
          <w:szCs w:val="28"/>
          <w:lang w:val="en-US" w:eastAsia="zh-CN"/>
        </w:rPr>
        <w:t>环境影响报告表</w:t>
      </w:r>
      <w:r>
        <w:rPr>
          <w:rFonts w:hint="default" w:ascii="Times New Roman" w:hAnsi="Times New Roman" w:eastAsia="宋体" w:cs="Times New Roman"/>
          <w:color w:val="000000"/>
          <w:sz w:val="28"/>
          <w:szCs w:val="28"/>
        </w:rPr>
        <w:t>》</w:t>
      </w:r>
      <w:r>
        <w:rPr>
          <w:rFonts w:hint="eastAsia" w:ascii="Times New Roman" w:hAnsi="Times New Roman" w:eastAsia="宋体" w:cs="Times New Roman"/>
          <w:color w:val="000000"/>
          <w:sz w:val="28"/>
          <w:szCs w:val="28"/>
          <w:lang w:eastAsia="zh-CN"/>
        </w:rPr>
        <w:t>（</w:t>
      </w:r>
      <w:r>
        <w:rPr>
          <w:rFonts w:hint="default" w:ascii="Times New Roman" w:hAnsi="Times New Roman" w:eastAsia="宋体" w:cs="Times New Roman"/>
          <w:color w:val="000000"/>
          <w:sz w:val="28"/>
          <w:szCs w:val="28"/>
          <w:lang w:val="en-US" w:eastAsia="zh-CN"/>
        </w:rPr>
        <w:t>报批稿</w:t>
      </w:r>
      <w:r>
        <w:rPr>
          <w:rFonts w:hint="eastAsia" w:ascii="Times New Roman" w:hAnsi="Times New Roman" w:eastAsia="宋体" w:cs="Times New Roman"/>
          <w:color w:val="000000"/>
          <w:sz w:val="28"/>
          <w:szCs w:val="28"/>
          <w:lang w:val="en-US" w:eastAsia="zh-CN"/>
        </w:rPr>
        <w:t>）</w:t>
      </w:r>
      <w:r>
        <w:rPr>
          <w:rFonts w:hint="default" w:ascii="Times New Roman" w:hAnsi="Times New Roman" w:eastAsia="宋体" w:cs="Times New Roman"/>
          <w:color w:val="000000"/>
          <w:sz w:val="28"/>
          <w:szCs w:val="28"/>
        </w:rPr>
        <w:t>和相关附件已收悉。经研究，</w:t>
      </w:r>
      <w:r>
        <w:rPr>
          <w:rFonts w:hint="eastAsia" w:ascii="Times New Roman" w:hAnsi="Times New Roman" w:eastAsia="宋体" w:cs="Times New Roman"/>
          <w:color w:val="000000"/>
          <w:sz w:val="28"/>
          <w:szCs w:val="28"/>
          <w:lang w:val="en-US" w:eastAsia="zh-CN"/>
        </w:rPr>
        <w:t>提出如下审批意见</w:t>
      </w:r>
      <w:r>
        <w:rPr>
          <w:rFonts w:hint="default" w:ascii="Times New Roman" w:hAnsi="Times New Roman" w:eastAsia="宋体" w:cs="Times New Roman"/>
          <w:color w:val="000000"/>
          <w:sz w:val="28"/>
          <w:szCs w:val="28"/>
        </w:rPr>
        <w:t>：</w:t>
      </w:r>
      <w:r>
        <w:rPr>
          <w:rFonts w:hint="default" w:ascii="Times New Roman" w:hAnsi="Times New Roman" w:eastAsia="宋体" w:cs="Times New Roman"/>
          <w:sz w:val="28"/>
          <w:szCs w:val="28"/>
        </w:rPr>
        <w:t xml:space="preserve"> </w:t>
      </w:r>
    </w:p>
    <w:p>
      <w:pPr>
        <w:pStyle w:val="16"/>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560" w:firstLineChars="200"/>
        <w:textAlignment w:val="auto"/>
        <w:rPr>
          <w:rFonts w:hint="default" w:ascii="Times New Roman" w:hAnsi="Times New Roman" w:eastAsia="宋体" w:cs="Times New Roman"/>
          <w:color w:val="FF0000"/>
          <w:sz w:val="28"/>
          <w:szCs w:val="28"/>
          <w:lang w:val="en-US" w:eastAsia="zh-CN"/>
        </w:rPr>
      </w:pPr>
      <w:r>
        <w:rPr>
          <w:rFonts w:hint="default" w:ascii="Times New Roman" w:hAnsi="Times New Roman" w:eastAsia="宋体" w:cs="Times New Roman"/>
          <w:color w:val="auto"/>
          <w:sz w:val="28"/>
          <w:szCs w:val="28"/>
          <w:lang w:val="en-US" w:eastAsia="zh-CN"/>
        </w:rPr>
        <w:t>一、</w:t>
      </w:r>
      <w:r>
        <w:rPr>
          <w:rFonts w:hint="eastAsia" w:ascii="Times New Roman" w:hAnsi="Times New Roman" w:eastAsia="宋体" w:cs="Times New Roman"/>
          <w:color w:val="auto"/>
          <w:sz w:val="28"/>
          <w:szCs w:val="28"/>
          <w:lang w:eastAsia="zh-CN"/>
        </w:rPr>
        <w:t>湖南众磁新材料科技有限公司</w:t>
      </w:r>
      <w:r>
        <w:rPr>
          <w:rFonts w:hint="eastAsia" w:ascii="Times New Roman" w:hAnsi="Times New Roman" w:eastAsia="宋体" w:cs="Times New Roman"/>
          <w:color w:val="auto"/>
          <w:sz w:val="28"/>
          <w:szCs w:val="28"/>
          <w:lang w:val="en-US" w:eastAsia="zh-CN"/>
        </w:rPr>
        <w:t>于2021年取得了湘潭市生态环境局下达的环评批复“潭环审（湘乡）〔2021〕5号”，因建设单位为更好地应对市场变化，提高自动化程度，拟增加红外线固化工序、喷漆及烘干工序，拟将喷漆、电泳前超声波清洗废水经沉淀池预处理后排往湘乡市红仑污水处理厂，拟增一个脱漆室</w:t>
      </w:r>
      <w:r>
        <w:rPr>
          <w:rFonts w:hint="default" w:ascii="Times New Roman" w:hAnsi="Times New Roman" w:eastAsia="宋体"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技术改造完成后</w:t>
      </w:r>
      <w:r>
        <w:rPr>
          <w:rFonts w:hint="default" w:ascii="Times New Roman" w:hAnsi="Times New Roman" w:eastAsia="宋体" w:cs="Times New Roman"/>
          <w:color w:val="auto"/>
          <w:sz w:val="28"/>
          <w:szCs w:val="28"/>
          <w:lang w:val="en-US" w:eastAsia="zh-CN"/>
        </w:rPr>
        <w:t>项目占地面积</w:t>
      </w:r>
      <w:r>
        <w:rPr>
          <w:rFonts w:hint="eastAsia" w:ascii="Times New Roman" w:hAnsi="Times New Roman" w:eastAsia="宋体" w:cs="Times New Roman"/>
          <w:color w:val="auto"/>
          <w:sz w:val="28"/>
          <w:szCs w:val="28"/>
          <w:lang w:val="en-US" w:eastAsia="zh-CN"/>
        </w:rPr>
        <w:t>、建筑面积保持不变，分别</w:t>
      </w:r>
      <w:r>
        <w:rPr>
          <w:rFonts w:hint="default" w:ascii="Times New Roman" w:hAnsi="Times New Roman" w:eastAsia="宋体" w:cs="Times New Roman"/>
          <w:color w:val="auto"/>
          <w:sz w:val="28"/>
          <w:szCs w:val="28"/>
          <w:lang w:val="en-US" w:eastAsia="zh-CN"/>
        </w:rPr>
        <w:t>为</w:t>
      </w:r>
      <w:r>
        <w:rPr>
          <w:rFonts w:hint="eastAsia" w:ascii="Times New Roman" w:hAnsi="Times New Roman" w:eastAsia="宋体" w:cs="Times New Roman"/>
          <w:color w:val="auto"/>
          <w:sz w:val="28"/>
          <w:szCs w:val="28"/>
          <w:lang w:val="en-US" w:eastAsia="zh-CN"/>
        </w:rPr>
        <w:t>1344m</w:t>
      </w:r>
      <w:r>
        <w:rPr>
          <w:rFonts w:hint="eastAsia" w:ascii="Times New Roman" w:hAnsi="Times New Roman" w:eastAsia="宋体" w:cs="Times New Roman"/>
          <w:color w:val="auto"/>
          <w:sz w:val="28"/>
          <w:szCs w:val="28"/>
          <w:vertAlign w:val="superscript"/>
          <w:lang w:val="en-US" w:eastAsia="zh-CN"/>
        </w:rPr>
        <w:t>2</w:t>
      </w:r>
      <w:r>
        <w:rPr>
          <w:rFonts w:hint="eastAsia" w:ascii="Times New Roman" w:hAnsi="Times New Roman" w:eastAsia="宋体" w:cs="Times New Roman"/>
          <w:color w:val="auto"/>
          <w:sz w:val="28"/>
          <w:szCs w:val="28"/>
          <w:vertAlign w:val="baseline"/>
          <w:lang w:val="en-US" w:eastAsia="zh-CN"/>
        </w:rPr>
        <w:t>、</w:t>
      </w:r>
      <w:r>
        <w:rPr>
          <w:rFonts w:hint="eastAsia" w:ascii="Times New Roman" w:hAnsi="Times New Roman" w:eastAsia="宋体" w:cs="Times New Roman"/>
          <w:color w:val="auto"/>
          <w:sz w:val="28"/>
          <w:szCs w:val="28"/>
          <w:lang w:val="en-US" w:eastAsia="zh-CN"/>
        </w:rPr>
        <w:t>2688m</w:t>
      </w:r>
      <w:r>
        <w:rPr>
          <w:rFonts w:hint="eastAsia" w:ascii="Times New Roman" w:hAnsi="Times New Roman" w:eastAsia="宋体" w:cs="Times New Roman"/>
          <w:color w:val="auto"/>
          <w:sz w:val="28"/>
          <w:szCs w:val="28"/>
          <w:vertAlign w:val="superscript"/>
          <w:lang w:val="en-US" w:eastAsia="zh-CN"/>
        </w:rPr>
        <w:t>2</w:t>
      </w:r>
      <w:r>
        <w:rPr>
          <w:rFonts w:hint="eastAsia" w:ascii="Times New Roman" w:hAnsi="Times New Roman" w:eastAsia="宋体" w:cs="Times New Roman"/>
          <w:color w:val="auto"/>
          <w:sz w:val="28"/>
          <w:szCs w:val="28"/>
          <w:vertAlign w:val="baseline"/>
          <w:lang w:val="en-US" w:eastAsia="zh-CN"/>
        </w:rPr>
        <w:t>，</w:t>
      </w:r>
      <w:r>
        <w:rPr>
          <w:rFonts w:hint="eastAsia" w:ascii="Times New Roman" w:hAnsi="Times New Roman" w:eastAsia="宋体" w:cs="Times New Roman"/>
          <w:color w:val="auto"/>
          <w:sz w:val="28"/>
          <w:szCs w:val="28"/>
          <w:lang w:val="en-US" w:eastAsia="zh-CN"/>
        </w:rPr>
        <w:t>技术改造后项目产能保持不变，为年产1500吨粘结钕铁硼磁体</w:t>
      </w:r>
      <w:r>
        <w:rPr>
          <w:rFonts w:hint="default" w:ascii="Times New Roman" w:hAnsi="Times New Roman" w:eastAsia="宋体"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技术改造后的主要原辅料有：感应式、电弧式钕铁硼磁粉、电泳漆、超声波清洗剂、离子交换树脂、活性炭（废气处理）、粘结剂、丙酮、浓硫酸、水性硬化剂、水性环氧漆。主要设备包括6T机械压机、25T机械压机、60T液压机、100T液压机、150T液压机、电加热烘箱、电泳生产线、电泳固化烘箱、充磁机、磨边机、红外线烘烤箱、全自动平喷设备、平面磨床、双端面磨床等设备。主要生产工艺包括成型、固化（电加热烘箱固化/红外线固化）、磨削、打磨、表面处理（电泳及固化/喷漆）、脱漆、充磁。</w:t>
      </w:r>
    </w:p>
    <w:p>
      <w:pPr>
        <w:pStyle w:val="16"/>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560" w:firstLineChars="200"/>
        <w:textAlignment w:val="auto"/>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查阅</w:t>
      </w:r>
      <w:r>
        <w:rPr>
          <w:rFonts w:hint="default" w:ascii="Times New Roman" w:hAnsi="Times New Roman" w:eastAsia="宋体" w:cs="Times New Roman"/>
          <w:color w:val="auto"/>
          <w:sz w:val="28"/>
          <w:szCs w:val="28"/>
          <w:lang w:val="en-US" w:eastAsia="zh-CN"/>
        </w:rPr>
        <w:t>《产业结构调整指导目录》（</w:t>
      </w:r>
      <w:r>
        <w:rPr>
          <w:rFonts w:hint="eastAsia" w:ascii="Times New Roman" w:hAnsi="Times New Roman" w:eastAsia="宋体" w:cs="Times New Roman"/>
          <w:color w:val="auto"/>
          <w:sz w:val="28"/>
          <w:szCs w:val="28"/>
          <w:lang w:val="en-US" w:eastAsia="zh-CN"/>
        </w:rPr>
        <w:t>2024</w:t>
      </w:r>
      <w:r>
        <w:rPr>
          <w:rFonts w:hint="default" w:ascii="Times New Roman" w:hAnsi="Times New Roman" w:eastAsia="宋体" w:cs="Times New Roman"/>
          <w:color w:val="auto"/>
          <w:sz w:val="28"/>
          <w:szCs w:val="28"/>
          <w:lang w:val="en-US" w:eastAsia="zh-CN"/>
        </w:rPr>
        <w:t>年）</w:t>
      </w:r>
      <w:r>
        <w:rPr>
          <w:rFonts w:hint="eastAsia" w:ascii="Times New Roman" w:hAnsi="Times New Roman" w:eastAsia="宋体" w:cs="Times New Roman"/>
          <w:color w:val="auto"/>
          <w:sz w:val="28"/>
          <w:szCs w:val="28"/>
          <w:lang w:val="en-US" w:eastAsia="zh-CN"/>
        </w:rPr>
        <w:t>，本项目不属于</w:t>
      </w:r>
      <w:r>
        <w:rPr>
          <w:rFonts w:hint="default" w:ascii="Times New Roman" w:hAnsi="Times New Roman" w:eastAsia="宋体" w:cs="Times New Roman"/>
          <w:color w:val="auto"/>
          <w:sz w:val="28"/>
          <w:szCs w:val="28"/>
          <w:lang w:val="en-US" w:eastAsia="zh-CN"/>
        </w:rPr>
        <w:t>限制类和淘汰类</w:t>
      </w:r>
      <w:r>
        <w:rPr>
          <w:rFonts w:hint="eastAsia" w:ascii="Times New Roman" w:hAnsi="Times New Roman" w:eastAsia="宋体" w:cs="Times New Roman"/>
          <w:color w:val="auto"/>
          <w:sz w:val="28"/>
          <w:szCs w:val="28"/>
          <w:lang w:val="en-US" w:eastAsia="zh-CN"/>
        </w:rPr>
        <w:t>，符合产业政策</w:t>
      </w:r>
      <w:r>
        <w:rPr>
          <w:rFonts w:hint="default" w:ascii="Times New Roman" w:hAnsi="Times New Roman" w:eastAsia="宋体"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根据环评结论，经研究同意该项目建设。</w:t>
      </w:r>
    </w:p>
    <w:p>
      <w:pPr>
        <w:pStyle w:val="16"/>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w:t>
      </w:r>
      <w:r>
        <w:rPr>
          <w:rFonts w:hint="eastAsia" w:ascii="Times New Roman" w:hAnsi="Times New Roman" w:eastAsia="宋体" w:cs="Times New Roman"/>
          <w:color w:val="auto"/>
          <w:sz w:val="28"/>
          <w:szCs w:val="28"/>
          <w:lang w:val="en-US" w:eastAsia="zh-CN"/>
        </w:rPr>
        <w:t>在项目营运期间，建设方须落实环评报告表中提出的各项环保要求，确保各项污染物稳定达标排放，并须着重做好以下工作</w:t>
      </w:r>
      <w:r>
        <w:rPr>
          <w:rFonts w:hint="default" w:ascii="Times New Roman" w:hAnsi="Times New Roman" w:eastAsia="宋体" w:cs="Times New Roman"/>
          <w:color w:val="auto"/>
          <w:sz w:val="28"/>
          <w:szCs w:val="28"/>
        </w:rPr>
        <w:t xml:space="preserve">： </w:t>
      </w:r>
    </w:p>
    <w:p>
      <w:pPr>
        <w:pStyle w:val="16"/>
        <w:keepNext w:val="0"/>
        <w:keepLines w:val="0"/>
        <w:pageBreakBefore w:val="0"/>
        <w:widowControl w:val="0"/>
        <w:numPr>
          <w:ilvl w:val="0"/>
          <w:numId w:val="2"/>
        </w:numPr>
        <w:suppressLineNumbers w:val="0"/>
        <w:kinsoku/>
        <w:wordWrap/>
        <w:overflowPunct/>
        <w:topLinePunct w:val="0"/>
        <w:autoSpaceDE/>
        <w:autoSpaceDN/>
        <w:bidi w:val="0"/>
        <w:adjustRightInd/>
        <w:snapToGrid w:val="0"/>
        <w:spacing w:before="0" w:beforeAutospacing="0" w:after="0" w:afterAutospacing="0" w:line="360" w:lineRule="auto"/>
        <w:ind w:right="0" w:rightChars="0" w:firstLine="560" w:firstLineChars="200"/>
        <w:textAlignment w:val="auto"/>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废水污染防治工作。做好雨污分流，电泳后喷淋回收、两次漂洗废水经超滤装置处理后循环使用不外排；反渗透浓水经沉淀池预处理后排入雨水管网；喷漆、电泳前超声波清洗废水经混凝沉淀池预处理，脱漆后清洗废水经中和沉淀池预处理，食堂废水经隔油池处理后和生活污水一起经依托的化粪池处理达到《污水综合排放标准》（GB8978-1996）表4中三级标准限值要求，排入红仑污水处理厂处理达到《城镇污水处理厂污染物排放标准》（GB18918-2002）一级A标准外排至涟水。</w:t>
      </w:r>
    </w:p>
    <w:p>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360" w:lineRule="auto"/>
        <w:ind w:right="0" w:rightChars="0" w:firstLine="560" w:firstLineChars="200"/>
        <w:textAlignment w:val="auto"/>
        <w:rPr>
          <w:rFonts w:hint="default" w:ascii="Times New Roman" w:hAnsi="Times New Roman" w:eastAsia="宋体" w:cs="Times New Roman"/>
          <w:color w:val="FF0000"/>
          <w:sz w:val="28"/>
          <w:szCs w:val="28"/>
          <w:lang w:val="en-US" w:eastAsia="zh-CN"/>
        </w:rPr>
      </w:pPr>
      <w:r>
        <w:rPr>
          <w:rFonts w:hint="eastAsia" w:ascii="Times New Roman" w:hAnsi="Times New Roman" w:eastAsia="宋体" w:cs="Times New Roman"/>
          <w:color w:val="auto"/>
          <w:sz w:val="28"/>
          <w:szCs w:val="28"/>
          <w:lang w:val="en-US" w:eastAsia="zh-CN"/>
        </w:rPr>
        <w:t>2、大气污染防治工作</w:t>
      </w:r>
      <w:r>
        <w:rPr>
          <w:rFonts w:hint="default" w:ascii="Times New Roman" w:hAnsi="Times New Roman" w:eastAsia="宋体"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①电加热烘箱固化废气、1号红外线固化废气，在电加热烘箱固化炉出气口、1号红外线固化炉出气口设置集气罩，经“2级活性炭吸附装置（TA001）”经处理后经15m排气筒（DA001）排放，电泳固化废气，在电泳固化烘箱出气口设置集气罩，经“2级活性炭吸附装置（TA002）”经处理后经15m排气筒（DA002）排放，VOCs有组织排放可满足《大气污染物综合排放标准》（GB16297-1996）相关限值，VOCs无组织排放满足湖南省《表面涂装（汽车制造及维修）挥发性有机物、镍排放标准（DB43/1356-2017》及《挥发性有机物无组织排放控制标准》（GB37822-2019）无组织挥发性有机物排放浓度限值；②2号红外线固化废气、平喷间有机废气，在2号红外线固化炉出气口设置集气罩、平喷间顶部采取负压抽吸下经一套环保设备“过滤棉（干式过滤）+2级活性炭吸附装置（TA003）”，经处理后经15m排气筒（DA003）排放，VOCs有组织排放参照执行湖南省《表面涂装（汽车制造及维修）挥发性有机物、镍排放标准（DB43/1356-2017）》中挥发性有机物最高允许排放限值要求，无组织排放满足湖南省《表面涂装（汽车制造及维修）挥发性有机物、镍排放标准（DB43/1356-2017）》及《挥发性有机物无组织排放控制标准》（GB37822-2019）无组织挥发性有机物排放浓度限值，颗粒物满足《大气污染物综合排放标准》（GB16297-1996）相关要求；③打磨废气采取水湿润作业，大部分湿式粉尘落于地面，经收集后回用，少部分呈无组织排放，硫酸雾通过加强通风等措施后确保达到</w:t>
      </w:r>
      <w:r>
        <w:rPr>
          <w:rFonts w:hint="default" w:ascii="Times New Roman" w:hAnsi="Times New Roman" w:eastAsia="宋体" w:cs="Times New Roman"/>
          <w:color w:val="auto"/>
          <w:sz w:val="28"/>
          <w:szCs w:val="28"/>
          <w:lang w:val="en-US" w:eastAsia="zh-CN"/>
        </w:rPr>
        <w:t>《大气污染物综合排放标准》（GB16297-1996）</w:t>
      </w:r>
      <w:r>
        <w:rPr>
          <w:rFonts w:hint="eastAsia" w:ascii="Times New Roman" w:hAnsi="Times New Roman" w:eastAsia="宋体" w:cs="Times New Roman"/>
          <w:color w:val="auto"/>
          <w:sz w:val="28"/>
          <w:szCs w:val="28"/>
          <w:lang w:val="en-US" w:eastAsia="zh-CN"/>
        </w:rPr>
        <w:t>中表2无组织标准</w:t>
      </w:r>
      <w:r>
        <w:rPr>
          <w:rFonts w:hint="default" w:ascii="Times New Roman" w:hAnsi="Times New Roman" w:eastAsia="宋体" w:cs="Times New Roman"/>
          <w:color w:val="auto"/>
          <w:sz w:val="28"/>
          <w:szCs w:val="28"/>
          <w:lang w:val="en-US" w:eastAsia="zh-CN"/>
        </w:rPr>
        <w:t>限值要求</w:t>
      </w:r>
      <w:r>
        <w:rPr>
          <w:rFonts w:hint="eastAsia" w:ascii="Times New Roman" w:hAnsi="Times New Roman" w:eastAsia="宋体" w:cs="Times New Roman"/>
          <w:color w:val="auto"/>
          <w:sz w:val="28"/>
          <w:szCs w:val="28"/>
          <w:lang w:val="en-US" w:eastAsia="zh-CN"/>
        </w:rPr>
        <w:t>；④项目员工用餐依托湖南京湘磁业有限公司食堂，湖南京湘磁业有限公司食堂已经设置油烟净化器，对油烟进行净化处理，油烟经处理后达到《饮食业油烟排放标准》（GB18483-2001）排放标准限值。</w:t>
      </w:r>
    </w:p>
    <w:p>
      <w:pPr>
        <w:pStyle w:val="16"/>
        <w:keepNext w:val="0"/>
        <w:keepLines w:val="0"/>
        <w:pageBreakBefore w:val="0"/>
        <w:widowControl w:val="0"/>
        <w:numPr>
          <w:ilvl w:val="0"/>
          <w:numId w:val="2"/>
        </w:numPr>
        <w:suppressLineNumbers w:val="0"/>
        <w:kinsoku/>
        <w:wordWrap/>
        <w:overflowPunct/>
        <w:topLinePunct w:val="0"/>
        <w:autoSpaceDE/>
        <w:autoSpaceDN/>
        <w:bidi w:val="0"/>
        <w:adjustRightInd/>
        <w:snapToGrid w:val="0"/>
        <w:spacing w:before="0" w:beforeAutospacing="0" w:after="0" w:afterAutospacing="0" w:line="360" w:lineRule="auto"/>
        <w:ind w:right="0" w:rightChars="0" w:firstLine="560" w:firstLineChars="200"/>
        <w:textAlignment w:val="auto"/>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噪声污染防治措施。采取有效的隔声、减振、降噪等措施，确保厂界南侧、西侧、北侧达到《工业企业厂界环境噪声排放标准》（GB12348-2008）中的3类标准，厂界东侧达到《工业企业厂界环境噪声排放标准》（GB12348-2008）中的4类标准。</w:t>
      </w:r>
    </w:p>
    <w:p>
      <w:pPr>
        <w:pStyle w:val="16"/>
        <w:keepNext w:val="0"/>
        <w:keepLines w:val="0"/>
        <w:pageBreakBefore w:val="0"/>
        <w:widowControl w:val="0"/>
        <w:numPr>
          <w:ilvl w:val="0"/>
          <w:numId w:val="2"/>
        </w:numPr>
        <w:suppressLineNumbers w:val="0"/>
        <w:kinsoku/>
        <w:wordWrap/>
        <w:overflowPunct/>
        <w:topLinePunct w:val="0"/>
        <w:autoSpaceDE/>
        <w:autoSpaceDN/>
        <w:bidi w:val="0"/>
        <w:adjustRightInd/>
        <w:snapToGrid w:val="0"/>
        <w:spacing w:before="0" w:beforeAutospacing="0" w:after="0" w:afterAutospacing="0" w:line="360" w:lineRule="auto"/>
        <w:ind w:right="0" w:rightChars="0" w:firstLine="560" w:firstLineChars="200"/>
        <w:textAlignment w:val="auto"/>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固体废物污染防治措施</w:t>
      </w:r>
      <w:r>
        <w:rPr>
          <w:rFonts w:hint="default" w:ascii="Times New Roman" w:hAnsi="Times New Roman" w:eastAsia="宋体"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按照“资源化、减量化、无害化”处置原则，建立台账制度，规范设置固体废物暂存间及标识、标牌、标签等标志，危险废物和其他固废分类收集、堆放。一般固废临时贮存过程需满足《一般工业固体废物贮存和填埋污染控制标准》（GB18599-2020）中相关要求。危险废物暂存间需满足《危险废物贮存污染控制标准》（GB18597-2023）中设计和管理要求，危险废物定期交由资质单位处理。生活垃圾经统一收集后交由环卫部门清运处理。</w:t>
      </w:r>
    </w:p>
    <w:p>
      <w:pPr>
        <w:pStyle w:val="16"/>
        <w:keepNext w:val="0"/>
        <w:keepLines w:val="0"/>
        <w:pageBreakBefore w:val="0"/>
        <w:widowControl w:val="0"/>
        <w:numPr>
          <w:ilvl w:val="0"/>
          <w:numId w:val="2"/>
        </w:numPr>
        <w:suppressLineNumbers w:val="0"/>
        <w:kinsoku/>
        <w:wordWrap/>
        <w:overflowPunct/>
        <w:topLinePunct w:val="0"/>
        <w:autoSpaceDE/>
        <w:autoSpaceDN/>
        <w:bidi w:val="0"/>
        <w:adjustRightInd/>
        <w:snapToGrid w:val="0"/>
        <w:spacing w:before="0" w:beforeAutospacing="0" w:after="0" w:afterAutospacing="0" w:line="360" w:lineRule="auto"/>
        <w:ind w:right="0" w:rightChars="0" w:firstLine="560" w:firstLineChars="200"/>
        <w:textAlignment w:val="auto"/>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加强日常环保管理和环境风险防范与应急。制定完善的突发环境事件应急预案。当发生突发环境事件时，应当立即采取措施处理，及时通报可能受到危害的单位和居民、并向生态环境部门报告。建立环境监测计划，定期进行污染源监测和环境质量监测</w:t>
      </w:r>
      <w:r>
        <w:rPr>
          <w:rFonts w:hint="default" w:ascii="Times New Roman" w:hAnsi="Times New Roman" w:eastAsia="宋体" w:cs="Times New Roman"/>
          <w:color w:val="auto"/>
          <w:sz w:val="28"/>
          <w:szCs w:val="28"/>
          <w:lang w:val="en-US" w:eastAsia="zh-CN"/>
        </w:rPr>
        <w:t>。</w:t>
      </w:r>
    </w:p>
    <w:p>
      <w:pPr>
        <w:pStyle w:val="16"/>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560" w:firstLineChars="200"/>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三</w:t>
      </w:r>
      <w:r>
        <w:rPr>
          <w:rFonts w:hint="default" w:ascii="Times New Roman" w:hAnsi="Times New Roman" w:eastAsia="宋体" w:cs="Times New Roman"/>
          <w:color w:val="auto"/>
          <w:sz w:val="28"/>
          <w:szCs w:val="28"/>
          <w:lang w:val="en-US" w:eastAsia="zh-CN"/>
        </w:rPr>
        <w:t>、本项目总量控制指标为：</w:t>
      </w:r>
      <w:r>
        <w:rPr>
          <w:rFonts w:hint="default" w:ascii="Times New Roman" w:hAnsi="Times New Roman" w:eastAsia="宋体" w:cs="Times New Roman"/>
          <w:b w:val="0"/>
          <w:bCs w:val="0"/>
          <w:color w:val="auto"/>
          <w:sz w:val="28"/>
          <w:szCs w:val="28"/>
          <w:u w:val="none" w:color="auto"/>
        </w:rPr>
        <w:t>COD</w:t>
      </w:r>
      <w:r>
        <w:rPr>
          <w:rFonts w:hint="default" w:ascii="Times New Roman" w:hAnsi="Times New Roman" w:eastAsia="宋体" w:cs="Times New Roman"/>
          <w:color w:val="auto"/>
          <w:sz w:val="28"/>
          <w:szCs w:val="28"/>
          <w:highlight w:val="none"/>
          <w:u w:val="none" w:color="auto"/>
          <w:lang w:val="en-US" w:eastAsia="zh-CN"/>
        </w:rPr>
        <w:t>：</w:t>
      </w:r>
      <w:r>
        <w:rPr>
          <w:rFonts w:hint="eastAsia" w:ascii="Times New Roman" w:hAnsi="Times New Roman" w:eastAsia="宋体" w:cs="Times New Roman"/>
          <w:color w:val="auto"/>
          <w:sz w:val="28"/>
          <w:szCs w:val="28"/>
          <w:highlight w:val="none"/>
          <w:u w:val="none" w:color="auto"/>
          <w:lang w:val="en-US" w:eastAsia="zh-CN"/>
        </w:rPr>
        <w:t>0.0063</w:t>
      </w:r>
      <w:r>
        <w:rPr>
          <w:rFonts w:hint="default" w:ascii="Times New Roman" w:hAnsi="Times New Roman" w:eastAsia="宋体" w:cs="Times New Roman"/>
          <w:color w:val="auto"/>
          <w:sz w:val="28"/>
          <w:szCs w:val="28"/>
          <w:highlight w:val="none"/>
          <w:u w:val="none" w:color="auto"/>
          <w:lang w:eastAsia="zh-CN"/>
        </w:rPr>
        <w:t>t/a</w:t>
      </w:r>
      <w:r>
        <w:rPr>
          <w:rFonts w:hint="default" w:ascii="Times New Roman" w:hAnsi="Times New Roman" w:eastAsia="宋体" w:cs="Times New Roman"/>
          <w:color w:val="auto"/>
          <w:sz w:val="28"/>
          <w:szCs w:val="28"/>
          <w:highlight w:val="none"/>
          <w:u w:val="none" w:color="auto"/>
        </w:rPr>
        <w:t>、</w:t>
      </w:r>
      <w:r>
        <w:rPr>
          <w:rFonts w:hint="default" w:ascii="Times New Roman" w:hAnsi="Times New Roman" w:eastAsia="宋体" w:cs="Times New Roman"/>
          <w:b w:val="0"/>
          <w:bCs w:val="0"/>
          <w:color w:val="auto"/>
          <w:sz w:val="28"/>
          <w:szCs w:val="28"/>
          <w:u w:val="none" w:color="auto"/>
        </w:rPr>
        <w:t>NH</w:t>
      </w:r>
      <w:r>
        <w:rPr>
          <w:rFonts w:hint="default" w:ascii="Times New Roman" w:hAnsi="Times New Roman" w:eastAsia="宋体" w:cs="Times New Roman"/>
          <w:b w:val="0"/>
          <w:bCs w:val="0"/>
          <w:color w:val="auto"/>
          <w:sz w:val="28"/>
          <w:szCs w:val="28"/>
          <w:u w:val="none" w:color="auto"/>
          <w:vertAlign w:val="subscript"/>
        </w:rPr>
        <w:t>3</w:t>
      </w:r>
      <w:r>
        <w:rPr>
          <w:rFonts w:hint="default" w:ascii="Times New Roman" w:hAnsi="Times New Roman" w:eastAsia="宋体" w:cs="Times New Roman"/>
          <w:b w:val="0"/>
          <w:bCs w:val="0"/>
          <w:color w:val="auto"/>
          <w:sz w:val="28"/>
          <w:szCs w:val="28"/>
          <w:u w:val="none" w:color="auto"/>
        </w:rPr>
        <w:t>-N</w:t>
      </w:r>
      <w:r>
        <w:rPr>
          <w:rFonts w:hint="default" w:ascii="Times New Roman" w:hAnsi="Times New Roman" w:eastAsia="宋体" w:cs="Times New Roman"/>
          <w:color w:val="auto"/>
          <w:sz w:val="28"/>
          <w:szCs w:val="28"/>
          <w:highlight w:val="none"/>
          <w:u w:val="none" w:color="auto"/>
          <w:lang w:val="en-US" w:eastAsia="zh-CN"/>
        </w:rPr>
        <w:t>：</w:t>
      </w:r>
      <w:r>
        <w:rPr>
          <w:rFonts w:hint="eastAsia" w:ascii="Times New Roman" w:hAnsi="Times New Roman" w:eastAsia="宋体" w:cs="Times New Roman"/>
          <w:color w:val="auto"/>
          <w:sz w:val="28"/>
          <w:szCs w:val="28"/>
          <w:highlight w:val="none"/>
          <w:u w:val="none" w:color="auto"/>
          <w:lang w:val="en-US" w:eastAsia="zh-CN"/>
        </w:rPr>
        <w:t>0.0007</w:t>
      </w:r>
      <w:r>
        <w:rPr>
          <w:rFonts w:hint="default" w:ascii="Times New Roman" w:hAnsi="Times New Roman" w:eastAsia="宋体" w:cs="Times New Roman"/>
          <w:color w:val="auto"/>
          <w:sz w:val="28"/>
          <w:szCs w:val="28"/>
          <w:highlight w:val="none"/>
          <w:u w:val="none" w:color="auto"/>
          <w:lang w:eastAsia="zh-CN"/>
        </w:rPr>
        <w:t>t/a、</w:t>
      </w:r>
      <w:r>
        <w:rPr>
          <w:rFonts w:hint="default" w:ascii="Times New Roman" w:hAnsi="Times New Roman" w:eastAsia="宋体" w:cs="Times New Roman"/>
          <w:b w:val="0"/>
          <w:bCs w:val="0"/>
          <w:color w:val="auto"/>
          <w:kern w:val="0"/>
          <w:sz w:val="28"/>
          <w:szCs w:val="28"/>
          <w:highlight w:val="none"/>
          <w:u w:val="none" w:color="auto"/>
          <w:lang w:val="en-US" w:eastAsia="zh-CN" w:bidi="ar-SA"/>
        </w:rPr>
        <w:t>总磷</w:t>
      </w:r>
      <w:r>
        <w:rPr>
          <w:rFonts w:hint="default" w:ascii="Times New Roman" w:hAnsi="Times New Roman" w:eastAsia="宋体" w:cs="Times New Roman"/>
          <w:color w:val="auto"/>
          <w:sz w:val="28"/>
          <w:szCs w:val="28"/>
          <w:highlight w:val="none"/>
          <w:u w:val="none" w:color="auto"/>
          <w:lang w:val="en-US" w:eastAsia="zh-CN"/>
        </w:rPr>
        <w:t>：0.</w:t>
      </w:r>
      <w:r>
        <w:rPr>
          <w:rFonts w:hint="eastAsia" w:ascii="Times New Roman" w:hAnsi="Times New Roman" w:eastAsia="宋体" w:cs="Times New Roman"/>
          <w:color w:val="auto"/>
          <w:sz w:val="28"/>
          <w:szCs w:val="28"/>
          <w:highlight w:val="none"/>
          <w:u w:val="none" w:color="auto"/>
          <w:lang w:val="en-US" w:eastAsia="zh-CN"/>
        </w:rPr>
        <w:t>0001</w:t>
      </w:r>
      <w:r>
        <w:rPr>
          <w:rFonts w:hint="default" w:ascii="Times New Roman" w:hAnsi="Times New Roman" w:eastAsia="宋体" w:cs="Times New Roman"/>
          <w:snapToGrid w:val="0"/>
          <w:color w:val="auto"/>
          <w:kern w:val="0"/>
          <w:sz w:val="28"/>
          <w:szCs w:val="28"/>
          <w:highlight w:val="none"/>
          <w:u w:val="none" w:color="auto"/>
          <w:lang w:val="en-US" w:eastAsia="zh-CN"/>
        </w:rPr>
        <w:t>t/a</w:t>
      </w:r>
      <w:r>
        <w:rPr>
          <w:rFonts w:hint="default" w:ascii="Times New Roman" w:hAnsi="Times New Roman" w:eastAsia="宋体" w:cs="Times New Roman"/>
          <w:color w:val="auto"/>
          <w:sz w:val="28"/>
          <w:szCs w:val="28"/>
          <w:highlight w:val="none"/>
          <w:u w:val="none" w:color="auto"/>
          <w:lang w:eastAsia="zh-CN"/>
        </w:rPr>
        <w:t>、</w:t>
      </w:r>
      <w:r>
        <w:rPr>
          <w:rFonts w:hint="default" w:ascii="Times New Roman" w:hAnsi="Times New Roman" w:eastAsia="宋体" w:cs="Times New Roman"/>
          <w:snapToGrid w:val="0"/>
          <w:color w:val="auto"/>
          <w:kern w:val="0"/>
          <w:sz w:val="28"/>
          <w:szCs w:val="28"/>
          <w:highlight w:val="none"/>
          <w:u w:val="none" w:color="auto"/>
          <w:lang w:val="en-US" w:eastAsia="zh-CN"/>
        </w:rPr>
        <w:t>VOCs（有组织及无组织）</w:t>
      </w:r>
      <w:r>
        <w:rPr>
          <w:rFonts w:hint="default" w:ascii="Times New Roman" w:hAnsi="Times New Roman" w:eastAsia="宋体" w:cs="Times New Roman"/>
          <w:color w:val="auto"/>
          <w:sz w:val="28"/>
          <w:szCs w:val="28"/>
          <w:highlight w:val="none"/>
          <w:u w:val="none" w:color="auto"/>
          <w:lang w:val="en-US" w:eastAsia="zh-CN"/>
        </w:rPr>
        <w:t>：</w:t>
      </w:r>
      <w:r>
        <w:rPr>
          <w:rFonts w:hint="eastAsia" w:ascii="Times New Roman" w:hAnsi="Times New Roman" w:eastAsia="宋体" w:cs="Times New Roman"/>
          <w:color w:val="auto"/>
          <w:sz w:val="28"/>
          <w:szCs w:val="28"/>
          <w:highlight w:val="none"/>
          <w:u w:val="none" w:color="auto"/>
          <w:lang w:val="en-US" w:eastAsia="zh-CN"/>
        </w:rPr>
        <w:t>0.6738</w:t>
      </w:r>
      <w:r>
        <w:rPr>
          <w:rFonts w:hint="default" w:ascii="Times New Roman" w:hAnsi="Times New Roman" w:eastAsia="宋体" w:cs="Times New Roman"/>
          <w:snapToGrid w:val="0"/>
          <w:color w:val="auto"/>
          <w:kern w:val="0"/>
          <w:sz w:val="28"/>
          <w:szCs w:val="28"/>
          <w:highlight w:val="none"/>
          <w:u w:val="none" w:color="auto"/>
          <w:lang w:val="en-US" w:eastAsia="zh-CN"/>
        </w:rPr>
        <w:t>t/a</w:t>
      </w:r>
      <w:r>
        <w:rPr>
          <w:rFonts w:hint="eastAsia"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lang w:val="en-US" w:eastAsia="zh-CN"/>
        </w:rPr>
        <w:t xml:space="preserve"> </w:t>
      </w:r>
    </w:p>
    <w:p>
      <w:pPr>
        <w:pStyle w:val="16"/>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560" w:firstLineChars="200"/>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四、建设单位须严格执行“排污许可”“三同时”管理规定要求。按照排污许可管理工作要求及时办理排污许可证，并按照要求自行组织环保“三同时”验收工作，同时建设单位须按照排污许可管理要求定期完成企业自行监测及执行报告提交工作。项目在建设和营运期的日常监督和管理由湘乡生态环境保护综合行政执法大队负责。</w:t>
      </w:r>
    </w:p>
    <w:p>
      <w:pPr>
        <w:pStyle w:val="16"/>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560" w:firstLineChars="200"/>
        <w:textAlignment w:val="auto"/>
        <w:rPr>
          <w:rFonts w:hint="default"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五、项目建设的性质、规模、地点、采用的生产工艺或者防治污染、防止生态破坏的措施发生重大变动的，须向我局重新报批环境影响评价文件。</w:t>
      </w:r>
      <w:r>
        <w:rPr>
          <w:rFonts w:hint="default" w:ascii="Times New Roman" w:hAnsi="Times New Roman" w:eastAsia="宋体" w:cs="Times New Roman"/>
          <w:color w:val="auto"/>
          <w:sz w:val="28"/>
          <w:szCs w:val="28"/>
        </w:rPr>
        <w:t xml:space="preserve"> </w:t>
      </w:r>
    </w:p>
    <w:p>
      <w:pPr>
        <w:pStyle w:val="16"/>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textAlignment w:val="auto"/>
        <w:rPr>
          <w:rFonts w:hint="default" w:ascii="Times New Roman" w:hAnsi="Times New Roman" w:eastAsia="宋体" w:cs="Times New Roman"/>
          <w:color w:val="auto"/>
          <w:sz w:val="28"/>
          <w:szCs w:val="28"/>
        </w:rPr>
      </w:pPr>
    </w:p>
    <w:p>
      <w:pPr>
        <w:pStyle w:val="16"/>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640"/>
        <w:jc w:val="righ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湘潭市生态环境局 </w:t>
      </w:r>
    </w:p>
    <w:p>
      <w:pPr>
        <w:pStyle w:val="16"/>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640"/>
        <w:jc w:val="righ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202</w:t>
      </w:r>
      <w:r>
        <w:rPr>
          <w:rFonts w:hint="eastAsia" w:ascii="Times New Roman" w:hAnsi="Times New Roman" w:eastAsia="宋体" w:cs="Times New Roman"/>
          <w:color w:val="auto"/>
          <w:sz w:val="28"/>
          <w:szCs w:val="28"/>
          <w:lang w:val="en-US" w:eastAsia="zh-CN"/>
        </w:rPr>
        <w:t>5</w:t>
      </w:r>
      <w:bookmarkStart w:id="0" w:name="_GoBack"/>
      <w:bookmarkEnd w:id="0"/>
      <w:r>
        <w:rPr>
          <w:rFonts w:hint="default" w:ascii="Times New Roman" w:hAnsi="Times New Roman" w:eastAsia="宋体" w:cs="Times New Roman"/>
          <w:color w:val="auto"/>
          <w:sz w:val="28"/>
          <w:szCs w:val="28"/>
        </w:rPr>
        <w:t>年</w:t>
      </w:r>
      <w:r>
        <w:rPr>
          <w:rFonts w:hint="eastAsia" w:ascii="Times New Roman" w:hAnsi="Times New Roman" w:eastAsia="宋体"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月 </w:t>
      </w:r>
      <w:r>
        <w:rPr>
          <w:rFonts w:hint="eastAsia" w:ascii="Times New Roman" w:hAnsi="Times New Roman" w:eastAsia="宋体"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日 </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textAlignment w:val="auto"/>
        <w:rPr>
          <w:rFonts w:hint="default" w:ascii="Times New Roman" w:hAnsi="Times New Roman" w:eastAsia="宋体" w:cs="Times New Roman"/>
          <w:color w:val="FF000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0B0EA1"/>
    <w:multiLevelType w:val="singleLevel"/>
    <w:tmpl w:val="830B0EA1"/>
    <w:lvl w:ilvl="0" w:tentative="0">
      <w:start w:val="1"/>
      <w:numFmt w:val="decimal"/>
      <w:suff w:val="nothing"/>
      <w:lvlText w:val="%1、"/>
      <w:lvlJc w:val="left"/>
    </w:lvl>
  </w:abstractNum>
  <w:abstractNum w:abstractNumId="1">
    <w:nsid w:val="87CB05C7"/>
    <w:multiLevelType w:val="multilevel"/>
    <w:tmpl w:val="87CB05C7"/>
    <w:lvl w:ilvl="0" w:tentative="0">
      <w:start w:val="1"/>
      <w:numFmt w:val="chineseCounting"/>
      <w:pStyle w:val="5"/>
      <w:suff w:val="nothing"/>
      <w:lvlText w:val="第%1章 "/>
      <w:lvlJc w:val="left"/>
      <w:pPr>
        <w:ind w:left="432" w:hanging="432"/>
      </w:pPr>
      <w:rPr>
        <w:rFonts w:hint="eastAsia"/>
      </w:rPr>
    </w:lvl>
    <w:lvl w:ilvl="1" w:tentative="0">
      <w:start w:val="1"/>
      <w:numFmt w:val="decimal"/>
      <w:pStyle w:val="6"/>
      <w:isLgl/>
      <w:lvlText w:val="%1.%2."/>
      <w:lvlJc w:val="left"/>
      <w:pPr>
        <w:ind w:left="575" w:hanging="575"/>
      </w:pPr>
      <w:rPr>
        <w:rFonts w:hint="eastAsia"/>
      </w:rPr>
    </w:lvl>
    <w:lvl w:ilvl="2" w:tentative="0">
      <w:start w:val="1"/>
      <w:numFmt w:val="decimal"/>
      <w:pStyle w:val="7"/>
      <w:isLgl/>
      <w:lvlText w:val="%1.%2.%3."/>
      <w:lvlJc w:val="left"/>
      <w:pPr>
        <w:ind w:left="6720" w:hanging="720"/>
      </w:pPr>
      <w:rPr>
        <w:rFonts w:hint="eastAsia"/>
      </w:rPr>
    </w:lvl>
    <w:lvl w:ilvl="3" w:tentative="0">
      <w:start w:val="1"/>
      <w:numFmt w:val="decimal"/>
      <w:pStyle w:val="8"/>
      <w:isLgl/>
      <w:lvlText w:val="%1.%2.%3.%4."/>
      <w:lvlJc w:val="left"/>
      <w:pPr>
        <w:ind w:left="864" w:hanging="864"/>
      </w:pPr>
      <w:rPr>
        <w:rFonts w:hint="eastAsia"/>
      </w:rPr>
    </w:lvl>
    <w:lvl w:ilvl="4" w:tentative="0">
      <w:start w:val="1"/>
      <w:numFmt w:val="decimal"/>
      <w:pStyle w:val="9"/>
      <w:isLgl/>
      <w:lvlText w:val="%1.%2.%3.%4.%5."/>
      <w:lvlJc w:val="left"/>
      <w:pPr>
        <w:ind w:left="1008" w:hanging="1008"/>
      </w:pPr>
      <w:rPr>
        <w:rFonts w:hint="eastAsia"/>
      </w:rPr>
    </w:lvl>
    <w:lvl w:ilvl="5" w:tentative="0">
      <w:start w:val="1"/>
      <w:numFmt w:val="decimal"/>
      <w:pStyle w:val="10"/>
      <w:isLgl/>
      <w:lvlText w:val="%1.%2.%3.%4.%5.%6."/>
      <w:lvlJc w:val="left"/>
      <w:pPr>
        <w:ind w:left="1151" w:hanging="1151"/>
      </w:pPr>
      <w:rPr>
        <w:rFonts w:hint="eastAsia"/>
      </w:rPr>
    </w:lvl>
    <w:lvl w:ilvl="6" w:tentative="0">
      <w:start w:val="1"/>
      <w:numFmt w:val="decimal"/>
      <w:pStyle w:val="11"/>
      <w:isLgl/>
      <w:lvlText w:val="%1.%2.%3.%4.%5.%6.%7."/>
      <w:lvlJc w:val="left"/>
      <w:pPr>
        <w:ind w:left="1296" w:hanging="1296"/>
      </w:pPr>
      <w:rPr>
        <w:rFonts w:hint="eastAsia"/>
      </w:rPr>
    </w:lvl>
    <w:lvl w:ilvl="7" w:tentative="0">
      <w:start w:val="1"/>
      <w:numFmt w:val="decimal"/>
      <w:pStyle w:val="12"/>
      <w:isLgl/>
      <w:lvlText w:val="%1.%2.%3.%4.%5.%6.%7.%8."/>
      <w:lvlJc w:val="left"/>
      <w:pPr>
        <w:ind w:left="1440" w:hanging="1440"/>
      </w:pPr>
      <w:rPr>
        <w:rFonts w:hint="eastAsia"/>
      </w:rPr>
    </w:lvl>
    <w:lvl w:ilvl="8" w:tentative="0">
      <w:start w:val="1"/>
      <w:numFmt w:val="decimal"/>
      <w:pStyle w:val="13"/>
      <w:isLgl/>
      <w:lvlText w:val="%1.%2.%3.%4.%5.%6.%7.%8.%9."/>
      <w:lvlJc w:val="left"/>
      <w:pPr>
        <w:ind w:left="1583" w:hanging="1583"/>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yNzI5NGJjMmNlZDc0MjNkZDE3MWZkZjUwNWExYjUifQ=="/>
  </w:docVars>
  <w:rsids>
    <w:rsidRoot w:val="00000000"/>
    <w:rsid w:val="033F7BA6"/>
    <w:rsid w:val="05742987"/>
    <w:rsid w:val="09965B1E"/>
    <w:rsid w:val="0B7F7A0A"/>
    <w:rsid w:val="0D86713A"/>
    <w:rsid w:val="0DEA1BEE"/>
    <w:rsid w:val="0F636B96"/>
    <w:rsid w:val="10AF3028"/>
    <w:rsid w:val="14D72DA7"/>
    <w:rsid w:val="152F1786"/>
    <w:rsid w:val="17F1593F"/>
    <w:rsid w:val="20EC61AE"/>
    <w:rsid w:val="2362431C"/>
    <w:rsid w:val="246A0C06"/>
    <w:rsid w:val="31C17D0E"/>
    <w:rsid w:val="33462C2F"/>
    <w:rsid w:val="396841B8"/>
    <w:rsid w:val="3A4F49E1"/>
    <w:rsid w:val="3AC9571B"/>
    <w:rsid w:val="3BC76612"/>
    <w:rsid w:val="3DC32BCC"/>
    <w:rsid w:val="3FAE21A9"/>
    <w:rsid w:val="4A775E5F"/>
    <w:rsid w:val="4B7911D9"/>
    <w:rsid w:val="4D13524E"/>
    <w:rsid w:val="4EB44311"/>
    <w:rsid w:val="4EFF199E"/>
    <w:rsid w:val="559D6FA1"/>
    <w:rsid w:val="56E46B61"/>
    <w:rsid w:val="58106F13"/>
    <w:rsid w:val="5F121547"/>
    <w:rsid w:val="6805365E"/>
    <w:rsid w:val="6AAD2EDA"/>
    <w:rsid w:val="6FAE4E42"/>
    <w:rsid w:val="71AB560E"/>
    <w:rsid w:val="75262982"/>
    <w:rsid w:val="77226FC4"/>
    <w:rsid w:val="796E001E"/>
    <w:rsid w:val="7A8B053A"/>
    <w:rsid w:val="7B400C02"/>
    <w:rsid w:val="7B5133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0"/>
    <w:pPr>
      <w:keepNext/>
      <w:keepLines/>
      <w:numPr>
        <w:ilvl w:val="0"/>
        <w:numId w:val="1"/>
      </w:numPr>
      <w:spacing w:before="340" w:beforeLines="0" w:beforeAutospacing="0" w:after="330" w:afterLines="0" w:afterAutospacing="0" w:line="576" w:lineRule="auto"/>
      <w:ind w:left="432" w:hanging="432"/>
      <w:outlineLvl w:val="0"/>
    </w:pPr>
    <w:rPr>
      <w:b/>
      <w:kern w:val="44"/>
      <w:sz w:val="44"/>
    </w:rPr>
  </w:style>
  <w:style w:type="paragraph" w:styleId="6">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75" w:hanging="575"/>
      <w:outlineLvl w:val="1"/>
    </w:pPr>
    <w:rPr>
      <w:rFonts w:ascii="Arial" w:hAnsi="Arial" w:eastAsia="黑体"/>
      <w:b/>
      <w:sz w:val="32"/>
    </w:rPr>
  </w:style>
  <w:style w:type="paragraph" w:styleId="7">
    <w:name w:val="heading 3"/>
    <w:basedOn w:val="1"/>
    <w:next w:val="1"/>
    <w:link w:val="19"/>
    <w:autoRedefine/>
    <w:semiHidden/>
    <w:unhideWhenUsed/>
    <w:qFormat/>
    <w:uiPriority w:val="0"/>
    <w:pPr>
      <w:keepNext/>
      <w:keepLines/>
      <w:numPr>
        <w:ilvl w:val="2"/>
        <w:numId w:val="1"/>
      </w:numPr>
      <w:tabs>
        <w:tab w:val="left" w:pos="0"/>
        <w:tab w:val="left" w:pos="420"/>
        <w:tab w:val="left" w:pos="680"/>
        <w:tab w:val="left" w:pos="1021"/>
        <w:tab w:val="left" w:pos="1287"/>
      </w:tabs>
      <w:spacing w:before="50" w:beforeLines="50" w:after="50" w:afterLines="50" w:line="360" w:lineRule="auto"/>
      <w:ind w:left="720" w:hanging="720" w:firstLineChars="0"/>
      <w:jc w:val="left"/>
      <w:outlineLvl w:val="2"/>
    </w:pPr>
    <w:rPr>
      <w:rFonts w:ascii="Times New Roman" w:hAnsi="Times New Roman" w:eastAsia="黑体"/>
      <w:b/>
      <w:bCs/>
      <w:sz w:val="24"/>
      <w:szCs w:val="32"/>
    </w:rPr>
  </w:style>
  <w:style w:type="paragraph" w:styleId="8">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64" w:hanging="864"/>
      <w:outlineLvl w:val="3"/>
    </w:pPr>
    <w:rPr>
      <w:rFonts w:ascii="Arial" w:hAnsi="Arial" w:eastAsia="黑体"/>
      <w:b/>
      <w:sz w:val="28"/>
    </w:rPr>
  </w:style>
  <w:style w:type="paragraph" w:styleId="9">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10">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11">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12">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3">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18">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rPr>
      <w:kern w:val="0"/>
      <w:szCs w:val="20"/>
    </w:rPr>
  </w:style>
  <w:style w:type="paragraph" w:customStyle="1" w:styleId="3">
    <w:name w:val="xl27"/>
    <w:basedOn w:val="1"/>
    <w:next w:val="4"/>
    <w:autoRedefine/>
    <w:qFormat/>
    <w:uiPriority w:val="0"/>
    <w:pPr>
      <w:widowControl/>
      <w:pBdr>
        <w:bottom w:val="single" w:color="auto" w:sz="4" w:space="0"/>
        <w:right w:val="single" w:color="auto" w:sz="4" w:space="0"/>
      </w:pBdr>
      <w:spacing w:before="100" w:beforeAutospacing="1" w:after="100" w:afterAutospacing="1"/>
      <w:jc w:val="center"/>
    </w:pPr>
    <w:rPr>
      <w:rFonts w:eastAsia="Arial Unicode MS"/>
      <w:kern w:val="0"/>
      <w:szCs w:val="21"/>
    </w:rPr>
  </w:style>
  <w:style w:type="paragraph" w:styleId="4">
    <w:name w:val="Body Text Indent 2"/>
    <w:basedOn w:val="1"/>
    <w:next w:val="1"/>
    <w:autoRedefine/>
    <w:qFormat/>
    <w:uiPriority w:val="0"/>
    <w:pPr>
      <w:spacing w:after="120" w:afterLines="0" w:line="480" w:lineRule="auto"/>
      <w:ind w:left="420" w:leftChars="200"/>
    </w:pPr>
  </w:style>
  <w:style w:type="paragraph" w:styleId="14">
    <w:name w:val="footer"/>
    <w:basedOn w:val="1"/>
    <w:autoRedefine/>
    <w:qFormat/>
    <w:uiPriority w:val="0"/>
    <w:pPr>
      <w:tabs>
        <w:tab w:val="center" w:pos="4153"/>
        <w:tab w:val="right" w:pos="8306"/>
      </w:tabs>
      <w:snapToGrid w:val="0"/>
      <w:jc w:val="left"/>
    </w:pPr>
    <w:rPr>
      <w:sz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Normal (Web)"/>
    <w:basedOn w:val="1"/>
    <w:autoRedefine/>
    <w:qFormat/>
    <w:uiPriority w:val="0"/>
    <w:rPr>
      <w:sz w:val="24"/>
    </w:rPr>
  </w:style>
  <w:style w:type="character" w:customStyle="1" w:styleId="19">
    <w:name w:val="标题 3 字符"/>
    <w:link w:val="7"/>
    <w:autoRedefine/>
    <w:qFormat/>
    <w:uiPriority w:val="0"/>
    <w:rPr>
      <w:rFonts w:ascii="Times New Roman" w:hAnsi="Times New Roman" w:eastAsia="黑体"/>
      <w:b/>
      <w:bCs/>
      <w:kern w:val="2"/>
      <w:sz w:val="24"/>
      <w:szCs w:val="32"/>
      <w:lang w:val="en-US" w:eastAsia="zh-CN" w:bidi="ar-SA"/>
    </w:rPr>
  </w:style>
  <w:style w:type="paragraph" w:customStyle="1" w:styleId="20">
    <w:name w:val="环科院正文"/>
    <w:basedOn w:val="1"/>
    <w:autoRedefine/>
    <w:qFormat/>
    <w:uiPriority w:val="99"/>
    <w:pPr>
      <w:spacing w:line="360" w:lineRule="auto"/>
      <w:ind w:firstLine="480" w:firstLineChars="200"/>
      <w:jc w:val="left"/>
    </w:pPr>
    <w:rPr>
      <w:rFonts w:ascii="宋体" w:hAnsi="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1625</Words>
  <Characters>1809</Characters>
  <Lines>0</Lines>
  <Paragraphs>0</Paragraphs>
  <TotalTime>5</TotalTime>
  <ScaleCrop>false</ScaleCrop>
  <LinksUpToDate>false</LinksUpToDate>
  <CharactersWithSpaces>1821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2022-04-18T01:41:00Z</dcterms:created>
  <dc:creator>Administrator</dc:creator>
  <cp:lastModifiedBy>....</cp:lastModifiedBy>
  <dcterms:modified xsi:type="dcterms:W3CDTF">2025-03-01T06:39:13Z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7F7F382BBD22430ABDD99457401A49E4_13</vt:lpwstr>
  </property>
</Properties>
</file>