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BB6DA7">
      <w:pPr>
        <w:pStyle w:val="11"/>
        <w:spacing w:line="560" w:lineRule="exact"/>
        <w:ind w:firstLine="640" w:firstLineChars="200"/>
        <w:jc w:val="right"/>
        <w:rPr>
          <w:rFonts w:ascii="Times New Roman" w:hAnsi="Times New Roman" w:eastAsia="仿宋_GB2312"/>
          <w:sz w:val="32"/>
          <w:szCs w:val="32"/>
        </w:rPr>
      </w:pPr>
    </w:p>
    <w:p w14:paraId="6682CDE3">
      <w:pPr>
        <w:pStyle w:val="11"/>
        <w:spacing w:line="560" w:lineRule="exact"/>
        <w:ind w:firstLine="640" w:firstLineChars="200"/>
        <w:jc w:val="right"/>
        <w:rPr>
          <w:rFonts w:ascii="Times New Roman" w:hAnsi="Times New Roman" w:eastAsia="仿宋_GB2312"/>
          <w:sz w:val="32"/>
          <w:szCs w:val="32"/>
        </w:rPr>
      </w:pPr>
    </w:p>
    <w:p w14:paraId="7BE6A3EB">
      <w:pPr>
        <w:pStyle w:val="11"/>
        <w:spacing w:line="560" w:lineRule="exact"/>
        <w:ind w:firstLine="640" w:firstLineChars="200"/>
        <w:jc w:val="right"/>
        <w:rPr>
          <w:rFonts w:ascii="Times New Roman" w:hAnsi="Times New Roman" w:eastAsia="仿宋_GB2312"/>
          <w:sz w:val="32"/>
          <w:szCs w:val="32"/>
        </w:rPr>
      </w:pPr>
    </w:p>
    <w:p w14:paraId="04D91824">
      <w:pPr>
        <w:pStyle w:val="11"/>
        <w:spacing w:line="560" w:lineRule="exact"/>
        <w:ind w:firstLine="640" w:firstLineChars="200"/>
        <w:jc w:val="right"/>
        <w:rPr>
          <w:rFonts w:ascii="Times New Roman" w:hAnsi="Times New Roman" w:eastAsia="仿宋_GB2312"/>
          <w:sz w:val="32"/>
          <w:szCs w:val="32"/>
        </w:rPr>
      </w:pPr>
      <w:r>
        <w:rPr>
          <w:rFonts w:ascii="Times New Roman" w:hAnsi="Times New Roman" w:eastAsia="仿宋_GB2312"/>
          <w:sz w:val="32"/>
          <w:szCs w:val="32"/>
        </w:rPr>
        <w:t>潭环审</w:t>
      </w:r>
      <w:r>
        <w:rPr>
          <w:rFonts w:hint="eastAsia" w:ascii="Times New Roman" w:hAnsi="Times New Roman" w:eastAsia="仿宋_GB2312"/>
          <w:sz w:val="32"/>
          <w:szCs w:val="32"/>
        </w:rPr>
        <w:t>（湘乡）</w:t>
      </w:r>
      <w:r>
        <w:rPr>
          <w:rFonts w:ascii="Times New Roman" w:hAnsi="Times New Roman" w:eastAsia="仿宋_GB2312"/>
          <w:sz w:val="32"/>
          <w:szCs w:val="32"/>
        </w:rPr>
        <w:t>〔202</w:t>
      </w:r>
      <w:r>
        <w:rPr>
          <w:rFonts w:hint="eastAsia" w:ascii="Times New Roman" w:hAnsi="Times New Roman" w:eastAsia="仿宋_GB2312"/>
          <w:sz w:val="32"/>
          <w:szCs w:val="32"/>
          <w:lang w:val="en-US" w:eastAsia="zh-CN"/>
        </w:rPr>
        <w:t>5</w:t>
      </w:r>
      <w:r>
        <w:rPr>
          <w:rFonts w:ascii="Times New Roman" w:hAnsi="Times New Roman" w:eastAsia="仿宋_GB2312"/>
          <w:sz w:val="32"/>
          <w:szCs w:val="32"/>
        </w:rPr>
        <w:t>〕</w:t>
      </w:r>
      <w:r>
        <w:rPr>
          <w:rFonts w:hint="eastAsia" w:ascii="Times New Roman" w:hAnsi="Times New Roman" w:eastAsia="仿宋_GB2312"/>
          <w:sz w:val="32"/>
          <w:szCs w:val="32"/>
        </w:rPr>
        <w:t xml:space="preserve"> </w:t>
      </w:r>
      <w:r>
        <w:rPr>
          <w:rFonts w:ascii="Times New Roman" w:hAnsi="Times New Roman" w:eastAsia="仿宋_GB2312"/>
          <w:sz w:val="32"/>
          <w:szCs w:val="32"/>
        </w:rPr>
        <w:t>号</w:t>
      </w:r>
    </w:p>
    <w:p w14:paraId="3958A6BD">
      <w:pPr>
        <w:pStyle w:val="11"/>
        <w:spacing w:line="560" w:lineRule="exact"/>
        <w:ind w:firstLine="640" w:firstLineChars="200"/>
        <w:jc w:val="right"/>
        <w:rPr>
          <w:rFonts w:ascii="Times New Roman" w:hAnsi="Times New Roman" w:eastAsia="仿宋_GB2312"/>
          <w:sz w:val="32"/>
          <w:szCs w:val="32"/>
        </w:rPr>
      </w:pPr>
    </w:p>
    <w:p w14:paraId="517C4203">
      <w:pPr>
        <w:spacing w:line="548" w:lineRule="exact"/>
        <w:ind w:firstLine="440" w:firstLineChars="100"/>
        <w:jc w:val="center"/>
        <w:rPr>
          <w:rFonts w:hint="eastAsia" w:ascii="方正小标宋简体" w:hAnsi="方正小标宋简体" w:eastAsia="方正小标宋简体" w:cs="方正小标宋简体"/>
          <w:snapToGrid w:val="0"/>
          <w:sz w:val="44"/>
          <w:szCs w:val="44"/>
          <w:lang w:bidi="ar"/>
        </w:rPr>
      </w:pPr>
      <w:r>
        <w:rPr>
          <w:rFonts w:hint="eastAsia" w:ascii="方正小标宋简体" w:hAnsi="方正小标宋简体" w:eastAsia="方正小标宋简体" w:cs="方正小标宋简体"/>
          <w:sz w:val="44"/>
          <w:szCs w:val="44"/>
        </w:rPr>
        <w:t>关于《</w:t>
      </w:r>
      <w:r>
        <w:rPr>
          <w:rFonts w:hint="eastAsia" w:ascii="方正小标宋简体" w:hAnsi="方正小标宋简体" w:eastAsia="方正小标宋简体" w:cs="方正小标宋简体"/>
          <w:sz w:val="44"/>
          <w:szCs w:val="44"/>
          <w:lang w:val="en-US" w:eastAsia="zh-CN"/>
        </w:rPr>
        <w:t>湖南裕能循环科技有限公司年产2万吨废旧锂离子电池拆解回收利用项目</w:t>
      </w:r>
      <w:r>
        <w:rPr>
          <w:rFonts w:hint="eastAsia" w:ascii="方正小标宋简体" w:hAnsi="方正小标宋简体" w:eastAsia="方正小标宋简体" w:cs="方正小标宋简体"/>
          <w:sz w:val="44"/>
          <w:szCs w:val="44"/>
        </w:rPr>
        <w:t>环境影响</w:t>
      </w:r>
      <w:r>
        <w:rPr>
          <w:rFonts w:hint="eastAsia" w:ascii="方正小标宋简体" w:hAnsi="方正小标宋简体" w:eastAsia="方正小标宋简体" w:cs="方正小标宋简体"/>
          <w:sz w:val="44"/>
          <w:szCs w:val="44"/>
          <w:lang w:eastAsia="zh-CN"/>
        </w:rPr>
        <w:t>报告书</w:t>
      </w:r>
      <w:r>
        <w:rPr>
          <w:rFonts w:hint="eastAsia" w:ascii="方正小标宋简体" w:hAnsi="方正小标宋简体" w:eastAsia="方正小标宋简体" w:cs="方正小标宋简体"/>
          <w:sz w:val="44"/>
          <w:szCs w:val="44"/>
        </w:rPr>
        <w:t>》的审批意见</w:t>
      </w:r>
    </w:p>
    <w:p w14:paraId="6BE76319">
      <w:pPr>
        <w:spacing w:line="548" w:lineRule="exact"/>
        <w:ind w:firstLine="640" w:firstLineChars="200"/>
        <w:rPr>
          <w:rFonts w:ascii="Times New Roman" w:hAnsi="Times New Roman" w:eastAsia="仿宋_GB2312"/>
          <w:sz w:val="32"/>
          <w:szCs w:val="32"/>
        </w:rPr>
      </w:pPr>
    </w:p>
    <w:p w14:paraId="482922BF">
      <w:pPr>
        <w:spacing w:line="548" w:lineRule="exact"/>
        <w:rPr>
          <w:rFonts w:ascii="Times New Roman" w:hAnsi="Times New Roman" w:eastAsia="仿宋_GB2312"/>
          <w:sz w:val="32"/>
          <w:szCs w:val="32"/>
          <w:highlight w:val="none"/>
        </w:rPr>
      </w:pPr>
      <w:r>
        <w:rPr>
          <w:rFonts w:hint="eastAsia" w:ascii="Times New Roman" w:hAnsi="Times New Roman" w:eastAsia="仿宋_GB2312" w:cs="Times New Roman"/>
          <w:sz w:val="32"/>
          <w:szCs w:val="32"/>
          <w:highlight w:val="none"/>
          <w:lang w:val="en-US" w:eastAsia="zh-CN"/>
        </w:rPr>
        <w:t>湖南裕能循环科技有限公司</w:t>
      </w:r>
      <w:r>
        <w:rPr>
          <w:rFonts w:ascii="Times New Roman" w:hAnsi="Times New Roman" w:eastAsia="仿宋_GB2312"/>
          <w:sz w:val="32"/>
          <w:szCs w:val="32"/>
          <w:highlight w:val="none"/>
        </w:rPr>
        <w:t>：</w:t>
      </w:r>
    </w:p>
    <w:p w14:paraId="67D1CEA3">
      <w:pPr>
        <w:spacing w:line="548" w:lineRule="exact"/>
        <w:ind w:firstLine="640" w:firstLineChars="200"/>
        <w:rPr>
          <w:rFonts w:ascii="Times New Roman" w:hAnsi="Times New Roman" w:eastAsia="仿宋_GB2312"/>
          <w:sz w:val="32"/>
          <w:szCs w:val="32"/>
          <w:highlight w:val="none"/>
        </w:rPr>
      </w:pPr>
      <w:r>
        <w:rPr>
          <w:rFonts w:ascii="Times New Roman" w:hAnsi="Times New Roman" w:eastAsia="仿宋_GB2312"/>
          <w:sz w:val="32"/>
          <w:szCs w:val="32"/>
          <w:highlight w:val="none"/>
        </w:rPr>
        <w:t>你公司报批由</w:t>
      </w:r>
      <w:r>
        <w:rPr>
          <w:rFonts w:hint="eastAsia" w:ascii="Times New Roman" w:hAnsi="Times New Roman" w:eastAsia="仿宋_GB2312"/>
          <w:sz w:val="32"/>
          <w:szCs w:val="32"/>
          <w:highlight w:val="none"/>
          <w:lang w:eastAsia="zh-CN"/>
        </w:rPr>
        <w:t>湖南三方环境科技有限公司</w:t>
      </w:r>
      <w:r>
        <w:rPr>
          <w:rFonts w:hint="eastAsia" w:ascii="Times New Roman" w:hAnsi="Times New Roman" w:eastAsia="仿宋_GB2312" w:cs="Times New Roman"/>
          <w:sz w:val="32"/>
          <w:szCs w:val="32"/>
          <w:highlight w:val="none"/>
          <w:lang w:val="en-US" w:eastAsia="zh-CN"/>
        </w:rPr>
        <w:t>编制的《湖南裕能循环科技有限公司年产2万吨废旧锂离子电池拆解回收利用项目</w:t>
      </w:r>
      <w:r>
        <w:rPr>
          <w:rFonts w:ascii="Times New Roman" w:hAnsi="Times New Roman" w:eastAsia="仿宋_GB2312"/>
          <w:sz w:val="32"/>
          <w:szCs w:val="32"/>
          <w:highlight w:val="none"/>
        </w:rPr>
        <w:t>环境影响</w:t>
      </w:r>
      <w:r>
        <w:rPr>
          <w:rFonts w:hint="eastAsia" w:ascii="Times New Roman" w:hAnsi="Times New Roman" w:eastAsia="仿宋_GB2312"/>
          <w:sz w:val="32"/>
          <w:szCs w:val="32"/>
          <w:highlight w:val="none"/>
          <w:lang w:eastAsia="zh-CN"/>
        </w:rPr>
        <w:t>报告书</w:t>
      </w:r>
      <w:r>
        <w:rPr>
          <w:rFonts w:ascii="Times New Roman" w:hAnsi="Times New Roman" w:eastAsia="仿宋_GB2312"/>
          <w:sz w:val="32"/>
          <w:szCs w:val="32"/>
          <w:highlight w:val="none"/>
        </w:rPr>
        <w:t>》（以下简称</w:t>
      </w:r>
      <w:r>
        <w:rPr>
          <w:rFonts w:hint="eastAsia" w:ascii="Times New Roman" w:hAnsi="Times New Roman" w:eastAsia="仿宋_GB2312"/>
          <w:sz w:val="32"/>
          <w:szCs w:val="32"/>
          <w:highlight w:val="none"/>
          <w:lang w:eastAsia="zh-CN"/>
        </w:rPr>
        <w:t>报告书</w:t>
      </w:r>
      <w:r>
        <w:rPr>
          <w:rFonts w:ascii="Times New Roman" w:hAnsi="Times New Roman" w:eastAsia="仿宋_GB2312"/>
          <w:sz w:val="32"/>
          <w:szCs w:val="32"/>
          <w:highlight w:val="none"/>
        </w:rPr>
        <w:t>）及项目申请批复的报告</w:t>
      </w:r>
      <w:r>
        <w:rPr>
          <w:rFonts w:hint="eastAsia" w:ascii="Times New Roman" w:hAnsi="Times New Roman" w:eastAsia="仿宋_GB2312"/>
          <w:sz w:val="32"/>
          <w:szCs w:val="32"/>
          <w:highlight w:val="none"/>
        </w:rPr>
        <w:t>等</w:t>
      </w:r>
      <w:r>
        <w:rPr>
          <w:rFonts w:ascii="Times New Roman" w:hAnsi="Times New Roman" w:eastAsia="仿宋_GB2312"/>
          <w:sz w:val="32"/>
          <w:szCs w:val="32"/>
          <w:highlight w:val="none"/>
        </w:rPr>
        <w:t>相关附件已收悉。经研究，提出如下审批意见：</w:t>
      </w:r>
    </w:p>
    <w:p w14:paraId="6019A5B4">
      <w:pPr>
        <w:spacing w:line="560" w:lineRule="exact"/>
        <w:ind w:firstLine="640" w:firstLineChars="200"/>
        <w:rPr>
          <w:rFonts w:ascii="Times New Roman" w:hAnsi="Times New Roman" w:eastAsia="仿宋_GB2312"/>
          <w:sz w:val="32"/>
          <w:szCs w:val="32"/>
          <w:highlight w:val="yellow"/>
        </w:rPr>
      </w:pPr>
      <w:r>
        <w:rPr>
          <w:rFonts w:hint="eastAsia" w:ascii="Times New Roman" w:hAnsi="Times New Roman" w:eastAsia="仿宋_GB2312"/>
          <w:sz w:val="32"/>
          <w:szCs w:val="32"/>
          <w:highlight w:val="none"/>
          <w:lang w:val="en-US" w:eastAsia="zh-CN"/>
        </w:rPr>
        <w:t>湖南裕能循环科技有限公司拟</w:t>
      </w:r>
      <w:r>
        <w:rPr>
          <w:rFonts w:hint="default" w:ascii="Times New Roman" w:hAnsi="Times New Roman" w:eastAsia="仿宋_GB2312"/>
          <w:sz w:val="32"/>
          <w:szCs w:val="32"/>
          <w:highlight w:val="none"/>
        </w:rPr>
        <w:t>投资</w:t>
      </w:r>
      <w:r>
        <w:rPr>
          <w:rFonts w:hint="eastAsia" w:ascii="Times New Roman" w:hAnsi="Times New Roman" w:eastAsia="仿宋_GB2312"/>
          <w:sz w:val="32"/>
          <w:szCs w:val="32"/>
          <w:highlight w:val="none"/>
          <w:lang w:val="en-US" w:eastAsia="zh-CN"/>
        </w:rPr>
        <w:t>15000</w:t>
      </w:r>
      <w:r>
        <w:rPr>
          <w:rFonts w:hint="default" w:ascii="Times New Roman" w:hAnsi="Times New Roman" w:eastAsia="仿宋_GB2312"/>
          <w:sz w:val="32"/>
          <w:szCs w:val="32"/>
          <w:highlight w:val="none"/>
        </w:rPr>
        <w:t>万元</w:t>
      </w:r>
      <w:r>
        <w:rPr>
          <w:rFonts w:hint="eastAsia" w:ascii="Times New Roman" w:hAnsi="Times New Roman" w:eastAsia="仿宋_GB2312"/>
          <w:sz w:val="32"/>
          <w:szCs w:val="32"/>
          <w:highlight w:val="none"/>
          <w:lang w:val="en-US" w:eastAsia="zh-CN"/>
        </w:rPr>
        <w:t>在湖南湘乡经济开发区大将北路168号建设</w:t>
      </w:r>
      <w:bookmarkStart w:id="0" w:name="_GoBack"/>
      <w:bookmarkEnd w:id="0"/>
      <w:r>
        <w:rPr>
          <w:rFonts w:hint="eastAsia" w:ascii="Times New Roman" w:hAnsi="Times New Roman" w:eastAsia="仿宋_GB2312"/>
          <w:sz w:val="32"/>
          <w:szCs w:val="32"/>
          <w:highlight w:val="none"/>
          <w:lang w:val="en-US" w:eastAsia="zh-CN"/>
        </w:rPr>
        <w:t>年产2万吨废旧锂离子电池拆解回收利用项目。占地面积约62亩，主要设置电池拆解回收仓库和电池拆解回收车间等，建设年拆解</w:t>
      </w:r>
      <w:r>
        <w:rPr>
          <w:rFonts w:hint="eastAsia" w:ascii="Times New Roman" w:hAnsi="Times New Roman" w:eastAsia="仿宋_GB2312"/>
          <w:sz w:val="32"/>
          <w:szCs w:val="32"/>
          <w:highlight w:val="none"/>
          <w:lang w:val="en-US" w:eastAsia="zh-CN"/>
        </w:rPr>
        <w:t>2万吨废旧锂离子电池</w:t>
      </w:r>
      <w:r>
        <w:rPr>
          <w:rFonts w:hint="eastAsia" w:ascii="Times New Roman" w:hAnsi="Times New Roman" w:eastAsia="仿宋_GB2312"/>
          <w:sz w:val="32"/>
          <w:szCs w:val="32"/>
          <w:highlight w:val="none"/>
          <w:lang w:val="en-US" w:eastAsia="zh-CN"/>
        </w:rPr>
        <w:t>生产线。主要生产设备为电池切壳机、</w:t>
      </w:r>
      <w:r>
        <w:rPr>
          <w:rFonts w:hint="eastAsia" w:ascii="Times New Roman" w:hAnsi="Times New Roman" w:eastAsia="仿宋_GB2312" w:cs="Times New Roman"/>
          <w:sz w:val="32"/>
          <w:szCs w:val="32"/>
          <w:highlight w:val="none"/>
          <w:lang w:val="en-US" w:eastAsia="zh-CN"/>
        </w:rPr>
        <w:t>电芯分离机、低温隧道炉、输送机、破碎机、锤破机、筛分机、风选机、磁选机、研磨机、回转窑等，通过去壳→破碎→热解→筛选→研磨→筛分→焙烧→包装等工序拆解回收得到产品黑粉、正极粉和负极粉，副产品铝粒和铜粒</w:t>
      </w:r>
      <w:r>
        <w:rPr>
          <w:rFonts w:hint="eastAsia" w:ascii="Times New Roman" w:hAnsi="Times New Roman" w:eastAsia="仿宋_GB2312"/>
          <w:sz w:val="32"/>
          <w:szCs w:val="32"/>
          <w:highlight w:val="none"/>
          <w:lang w:val="en-US" w:eastAsia="zh-CN"/>
        </w:rPr>
        <w:t>。</w:t>
      </w:r>
    </w:p>
    <w:p w14:paraId="198F1D4E">
      <w:pPr>
        <w:spacing w:line="548" w:lineRule="exact"/>
        <w:ind w:firstLine="640" w:firstLineChars="200"/>
        <w:rPr>
          <w:rFonts w:hint="eastAsia" w:ascii="Times New Roman" w:hAnsi="Times New Roman" w:eastAsia="仿宋_GB2312"/>
          <w:sz w:val="32"/>
          <w:szCs w:val="32"/>
          <w:highlight w:val="none"/>
        </w:rPr>
      </w:pPr>
    </w:p>
    <w:p w14:paraId="7A30AAD6">
      <w:pPr>
        <w:spacing w:line="548" w:lineRule="exact"/>
        <w:ind w:firstLine="640" w:firstLineChars="200"/>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经查阅《产业结构调整指导目录（2024年本）》，该项目属于鼓励类</w:t>
      </w:r>
      <w:r>
        <w:rPr>
          <w:rFonts w:hint="eastAsia" w:ascii="Times New Roman" w:hAnsi="Times New Roman" w:eastAsia="仿宋_GB2312"/>
          <w:sz w:val="32"/>
          <w:szCs w:val="32"/>
          <w:highlight w:val="none"/>
        </w:rPr>
        <w:t>项目</w:t>
      </w:r>
      <w:r>
        <w:rPr>
          <w:rFonts w:hint="eastAsia" w:ascii="Times New Roman" w:hAnsi="Times New Roman" w:eastAsia="仿宋_GB2312"/>
          <w:sz w:val="32"/>
          <w:szCs w:val="32"/>
          <w:highlight w:val="none"/>
        </w:rPr>
        <w:t>，符合国家产业政策要求。根据环评文件结论和专家评审意见，从环境保护的角度分析，同意按</w:t>
      </w:r>
      <w:r>
        <w:rPr>
          <w:rFonts w:hint="eastAsia" w:ascii="Times New Roman" w:hAnsi="Times New Roman" w:eastAsia="仿宋_GB2312"/>
          <w:sz w:val="32"/>
          <w:szCs w:val="32"/>
          <w:highlight w:val="none"/>
          <w:lang w:eastAsia="zh-CN"/>
        </w:rPr>
        <w:t>报告书</w:t>
      </w:r>
      <w:r>
        <w:rPr>
          <w:rFonts w:hint="eastAsia" w:ascii="Times New Roman" w:hAnsi="Times New Roman" w:eastAsia="仿宋_GB2312"/>
          <w:sz w:val="32"/>
          <w:szCs w:val="32"/>
          <w:highlight w:val="none"/>
        </w:rPr>
        <w:t>中所列建设内容建设。</w:t>
      </w:r>
    </w:p>
    <w:p w14:paraId="2A7329DC">
      <w:pPr>
        <w:spacing w:line="548" w:lineRule="exact"/>
        <w:ind w:firstLine="640" w:firstLineChars="200"/>
        <w:rPr>
          <w:rFonts w:ascii="Times New Roman" w:hAnsi="Times New Roman" w:eastAsia="仿宋_GB2312"/>
          <w:sz w:val="32"/>
          <w:szCs w:val="32"/>
          <w:highlight w:val="none"/>
        </w:rPr>
      </w:pPr>
      <w:r>
        <w:rPr>
          <w:rFonts w:ascii="Times New Roman" w:hAnsi="Times New Roman" w:eastAsia="仿宋_GB2312"/>
          <w:sz w:val="32"/>
          <w:szCs w:val="32"/>
          <w:highlight w:val="none"/>
        </w:rPr>
        <w:t>二、在项目施工和营运期间，建设单位必须落实</w:t>
      </w:r>
      <w:r>
        <w:rPr>
          <w:rFonts w:hint="eastAsia" w:ascii="Times New Roman" w:hAnsi="Times New Roman" w:eastAsia="仿宋_GB2312"/>
          <w:sz w:val="32"/>
          <w:szCs w:val="32"/>
          <w:highlight w:val="none"/>
          <w:lang w:eastAsia="zh-CN"/>
        </w:rPr>
        <w:t>报告书</w:t>
      </w:r>
      <w:r>
        <w:rPr>
          <w:rFonts w:ascii="Times New Roman" w:hAnsi="Times New Roman" w:eastAsia="仿宋_GB2312"/>
          <w:sz w:val="32"/>
          <w:szCs w:val="32"/>
          <w:highlight w:val="none"/>
        </w:rPr>
        <w:t>中提出的各项环保要求，确保各项污染物稳定达标排放，并重点做好以下工作：</w:t>
      </w:r>
    </w:p>
    <w:p w14:paraId="571E38E1">
      <w:pPr>
        <w:spacing w:line="548" w:lineRule="exact"/>
        <w:ind w:firstLine="640" w:firstLineChars="200"/>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1、水污染防治工作。严格按照“雨污分流”、“污污分流”原则建设厂区排水管网。生产废水经收集处理后全部回用，不外排。生活污水经隔油池、化粪池处理后接市政污水管网排入红仑新型产业园污水处理厂处理，生活污水执行《污水综合排放标准》（GB 8978-1996）中三级标准。</w:t>
      </w:r>
    </w:p>
    <w:p w14:paraId="60C30610">
      <w:pPr>
        <w:spacing w:line="548" w:lineRule="exact"/>
        <w:ind w:firstLine="640" w:firstLineChars="200"/>
        <w:rPr>
          <w:rFonts w:ascii="Times New Roman" w:hAnsi="Times New Roman" w:eastAsia="仿宋_GB2312"/>
          <w:sz w:val="32"/>
          <w:szCs w:val="32"/>
          <w:highlight w:val="yellow"/>
        </w:rPr>
      </w:pPr>
      <w:r>
        <w:rPr>
          <w:rFonts w:hint="eastAsia" w:ascii="Times New Roman" w:hAnsi="Times New Roman" w:eastAsia="仿宋_GB2312"/>
          <w:sz w:val="32"/>
          <w:szCs w:val="32"/>
          <w:highlight w:val="none"/>
        </w:rPr>
        <w:t>2、大气污染防治工作。</w:t>
      </w:r>
      <w:r>
        <w:rPr>
          <w:rFonts w:hint="eastAsia" w:ascii="Times New Roman" w:hAnsi="Times New Roman" w:eastAsia="仿宋_GB2312" w:cs="Times New Roman"/>
          <w:sz w:val="32"/>
          <w:szCs w:val="32"/>
          <w:highlight w:val="none"/>
        </w:rPr>
        <w:t>精细化拆解线废气先经“密闭空间负压收集+三级活性炭吸附箱”处理后再通入“碱液吸收塔+除雾器”处理</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lang w:val="en-US" w:eastAsia="zh-CN"/>
        </w:rPr>
        <w:t>低温烘干废气及电池破碎线一、二次破碎废气先经“密闭空间负压收集+低温布袋除尘器”处理后再通入“直接燃烧（TO）+急冷塔+碱液吸收塔+除雾器”处理，电池破碎线热解废气</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lang w:val="en-US" w:eastAsia="zh-CN"/>
        </w:rPr>
        <w:t>电池黑粉及正极粉高温焙烧废气先经“密闭空间负压收集+高温滤筒除尘器”处理后再通入“直接燃烧（TO）+急冷塔+碱液吸收塔+除雾器”处理</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lang w:val="en-US" w:eastAsia="zh-CN"/>
        </w:rPr>
        <w:t>直接燃烧（TO）天然气燃烧废气经碱液吸收塔+除雾器处理后</w:t>
      </w:r>
      <w:r>
        <w:rPr>
          <w:rFonts w:hint="eastAsia" w:ascii="Times New Roman" w:hAnsi="Times New Roman" w:eastAsia="仿宋_GB2312"/>
          <w:sz w:val="32"/>
          <w:szCs w:val="32"/>
          <w:highlight w:val="none"/>
        </w:rPr>
        <w:t>一起由1根20m高排气筒（DA014）排放；破碎线工艺粉尘经布袋除尘器处理达标后再通过20m高排气筒（DA015）排放；高温热解及焙烧工序</w:t>
      </w:r>
      <w:r>
        <w:rPr>
          <w:rFonts w:hint="eastAsia" w:ascii="Times New Roman" w:hAnsi="Times New Roman" w:eastAsia="仿宋_GB2312"/>
          <w:sz w:val="32"/>
          <w:szCs w:val="32"/>
          <w:highlight w:val="none"/>
          <w:lang w:val="en-US" w:eastAsia="zh-CN"/>
        </w:rPr>
        <w:t>回转窑</w:t>
      </w:r>
      <w:r>
        <w:rPr>
          <w:rFonts w:hint="eastAsia" w:ascii="Times New Roman" w:hAnsi="Times New Roman" w:eastAsia="仿宋_GB2312"/>
          <w:sz w:val="32"/>
          <w:szCs w:val="32"/>
          <w:highlight w:val="none"/>
        </w:rPr>
        <w:t>天然气燃烧废气经15m高排气筒（DA016）排放</w:t>
      </w:r>
      <w:r>
        <w:rPr>
          <w:rFonts w:hint="eastAsia" w:ascii="Times New Roman" w:hAnsi="Times New Roman" w:eastAsia="仿宋_GB2312"/>
          <w:sz w:val="32"/>
          <w:szCs w:val="32"/>
          <w:highlight w:val="none"/>
          <w:lang w:eastAsia="zh-CN"/>
        </w:rPr>
        <w:t>；高温焙烧投料粉尘经布袋除尘处理后无组织排放</w:t>
      </w:r>
      <w:r>
        <w:rPr>
          <w:rFonts w:hint="eastAsia" w:ascii="Times New Roman" w:hAnsi="Times New Roman" w:eastAsia="仿宋_GB2312"/>
          <w:sz w:val="32"/>
          <w:szCs w:val="32"/>
          <w:highlight w:val="none"/>
        </w:rPr>
        <w:t>。有组织排放综合废气（DA014）、</w:t>
      </w:r>
      <w:r>
        <w:rPr>
          <w:rFonts w:hint="eastAsia" w:ascii="Times New Roman" w:hAnsi="Times New Roman" w:eastAsia="仿宋_GB2312"/>
          <w:sz w:val="32"/>
          <w:szCs w:val="32"/>
          <w:highlight w:val="none"/>
          <w:lang w:val="en-US" w:eastAsia="zh-CN"/>
        </w:rPr>
        <w:t>热解及焙烧</w:t>
      </w:r>
      <w:r>
        <w:rPr>
          <w:rFonts w:hint="eastAsia" w:ascii="Times New Roman" w:hAnsi="Times New Roman" w:eastAsia="仿宋_GB2312"/>
          <w:sz w:val="32"/>
          <w:szCs w:val="32"/>
          <w:highlight w:val="none"/>
        </w:rPr>
        <w:t>回转窑天然气燃烧废气（DA01</w:t>
      </w:r>
      <w:r>
        <w:rPr>
          <w:rFonts w:hint="eastAsia" w:ascii="Times New Roman" w:hAnsi="Times New Roman" w:eastAsia="仿宋_GB2312"/>
          <w:sz w:val="32"/>
          <w:szCs w:val="32"/>
          <w:highlight w:val="none"/>
          <w:lang w:val="en-US" w:eastAsia="zh-CN"/>
        </w:rPr>
        <w:t>6</w:t>
      </w:r>
      <w:r>
        <w:rPr>
          <w:rFonts w:hint="eastAsia" w:ascii="Times New Roman" w:hAnsi="Times New Roman" w:eastAsia="仿宋_GB2312"/>
          <w:sz w:val="32"/>
          <w:szCs w:val="32"/>
          <w:highlight w:val="none"/>
        </w:rPr>
        <w:t>）二氧化硫、氮氧化物、颗粒物执行湖南省地标《工业炉窑主要大气污染物排放标准》（DB43/3082-2024）表4有色金属废弃资源综合利用工业炉窑标准限值；综合废气（DA014）的氟化物执行《工业炉窑大气污染物排放标准》（GB9078-1996）表 4 排放限值；综合废气（DA014）的非甲烷总烃、硫酸雾执行《大气污染物综合排放标准》（GB16297-1996）表2 二级排放限值；破碎线工艺粉尘（DA01</w:t>
      </w:r>
      <w:r>
        <w:rPr>
          <w:rFonts w:hint="eastAsia" w:ascii="Times New Roman" w:hAnsi="Times New Roman" w:eastAsia="仿宋_GB2312"/>
          <w:sz w:val="32"/>
          <w:szCs w:val="32"/>
          <w:highlight w:val="none"/>
          <w:lang w:val="en-US" w:eastAsia="zh-CN"/>
        </w:rPr>
        <w:t>5</w:t>
      </w:r>
      <w:r>
        <w:rPr>
          <w:rFonts w:hint="eastAsia" w:ascii="Times New Roman" w:hAnsi="Times New Roman" w:eastAsia="仿宋_GB2312"/>
          <w:sz w:val="32"/>
          <w:szCs w:val="32"/>
          <w:highlight w:val="none"/>
        </w:rPr>
        <w:t>）的颗粒物执行《大气污染物综合排放标准》（GB16297-1996）表2 二级排放限值；</w:t>
      </w:r>
      <w:r>
        <w:rPr>
          <w:rFonts w:hint="eastAsia" w:ascii="Times New Roman" w:hAnsi="Times New Roman" w:eastAsia="仿宋_GB2312"/>
          <w:sz w:val="32"/>
          <w:szCs w:val="32"/>
          <w:highlight w:val="none"/>
          <w:lang w:val="en-US" w:eastAsia="zh-CN"/>
        </w:rPr>
        <w:t>无组织</w:t>
      </w:r>
      <w:r>
        <w:rPr>
          <w:rFonts w:hint="eastAsia" w:ascii="Times New Roman" w:hAnsi="Times New Roman" w:eastAsia="仿宋_GB2312"/>
          <w:sz w:val="32"/>
          <w:szCs w:val="32"/>
          <w:highlight w:val="none"/>
        </w:rPr>
        <w:t>厂内挥发性有机物（以非甲烷总烃表征）执行《挥发性有机物无组织排放控制标准》（GB37822-2019）表 A.1 规定的排放限值；厂界颗粒物、非甲烷总烃、氟化物、硫酸雾执行《大气污染物综合排放标准》（GB16297-1996）表2无组织排放限值</w:t>
      </w:r>
      <w:r>
        <w:rPr>
          <w:rFonts w:ascii="Times New Roman" w:hAnsi="Times New Roman" w:eastAsia="仿宋_GB2312"/>
          <w:sz w:val="32"/>
          <w:szCs w:val="32"/>
          <w:highlight w:val="none"/>
        </w:rPr>
        <w:t>。</w:t>
      </w:r>
    </w:p>
    <w:p w14:paraId="65B9936D">
      <w:pPr>
        <w:pStyle w:val="9"/>
        <w:ind w:firstLine="640" w:firstLineChars="200"/>
        <w:rPr>
          <w:rFonts w:hint="eastAsia"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3、噪声污染防治工作。优化设备选型、合理布局高噪声设备，对高噪声设备采取基础减振、厂房封闭隔音、消声降噪等措施，确保厂界西侧、南侧满足《工业企业厂界环境噪声排放标准》（GB12348-2008）中3类标准，厂界北侧、东侧靠近城市干道，确保满足《工业企业厂界环境噪声排放标准》（GB12348-2008）中4类标准。</w:t>
      </w:r>
    </w:p>
    <w:p w14:paraId="3C8546F0">
      <w:pPr>
        <w:pStyle w:val="9"/>
        <w:ind w:firstLine="640" w:firstLineChars="200"/>
        <w:rPr>
          <w:rFonts w:hint="eastAsia"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4、固体废物污染防治工作。一般固废外壳、线束、单体组件及模组组件</w:t>
      </w:r>
      <w:r>
        <w:rPr>
          <w:rFonts w:hint="eastAsia" w:ascii="Times New Roman" w:hAnsi="Times New Roman" w:eastAsia="仿宋_GB2312" w:cs="Times New Roman"/>
          <w:color w:val="auto"/>
          <w:sz w:val="32"/>
          <w:szCs w:val="32"/>
          <w:highlight w:val="none"/>
          <w:lang w:eastAsia="zh-CN"/>
        </w:rPr>
        <w:t>、废隔膜、废布袋</w:t>
      </w:r>
      <w:r>
        <w:rPr>
          <w:rFonts w:hint="eastAsia" w:ascii="Times New Roman" w:hAnsi="Times New Roman" w:eastAsia="仿宋_GB2312" w:cs="Times New Roman"/>
          <w:color w:val="auto"/>
          <w:sz w:val="32"/>
          <w:szCs w:val="32"/>
          <w:highlight w:val="none"/>
        </w:rPr>
        <w:t>经统一收集后作为一般固废外售</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除尘灰分工序回用于生产；</w:t>
      </w:r>
      <w:r>
        <w:rPr>
          <w:rFonts w:hint="eastAsia" w:ascii="Times New Roman" w:hAnsi="Times New Roman" w:eastAsia="仿宋_GB2312" w:cs="Times New Roman"/>
          <w:color w:val="auto"/>
          <w:sz w:val="32"/>
          <w:szCs w:val="32"/>
          <w:highlight w:val="none"/>
          <w:lang w:eastAsia="zh-CN"/>
        </w:rPr>
        <w:t>喷淋沉渣收集后</w:t>
      </w:r>
      <w:r>
        <w:rPr>
          <w:rFonts w:hint="eastAsia" w:ascii="Times New Roman" w:hAnsi="Times New Roman" w:eastAsia="仿宋_GB2312" w:cs="Times New Roman"/>
          <w:color w:val="auto"/>
          <w:sz w:val="32"/>
          <w:szCs w:val="32"/>
          <w:highlight w:val="none"/>
          <w:lang w:val="en-US" w:eastAsia="zh-CN"/>
        </w:rPr>
        <w:t>交由环卫部门处置</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rPr>
        <w:t>危险废物废冷却液、废活性炭、废润滑油、废矿物油及含矿物油废物等分类、分区暂存于危废暂存间内，定期委托有资质单位处理。一般固体废物暂存、处置需满足《一般工业固体废物贮存和填埋污染控制标准》（GB18599-2020）相关要求；危险废物暂存、处置需满足《危险废物贮存污染控制标准》（18597-2023）相关要求。项目生活垃圾收集后由环卫部门定期清运。</w:t>
      </w:r>
    </w:p>
    <w:p w14:paraId="72E74668">
      <w:pPr>
        <w:pStyle w:val="9"/>
        <w:ind w:firstLine="640" w:firstLineChars="200"/>
        <w:rPr>
          <w:rFonts w:hint="eastAsia"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5、严格环境管理。加强日常环保管理和环境风险防范与应急。制定完善的突发环境事件应急预案。设置足够容量的事故应急池，确保事故废水不排入环境。当发生突发环境事件时，应当立即采取措施处理，及时通报可能受到危害的单位和居民，并向生态环境部门报告。建立环境监测计划，定期进行污染源监测和环境质量监测。</w:t>
      </w:r>
    </w:p>
    <w:p w14:paraId="6D00766C">
      <w:pPr>
        <w:pStyle w:val="9"/>
        <w:ind w:firstLine="640" w:firstLineChars="200"/>
        <w:rPr>
          <w:rFonts w:hint="eastAsia"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三、依据总量部门审核文件，该项目实施后核定公司主要污染物年排放总量为</w:t>
      </w:r>
      <w:r>
        <w:rPr>
          <w:rFonts w:hint="eastAsia"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rPr>
        <w:t>SO</w:t>
      </w:r>
      <w:r>
        <w:rPr>
          <w:rFonts w:hint="default" w:ascii="Times New Roman" w:hAnsi="Times New Roman" w:eastAsia="仿宋_GB2312" w:cs="Times New Roman"/>
          <w:color w:val="auto"/>
          <w:sz w:val="32"/>
          <w:szCs w:val="32"/>
          <w:highlight w:val="none"/>
          <w:vertAlign w:val="subscript"/>
        </w:rPr>
        <w:t>2</w:t>
      </w:r>
      <w:r>
        <w:rPr>
          <w:rFonts w:hint="eastAsia"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val="en-US" w:eastAsia="zh-CN"/>
        </w:rPr>
        <w:t>3.2t/a；</w:t>
      </w:r>
      <w:r>
        <w:rPr>
          <w:rFonts w:hint="default" w:ascii="Times New Roman" w:hAnsi="Times New Roman" w:eastAsia="仿宋_GB2312" w:cs="Times New Roman"/>
          <w:color w:val="auto"/>
          <w:sz w:val="32"/>
          <w:szCs w:val="32"/>
          <w:highlight w:val="none"/>
        </w:rPr>
        <w:t>NO</w:t>
      </w:r>
      <w:r>
        <w:rPr>
          <w:rFonts w:hint="default" w:ascii="Times New Roman" w:hAnsi="Times New Roman" w:eastAsia="仿宋_GB2312" w:cs="Times New Roman"/>
          <w:color w:val="auto"/>
          <w:sz w:val="32"/>
          <w:szCs w:val="32"/>
          <w:highlight w:val="none"/>
          <w:vertAlign w:val="subscript"/>
        </w:rPr>
        <w:t>X</w:t>
      </w:r>
      <w:r>
        <w:rPr>
          <w:rFonts w:hint="eastAsia"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val="en-US" w:eastAsia="zh-CN"/>
        </w:rPr>
        <w:t>6.7t/a；</w:t>
      </w:r>
      <w:r>
        <w:rPr>
          <w:rFonts w:hint="eastAsia" w:ascii="Times New Roman" w:hAnsi="Times New Roman" w:eastAsia="仿宋_GB2312" w:cs="Times New Roman"/>
          <w:color w:val="auto"/>
          <w:sz w:val="32"/>
          <w:szCs w:val="32"/>
          <w:highlight w:val="none"/>
        </w:rPr>
        <w:t>VOCs≤</w:t>
      </w:r>
      <w:r>
        <w:rPr>
          <w:rFonts w:hint="eastAsia" w:ascii="Times New Roman" w:hAnsi="Times New Roman" w:eastAsia="仿宋_GB2312" w:cs="Times New Roman"/>
          <w:color w:val="auto"/>
          <w:sz w:val="32"/>
          <w:szCs w:val="32"/>
          <w:highlight w:val="none"/>
          <w:lang w:val="en-US" w:eastAsia="zh-CN"/>
        </w:rPr>
        <w:t>7.663</w:t>
      </w:r>
      <w:r>
        <w:rPr>
          <w:rFonts w:hint="eastAsia" w:ascii="Times New Roman" w:hAnsi="Times New Roman" w:eastAsia="仿宋_GB2312" w:cs="Times New Roman"/>
          <w:color w:val="auto"/>
          <w:sz w:val="32"/>
          <w:szCs w:val="32"/>
          <w:highlight w:val="none"/>
        </w:rPr>
        <w:t>t/a。</w:t>
      </w:r>
    </w:p>
    <w:p w14:paraId="40D4ED22">
      <w:pPr>
        <w:pStyle w:val="9"/>
        <w:ind w:firstLine="640" w:firstLineChars="200"/>
        <w:rPr>
          <w:rFonts w:hint="eastAsia"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四、建设单位须严格执行“排污许可”、“三同时”管理规定及相关环境管理制度。建设单位应当在启动生产设施或者在实际排污之前按规定要求办理排污许可，并按照要求自行组织竣工环境保护验收；建设单位须按照排污许可管理要求定期完成企业自行监测及执行报告提交。项目建设和</w:t>
      </w:r>
      <w:r>
        <w:rPr>
          <w:rFonts w:hint="eastAsia" w:ascii="Times New Roman" w:hAnsi="Times New Roman" w:eastAsia="仿宋_GB2312" w:cs="Times New Roman"/>
          <w:color w:val="auto"/>
          <w:sz w:val="32"/>
          <w:szCs w:val="32"/>
          <w:highlight w:val="none"/>
          <w:lang w:eastAsia="zh-CN"/>
        </w:rPr>
        <w:t>运营</w:t>
      </w:r>
      <w:r>
        <w:rPr>
          <w:rFonts w:hint="eastAsia" w:ascii="Times New Roman" w:hAnsi="Times New Roman" w:eastAsia="仿宋_GB2312" w:cs="Times New Roman"/>
          <w:color w:val="auto"/>
          <w:sz w:val="32"/>
          <w:szCs w:val="32"/>
          <w:highlight w:val="none"/>
        </w:rPr>
        <w:t>期的日常监督和管理由</w:t>
      </w:r>
      <w:r>
        <w:rPr>
          <w:rFonts w:hint="eastAsia" w:ascii="Times New Roman" w:hAnsi="Times New Roman" w:eastAsia="仿宋_GB2312" w:cs="Times New Roman"/>
          <w:color w:val="auto"/>
          <w:sz w:val="32"/>
          <w:szCs w:val="32"/>
          <w:highlight w:val="none"/>
          <w:lang w:eastAsia="zh-CN"/>
        </w:rPr>
        <w:t>湘乡生态环境保护综合行政执法大队</w:t>
      </w:r>
      <w:r>
        <w:rPr>
          <w:rFonts w:hint="eastAsia" w:ascii="Times New Roman" w:hAnsi="Times New Roman" w:eastAsia="仿宋_GB2312" w:cs="Times New Roman"/>
          <w:color w:val="auto"/>
          <w:sz w:val="32"/>
          <w:szCs w:val="32"/>
          <w:highlight w:val="none"/>
        </w:rPr>
        <w:t>负责。</w:t>
      </w:r>
    </w:p>
    <w:p w14:paraId="0031B056">
      <w:pPr>
        <w:pStyle w:val="9"/>
        <w:ind w:firstLine="640" w:firstLineChars="200"/>
        <w:rPr>
          <w:rFonts w:hint="eastAsia"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五、项目建设的性质、规模、地点、采用的工艺或者防治污染、防止生态破坏的措施发生重大变动的建设单位应当重新报批建设项目的环境影响评价文件。建设项目的环境影响评价文件自批准之日起超过五年，方决定该项目开工建设的，其环境影响评价文件应当报原审批部门重新审核。</w:t>
      </w:r>
    </w:p>
    <w:p w14:paraId="5A18BA8A">
      <w:pPr>
        <w:pStyle w:val="9"/>
        <w:ind w:firstLine="640" w:firstLineChars="200"/>
        <w:rPr>
          <w:rFonts w:hint="eastAsia" w:ascii="Times New Roman" w:hAnsi="Times New Roman" w:eastAsia="仿宋_GB2312" w:cs="Times New Roman"/>
          <w:color w:val="auto"/>
          <w:sz w:val="32"/>
          <w:szCs w:val="32"/>
          <w:highlight w:val="none"/>
        </w:rPr>
      </w:pPr>
    </w:p>
    <w:p w14:paraId="45628F29">
      <w:pPr>
        <w:pStyle w:val="9"/>
        <w:ind w:firstLine="640" w:firstLineChars="200"/>
        <w:rPr>
          <w:rFonts w:hint="eastAsia" w:ascii="Times New Roman" w:hAnsi="Times New Roman" w:eastAsia="仿宋_GB2312" w:cs="Times New Roman"/>
          <w:color w:val="auto"/>
          <w:sz w:val="32"/>
          <w:szCs w:val="32"/>
          <w:highlight w:val="none"/>
        </w:rPr>
      </w:pPr>
      <w:r>
        <w:rPr>
          <w:rFonts w:ascii="Times New Roman" w:hAnsi="Times New Roman" w:eastAsia="仿宋_GB2312"/>
          <w:sz w:val="32"/>
          <w:szCs w:val="32"/>
        </w:rPr>
        <w:t xml:space="preserve">                          </w:t>
      </w:r>
      <w:r>
        <w:rPr>
          <w:rFonts w:ascii="Times New Roman" w:hAnsi="Times New Roman" w:eastAsia="仿宋_GB2312"/>
          <w:sz w:val="32"/>
          <w:szCs w:val="32"/>
          <w:lang w:val="en"/>
        </w:rPr>
        <w:t xml:space="preserve">      </w:t>
      </w:r>
      <w:r>
        <w:rPr>
          <w:rFonts w:hint="eastAsia" w:ascii="Times New Roman" w:hAnsi="Times New Roman" w:eastAsia="仿宋_GB2312" w:cs="Times New Roman"/>
          <w:color w:val="auto"/>
          <w:sz w:val="32"/>
          <w:szCs w:val="32"/>
          <w:highlight w:val="none"/>
        </w:rPr>
        <w:t>湘潭市生态环境局</w:t>
      </w:r>
    </w:p>
    <w:p w14:paraId="2D02C3BF">
      <w:pPr>
        <w:pStyle w:val="9"/>
        <w:ind w:firstLine="640" w:firstLineChars="200"/>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rPr>
        <w:t xml:space="preserve">                           </w:t>
      </w:r>
      <w:r>
        <w:rPr>
          <w:rFonts w:hint="eastAsia" w:ascii="Times New Roman" w:hAnsi="Times New Roman" w:eastAsia="仿宋_GB2312" w:cs="Times New Roman"/>
          <w:color w:val="auto"/>
          <w:sz w:val="32"/>
          <w:szCs w:val="32"/>
          <w:highlight w:val="none"/>
          <w:lang w:val="en"/>
        </w:rPr>
        <w:t xml:space="preserve">     </w:t>
      </w:r>
      <w:r>
        <w:rPr>
          <w:rFonts w:hint="eastAsia" w:ascii="Times New Roman" w:hAnsi="Times New Roman" w:eastAsia="仿宋_GB2312" w:cs="Times New Roman"/>
          <w:color w:val="auto"/>
          <w:sz w:val="32"/>
          <w:szCs w:val="32"/>
          <w:highlight w:val="none"/>
        </w:rPr>
        <w:t>202</w:t>
      </w:r>
      <w:r>
        <w:rPr>
          <w:rFonts w:hint="eastAsia" w:ascii="Times New Roman" w:hAnsi="Times New Roman" w:eastAsia="仿宋_GB2312" w:cs="Times New Roman"/>
          <w:color w:val="auto"/>
          <w:sz w:val="32"/>
          <w:szCs w:val="32"/>
          <w:highlight w:val="none"/>
          <w:lang w:val="en-US" w:eastAsia="zh-CN"/>
        </w:rPr>
        <w:t>5</w:t>
      </w:r>
      <w:r>
        <w:rPr>
          <w:rFonts w:hint="eastAsia" w:ascii="Times New Roman" w:hAnsi="Times New Roman" w:eastAsia="仿宋_GB2312" w:cs="Times New Roman"/>
          <w:color w:val="auto"/>
          <w:sz w:val="32"/>
          <w:szCs w:val="32"/>
          <w:highlight w:val="none"/>
        </w:rPr>
        <w:t xml:space="preserve">年 月  日 </w:t>
      </w:r>
    </w:p>
    <w:sectPr>
      <w:pgSz w:w="11906" w:h="16838"/>
      <w:pgMar w:top="2098" w:right="1474" w:bottom="1077" w:left="1587" w:header="851" w:footer="992" w:gutter="0"/>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swiss"/>
    <w:pitch w:val="default"/>
    <w:sig w:usb0="00000000" w:usb1="00000000" w:usb2="0000003F" w:usb3="00000000" w:csb0="603F01FF" w:csb1="FFFF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9"/>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djZjVhNmM0NjZhMWQ2MmUyOTkyNGM3MzA4YzE4ZjIifQ=="/>
    <w:docVar w:name="KSO_WPS_MARK_KEY" w:val="36e4c213-53a1-44d2-b581-cbba5f36c767"/>
  </w:docVars>
  <w:rsids>
    <w:rsidRoot w:val="00DD78AD"/>
    <w:rsid w:val="000B5261"/>
    <w:rsid w:val="000B6968"/>
    <w:rsid w:val="000E77B0"/>
    <w:rsid w:val="001A3773"/>
    <w:rsid w:val="002002ED"/>
    <w:rsid w:val="003047E9"/>
    <w:rsid w:val="0043505D"/>
    <w:rsid w:val="00470F75"/>
    <w:rsid w:val="0055023D"/>
    <w:rsid w:val="00573A74"/>
    <w:rsid w:val="005C5DF2"/>
    <w:rsid w:val="00655CA9"/>
    <w:rsid w:val="00687694"/>
    <w:rsid w:val="006E2D5B"/>
    <w:rsid w:val="007D0591"/>
    <w:rsid w:val="008E6FA5"/>
    <w:rsid w:val="00AA6EF8"/>
    <w:rsid w:val="00B82099"/>
    <w:rsid w:val="00C73B25"/>
    <w:rsid w:val="00DD78AD"/>
    <w:rsid w:val="00F0181C"/>
    <w:rsid w:val="017F11CD"/>
    <w:rsid w:val="01E66FA5"/>
    <w:rsid w:val="025C31E1"/>
    <w:rsid w:val="03C926DB"/>
    <w:rsid w:val="045245DB"/>
    <w:rsid w:val="055D1BCE"/>
    <w:rsid w:val="05685F23"/>
    <w:rsid w:val="057331A2"/>
    <w:rsid w:val="057FD5AE"/>
    <w:rsid w:val="05D67212"/>
    <w:rsid w:val="06121633"/>
    <w:rsid w:val="076637D7"/>
    <w:rsid w:val="07756731"/>
    <w:rsid w:val="07A40C49"/>
    <w:rsid w:val="07BC0FAB"/>
    <w:rsid w:val="088E16AD"/>
    <w:rsid w:val="08CE762F"/>
    <w:rsid w:val="092645AB"/>
    <w:rsid w:val="092959CA"/>
    <w:rsid w:val="09B259BF"/>
    <w:rsid w:val="09F1077A"/>
    <w:rsid w:val="0A740EC6"/>
    <w:rsid w:val="0A974E6F"/>
    <w:rsid w:val="0B6E3B68"/>
    <w:rsid w:val="0BD51A77"/>
    <w:rsid w:val="0CC003F3"/>
    <w:rsid w:val="0EE24C27"/>
    <w:rsid w:val="0F56503F"/>
    <w:rsid w:val="100132CA"/>
    <w:rsid w:val="10417A9D"/>
    <w:rsid w:val="116752E1"/>
    <w:rsid w:val="12E96458"/>
    <w:rsid w:val="135D14AC"/>
    <w:rsid w:val="14CF38C9"/>
    <w:rsid w:val="15345245"/>
    <w:rsid w:val="15C304CD"/>
    <w:rsid w:val="15E6711C"/>
    <w:rsid w:val="163C4F8E"/>
    <w:rsid w:val="16BF171B"/>
    <w:rsid w:val="16E70DBC"/>
    <w:rsid w:val="17D64F6F"/>
    <w:rsid w:val="18136C1D"/>
    <w:rsid w:val="183D4FEE"/>
    <w:rsid w:val="1921046B"/>
    <w:rsid w:val="195E346D"/>
    <w:rsid w:val="1A770934"/>
    <w:rsid w:val="1A9435AF"/>
    <w:rsid w:val="1B3817DE"/>
    <w:rsid w:val="1C0158BF"/>
    <w:rsid w:val="1C217FF8"/>
    <w:rsid w:val="1C4E77C9"/>
    <w:rsid w:val="1C766D20"/>
    <w:rsid w:val="1D6D113E"/>
    <w:rsid w:val="1DFB74DD"/>
    <w:rsid w:val="1E073DD1"/>
    <w:rsid w:val="1E164317"/>
    <w:rsid w:val="1FD7EC5C"/>
    <w:rsid w:val="20112FE8"/>
    <w:rsid w:val="2120725A"/>
    <w:rsid w:val="21863561"/>
    <w:rsid w:val="21BA632F"/>
    <w:rsid w:val="21ED71E0"/>
    <w:rsid w:val="22693F49"/>
    <w:rsid w:val="23B92B87"/>
    <w:rsid w:val="23E43633"/>
    <w:rsid w:val="245711E5"/>
    <w:rsid w:val="24C908C3"/>
    <w:rsid w:val="2573204F"/>
    <w:rsid w:val="27CC1EEA"/>
    <w:rsid w:val="27E44489"/>
    <w:rsid w:val="28153891"/>
    <w:rsid w:val="29736AC1"/>
    <w:rsid w:val="2A475858"/>
    <w:rsid w:val="2A77438F"/>
    <w:rsid w:val="2AD4533E"/>
    <w:rsid w:val="2B62123C"/>
    <w:rsid w:val="2C9805ED"/>
    <w:rsid w:val="2CB73169"/>
    <w:rsid w:val="2DE77A94"/>
    <w:rsid w:val="2E6F0EEF"/>
    <w:rsid w:val="2E8C545B"/>
    <w:rsid w:val="2ECD4C73"/>
    <w:rsid w:val="2F230642"/>
    <w:rsid w:val="2F2EE0AA"/>
    <w:rsid w:val="32B53042"/>
    <w:rsid w:val="32E20814"/>
    <w:rsid w:val="333252F7"/>
    <w:rsid w:val="347656B7"/>
    <w:rsid w:val="34A43174"/>
    <w:rsid w:val="35094B0E"/>
    <w:rsid w:val="36687282"/>
    <w:rsid w:val="36851BE2"/>
    <w:rsid w:val="370C40B1"/>
    <w:rsid w:val="37645178"/>
    <w:rsid w:val="38F848ED"/>
    <w:rsid w:val="392207EA"/>
    <w:rsid w:val="39785A2E"/>
    <w:rsid w:val="3ABC7B9C"/>
    <w:rsid w:val="3B2E5AB3"/>
    <w:rsid w:val="3D336F35"/>
    <w:rsid w:val="3DF76F09"/>
    <w:rsid w:val="3E8E08D2"/>
    <w:rsid w:val="3EB968CD"/>
    <w:rsid w:val="3EE651E8"/>
    <w:rsid w:val="3EF913BF"/>
    <w:rsid w:val="3FF1B6FA"/>
    <w:rsid w:val="403D52DB"/>
    <w:rsid w:val="428B67D2"/>
    <w:rsid w:val="434365FE"/>
    <w:rsid w:val="43AD2778"/>
    <w:rsid w:val="451F76A5"/>
    <w:rsid w:val="45246A6A"/>
    <w:rsid w:val="452C6EED"/>
    <w:rsid w:val="45462E84"/>
    <w:rsid w:val="45D746D7"/>
    <w:rsid w:val="46A240EA"/>
    <w:rsid w:val="46D83FB0"/>
    <w:rsid w:val="47503B46"/>
    <w:rsid w:val="48587156"/>
    <w:rsid w:val="49995C78"/>
    <w:rsid w:val="4A6718D3"/>
    <w:rsid w:val="4AFA2747"/>
    <w:rsid w:val="4B5A31E5"/>
    <w:rsid w:val="4E3719A5"/>
    <w:rsid w:val="4E802916"/>
    <w:rsid w:val="4E8862BB"/>
    <w:rsid w:val="4EC56BC8"/>
    <w:rsid w:val="4EF93603"/>
    <w:rsid w:val="4F053468"/>
    <w:rsid w:val="4F4B73EB"/>
    <w:rsid w:val="4F5D4461"/>
    <w:rsid w:val="5094496E"/>
    <w:rsid w:val="51713456"/>
    <w:rsid w:val="520303FF"/>
    <w:rsid w:val="522462FB"/>
    <w:rsid w:val="523C68B1"/>
    <w:rsid w:val="52B7716F"/>
    <w:rsid w:val="53A70F92"/>
    <w:rsid w:val="545350A6"/>
    <w:rsid w:val="547F1F0F"/>
    <w:rsid w:val="557F15BD"/>
    <w:rsid w:val="573C7C43"/>
    <w:rsid w:val="5798756F"/>
    <w:rsid w:val="57C71C02"/>
    <w:rsid w:val="580E7831"/>
    <w:rsid w:val="58694A68"/>
    <w:rsid w:val="58CE6FC1"/>
    <w:rsid w:val="59A815C0"/>
    <w:rsid w:val="5B1E5FDD"/>
    <w:rsid w:val="5B773940"/>
    <w:rsid w:val="5BB71B2F"/>
    <w:rsid w:val="5BFF0752"/>
    <w:rsid w:val="5C207B33"/>
    <w:rsid w:val="5C8E0F41"/>
    <w:rsid w:val="5CD64696"/>
    <w:rsid w:val="5CF45C09"/>
    <w:rsid w:val="5D18289B"/>
    <w:rsid w:val="5D6BF28B"/>
    <w:rsid w:val="5DE788CE"/>
    <w:rsid w:val="5E7A2FDC"/>
    <w:rsid w:val="5E86603B"/>
    <w:rsid w:val="5F2E0EC5"/>
    <w:rsid w:val="5F8D3732"/>
    <w:rsid w:val="5FFB90F9"/>
    <w:rsid w:val="602E1B5A"/>
    <w:rsid w:val="607F58E2"/>
    <w:rsid w:val="608663C9"/>
    <w:rsid w:val="608C39E9"/>
    <w:rsid w:val="61042BF8"/>
    <w:rsid w:val="610C4B2A"/>
    <w:rsid w:val="615D7134"/>
    <w:rsid w:val="62425DA0"/>
    <w:rsid w:val="628F77FE"/>
    <w:rsid w:val="635A142A"/>
    <w:rsid w:val="63FD5F77"/>
    <w:rsid w:val="646F864E"/>
    <w:rsid w:val="65F00576"/>
    <w:rsid w:val="662D4C06"/>
    <w:rsid w:val="665DB2E9"/>
    <w:rsid w:val="6677553A"/>
    <w:rsid w:val="678C0773"/>
    <w:rsid w:val="68077DF9"/>
    <w:rsid w:val="6839910B"/>
    <w:rsid w:val="68E766B9"/>
    <w:rsid w:val="696937B3"/>
    <w:rsid w:val="69782708"/>
    <w:rsid w:val="69B62780"/>
    <w:rsid w:val="6A87465F"/>
    <w:rsid w:val="6AE612DA"/>
    <w:rsid w:val="6AF6489D"/>
    <w:rsid w:val="6B113469"/>
    <w:rsid w:val="6B23319C"/>
    <w:rsid w:val="6BF92AC0"/>
    <w:rsid w:val="6C9757A9"/>
    <w:rsid w:val="6CEDABCB"/>
    <w:rsid w:val="6D45389E"/>
    <w:rsid w:val="6DF21DB1"/>
    <w:rsid w:val="6EA34867"/>
    <w:rsid w:val="6EB34837"/>
    <w:rsid w:val="6EFD832E"/>
    <w:rsid w:val="6F451933"/>
    <w:rsid w:val="6FAF3FF4"/>
    <w:rsid w:val="6FD68C3B"/>
    <w:rsid w:val="70082960"/>
    <w:rsid w:val="70117A67"/>
    <w:rsid w:val="70C669E3"/>
    <w:rsid w:val="714553F8"/>
    <w:rsid w:val="71893394"/>
    <w:rsid w:val="724B2684"/>
    <w:rsid w:val="725B1E99"/>
    <w:rsid w:val="72DF557A"/>
    <w:rsid w:val="73571C35"/>
    <w:rsid w:val="73F61362"/>
    <w:rsid w:val="745A7CD6"/>
    <w:rsid w:val="749058CF"/>
    <w:rsid w:val="757B3724"/>
    <w:rsid w:val="76DE728B"/>
    <w:rsid w:val="76F123A0"/>
    <w:rsid w:val="775BC094"/>
    <w:rsid w:val="77CD691B"/>
    <w:rsid w:val="77DF669D"/>
    <w:rsid w:val="77E5477E"/>
    <w:rsid w:val="78104AA8"/>
    <w:rsid w:val="78742707"/>
    <w:rsid w:val="790E7239"/>
    <w:rsid w:val="7B8437E3"/>
    <w:rsid w:val="7BD32074"/>
    <w:rsid w:val="7BD910F7"/>
    <w:rsid w:val="7C3C0AA2"/>
    <w:rsid w:val="7CE7227B"/>
    <w:rsid w:val="7CF7906F"/>
    <w:rsid w:val="7D126179"/>
    <w:rsid w:val="7D252DA4"/>
    <w:rsid w:val="7D3A1C0A"/>
    <w:rsid w:val="7D48487A"/>
    <w:rsid w:val="7D951846"/>
    <w:rsid w:val="7DEEFFCE"/>
    <w:rsid w:val="7E1370A0"/>
    <w:rsid w:val="7E5436F2"/>
    <w:rsid w:val="7E855AD5"/>
    <w:rsid w:val="7EDE6E31"/>
    <w:rsid w:val="7EFC5D86"/>
    <w:rsid w:val="7F17496E"/>
    <w:rsid w:val="7F203823"/>
    <w:rsid w:val="7F3D09FD"/>
    <w:rsid w:val="7F3F99B2"/>
    <w:rsid w:val="7F97BAF6"/>
    <w:rsid w:val="7FB56661"/>
    <w:rsid w:val="7FDD636E"/>
    <w:rsid w:val="7FFE5826"/>
    <w:rsid w:val="7FFF3A15"/>
    <w:rsid w:val="9DFF2838"/>
    <w:rsid w:val="A75FCFBD"/>
    <w:rsid w:val="AF8CFA87"/>
    <w:rsid w:val="AFF707B8"/>
    <w:rsid w:val="B7F7D31D"/>
    <w:rsid w:val="BF5F566B"/>
    <w:rsid w:val="C3FBE9EB"/>
    <w:rsid w:val="CC7FCC3E"/>
    <w:rsid w:val="DE39D49C"/>
    <w:rsid w:val="DEBEFD55"/>
    <w:rsid w:val="DFBEE06E"/>
    <w:rsid w:val="DFFB84B1"/>
    <w:rsid w:val="EAFD5432"/>
    <w:rsid w:val="ECC9FDE9"/>
    <w:rsid w:val="ED7B3545"/>
    <w:rsid w:val="F2EB5035"/>
    <w:rsid w:val="F45FCDCA"/>
    <w:rsid w:val="F5E309C0"/>
    <w:rsid w:val="F5E6E7AA"/>
    <w:rsid w:val="F7F7F631"/>
    <w:rsid w:val="F7FF4055"/>
    <w:rsid w:val="F937D047"/>
    <w:rsid w:val="FA6F817E"/>
    <w:rsid w:val="FB6FB849"/>
    <w:rsid w:val="FDB28728"/>
    <w:rsid w:val="FE5921E4"/>
    <w:rsid w:val="FEAB82DA"/>
    <w:rsid w:val="FEBEA28A"/>
    <w:rsid w:val="FF8A9170"/>
    <w:rsid w:val="FFEF3197"/>
    <w:rsid w:val="FFEFC4E4"/>
    <w:rsid w:val="FFF785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等线"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customStyle="1" w:styleId="3">
    <w:name w:val="xl27"/>
    <w:qFormat/>
    <w:uiPriority w:val="0"/>
    <w:pPr>
      <w:pBdr>
        <w:bottom w:val="single" w:color="auto" w:sz="4" w:space="0"/>
        <w:right w:val="single" w:color="auto" w:sz="4" w:space="0"/>
      </w:pBdr>
      <w:spacing w:before="100" w:beforeAutospacing="1" w:after="100" w:afterAutospacing="1"/>
      <w:jc w:val="center"/>
    </w:pPr>
    <w:rPr>
      <w:rFonts w:ascii="Calibri" w:hAnsi="Calibri" w:eastAsia="Arial Unicode MS" w:cs="Times New Roman"/>
      <w:sz w:val="21"/>
      <w:szCs w:val="21"/>
      <w:lang w:val="en-US" w:eastAsia="zh-CN" w:bidi="ar-SA"/>
    </w:rPr>
  </w:style>
  <w:style w:type="paragraph" w:styleId="4">
    <w:name w:val="Body Text Indent"/>
    <w:basedOn w:val="1"/>
    <w:next w:val="5"/>
    <w:qFormat/>
    <w:uiPriority w:val="0"/>
    <w:pPr>
      <w:spacing w:after="120"/>
      <w:ind w:left="420" w:leftChars="200"/>
    </w:pPr>
    <w:rPr>
      <w:rFonts w:ascii="Times New Roman" w:hAnsi="Times New Roman" w:eastAsia="宋体"/>
    </w:rPr>
  </w:style>
  <w:style w:type="paragraph" w:styleId="5">
    <w:name w:val="Body Text First Indent 2"/>
    <w:basedOn w:val="4"/>
    <w:next w:val="6"/>
    <w:qFormat/>
    <w:uiPriority w:val="0"/>
    <w:pPr>
      <w:spacing w:line="360" w:lineRule="auto"/>
      <w:ind w:left="0" w:firstLine="1446" w:firstLineChars="200"/>
    </w:pPr>
  </w:style>
  <w:style w:type="paragraph" w:styleId="6">
    <w:name w:val="Body Text First Indent"/>
    <w:basedOn w:val="2"/>
    <w:next w:val="1"/>
    <w:qFormat/>
    <w:uiPriority w:val="0"/>
    <w:pPr>
      <w:overflowPunct w:val="0"/>
      <w:autoSpaceDE w:val="0"/>
      <w:autoSpaceDN w:val="0"/>
      <w:adjustRightInd w:val="0"/>
      <w:spacing w:line="360" w:lineRule="auto"/>
      <w:ind w:firstLine="539"/>
      <w:jc w:val="center"/>
      <w:textAlignment w:val="baseline"/>
    </w:pPr>
    <w:rPr>
      <w:rFonts w:ascii="宋体" w:eastAsia="宋体"/>
      <w:spacing w:val="6"/>
      <w:kern w:val="0"/>
      <w:sz w:val="28"/>
      <w:szCs w:val="20"/>
    </w:rPr>
  </w:style>
  <w:style w:type="paragraph" w:customStyle="1" w:styleId="9">
    <w:name w:val="Default"/>
    <w:basedOn w:val="10"/>
    <w:next w:val="1"/>
    <w:qFormat/>
    <w:uiPriority w:val="6"/>
    <w:rPr>
      <w:rFonts w:hAnsi="宋体" w:cs="宋体"/>
      <w:color w:val="000000"/>
      <w:sz w:val="24"/>
      <w:szCs w:val="24"/>
    </w:rPr>
  </w:style>
  <w:style w:type="paragraph" w:customStyle="1" w:styleId="10">
    <w:name w:val="纯文本1"/>
    <w:basedOn w:val="1"/>
    <w:qFormat/>
    <w:uiPriority w:val="0"/>
    <w:pPr>
      <w:adjustRightInd w:val="0"/>
    </w:pPr>
    <w:rPr>
      <w:rFonts w:ascii="宋体" w:hAnsi="Courier New"/>
      <w:szCs w:val="20"/>
    </w:rPr>
  </w:style>
  <w:style w:type="paragraph" w:customStyle="1" w:styleId="11">
    <w:name w:val="p0"/>
    <w:basedOn w:val="1"/>
    <w:qFormat/>
    <w:uiPriority w:val="0"/>
    <w:pPr>
      <w:widowControl/>
    </w:pPr>
    <w:rPr>
      <w:kern w:val="0"/>
      <w:szCs w:val="21"/>
    </w:rPr>
  </w:style>
  <w:style w:type="paragraph" w:customStyle="1" w:styleId="12">
    <w:name w:val="Revision"/>
    <w:hidden/>
    <w:unhideWhenUsed/>
    <w:qFormat/>
    <w:uiPriority w:val="99"/>
    <w:rPr>
      <w:rFonts w:ascii="Calibri" w:hAnsi="Calibri" w:eastAsia="等线" w:cs="Times New Roman"/>
      <w:kern w:val="2"/>
      <w:sz w:val="21"/>
      <w:szCs w:val="24"/>
      <w:lang w:val="en-US" w:eastAsia="zh-CN" w:bidi="ar-SA"/>
    </w:rPr>
  </w:style>
  <w:style w:type="paragraph" w:customStyle="1" w:styleId="13">
    <w:name w:val="1正文"/>
    <w:qFormat/>
    <w:uiPriority w:val="0"/>
    <w:pPr>
      <w:snapToGrid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1573</Words>
  <Characters>1681</Characters>
  <Lines>3</Lines>
  <Paragraphs>6</Paragraphs>
  <TotalTime>0</TotalTime>
  <ScaleCrop>false</ScaleCrop>
  <LinksUpToDate>false</LinksUpToDate>
  <CharactersWithSpaces>1754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2024-05-08T09:45:00Z</dcterms:created>
  <dc:creator>lululu</dc:creator>
  <cp:lastModifiedBy>Elephant</cp:lastModifiedBy>
  <cp:lastPrinted>2025-01-14T07:34:00Z</cp:lastPrinted>
  <dcterms:modified xsi:type="dcterms:W3CDTF">2025-04-01T07:58:27Z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8C3C62A92DDA4AC9B3E0F7F8E7BD6D92_13</vt:lpwstr>
  </property>
  <property fmtid="{D5CDD505-2E9C-101B-9397-08002B2CF9AE}" pid="4" name="KSOTemplateDocerSaveRecord">
    <vt:lpwstr>eyJoZGlkIjoiM2E4MDNjMTQ5MDU3MjNkZWUwZmVmYmRjZWY2M2ZmMDgiLCJ1c2VySWQiOiIyNzc4Mzg1MjAifQ==</vt:lpwstr>
  </property>
</Properties>
</file>