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117D4C">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lang w:eastAsia="zh-CN"/>
        </w:rPr>
      </w:pPr>
      <w:r>
        <w:rPr>
          <w:rFonts w:hint="eastAsia" w:ascii="CESI仿宋-GB2312" w:hAnsi="CESI仿宋-GB2312" w:eastAsia="CESI仿宋-GB2312" w:cs="CESI仿宋-GB2312"/>
          <w:b/>
          <w:bCs/>
          <w:sz w:val="40"/>
          <w:szCs w:val="40"/>
          <w:lang w:eastAsia="zh-CN"/>
        </w:rPr>
        <w:t>湘</w:t>
      </w:r>
      <w:r>
        <w:rPr>
          <w:rFonts w:hint="eastAsia" w:ascii="CESI仿宋-GB2312" w:hAnsi="CESI仿宋-GB2312" w:eastAsia="CESI仿宋-GB2312" w:cs="CESI仿宋-GB2312"/>
          <w:b/>
          <w:bCs/>
          <w:sz w:val="40"/>
          <w:szCs w:val="40"/>
          <w:lang w:val="en-US" w:eastAsia="zh-CN"/>
        </w:rPr>
        <w:t xml:space="preserve"> </w:t>
      </w:r>
      <w:r>
        <w:rPr>
          <w:rFonts w:hint="eastAsia" w:ascii="CESI仿宋-GB2312" w:hAnsi="CESI仿宋-GB2312" w:eastAsia="CESI仿宋-GB2312" w:cs="CESI仿宋-GB2312"/>
          <w:b/>
          <w:bCs/>
          <w:sz w:val="40"/>
          <w:szCs w:val="40"/>
          <w:lang w:eastAsia="zh-CN"/>
        </w:rPr>
        <w:t>乡</w:t>
      </w:r>
      <w:r>
        <w:rPr>
          <w:rFonts w:hint="eastAsia" w:ascii="CESI仿宋-GB2312" w:hAnsi="CESI仿宋-GB2312" w:eastAsia="CESI仿宋-GB2312" w:cs="CESI仿宋-GB2312"/>
          <w:b/>
          <w:bCs/>
          <w:sz w:val="40"/>
          <w:szCs w:val="40"/>
          <w:lang w:val="en-US" w:eastAsia="zh-CN"/>
        </w:rPr>
        <w:t xml:space="preserve"> </w:t>
      </w:r>
      <w:r>
        <w:rPr>
          <w:rFonts w:hint="eastAsia" w:ascii="CESI仿宋-GB2312" w:hAnsi="CESI仿宋-GB2312" w:eastAsia="CESI仿宋-GB2312" w:cs="CESI仿宋-GB2312"/>
          <w:b/>
          <w:bCs/>
          <w:sz w:val="40"/>
          <w:szCs w:val="40"/>
          <w:lang w:eastAsia="zh-CN"/>
        </w:rPr>
        <w:t>市</w:t>
      </w:r>
      <w:r>
        <w:rPr>
          <w:rFonts w:hint="eastAsia" w:ascii="CESI仿宋-GB2312" w:hAnsi="CESI仿宋-GB2312" w:eastAsia="CESI仿宋-GB2312" w:cs="CESI仿宋-GB2312"/>
          <w:b/>
          <w:bCs/>
          <w:sz w:val="40"/>
          <w:szCs w:val="40"/>
          <w:lang w:val="en-US" w:eastAsia="zh-CN"/>
        </w:rPr>
        <w:t xml:space="preserve"> </w:t>
      </w:r>
      <w:r>
        <w:rPr>
          <w:rFonts w:hint="eastAsia" w:ascii="CESI仿宋-GB2312" w:hAnsi="CESI仿宋-GB2312" w:eastAsia="CESI仿宋-GB2312" w:cs="CESI仿宋-GB2312"/>
          <w:b/>
          <w:bCs/>
          <w:sz w:val="40"/>
          <w:szCs w:val="40"/>
          <w:lang w:eastAsia="zh-CN"/>
        </w:rPr>
        <w:t>城</w:t>
      </w:r>
      <w:r>
        <w:rPr>
          <w:rFonts w:hint="eastAsia" w:ascii="CESI仿宋-GB2312" w:hAnsi="CESI仿宋-GB2312" w:eastAsia="CESI仿宋-GB2312" w:cs="CESI仿宋-GB2312"/>
          <w:b/>
          <w:bCs/>
          <w:sz w:val="40"/>
          <w:szCs w:val="40"/>
          <w:lang w:val="en-US" w:eastAsia="zh-CN"/>
        </w:rPr>
        <w:t xml:space="preserve"> </w:t>
      </w:r>
      <w:r>
        <w:rPr>
          <w:rFonts w:hint="eastAsia" w:ascii="CESI仿宋-GB2312" w:hAnsi="CESI仿宋-GB2312" w:eastAsia="CESI仿宋-GB2312" w:cs="CESI仿宋-GB2312"/>
          <w:b/>
          <w:bCs/>
          <w:sz w:val="40"/>
          <w:szCs w:val="40"/>
          <w:lang w:eastAsia="zh-CN"/>
        </w:rPr>
        <w:t>市</w:t>
      </w:r>
      <w:r>
        <w:rPr>
          <w:rFonts w:hint="eastAsia" w:ascii="CESI仿宋-GB2312" w:hAnsi="CESI仿宋-GB2312" w:eastAsia="CESI仿宋-GB2312" w:cs="CESI仿宋-GB2312"/>
          <w:b/>
          <w:bCs/>
          <w:sz w:val="40"/>
          <w:szCs w:val="40"/>
          <w:lang w:val="en-US" w:eastAsia="zh-CN"/>
        </w:rPr>
        <w:t xml:space="preserve"> </w:t>
      </w:r>
      <w:r>
        <w:rPr>
          <w:rFonts w:hint="eastAsia" w:ascii="CESI仿宋-GB2312" w:hAnsi="CESI仿宋-GB2312" w:eastAsia="CESI仿宋-GB2312" w:cs="CESI仿宋-GB2312"/>
          <w:b/>
          <w:bCs/>
          <w:sz w:val="40"/>
          <w:szCs w:val="40"/>
          <w:lang w:eastAsia="zh-CN"/>
        </w:rPr>
        <w:t>管</w:t>
      </w:r>
      <w:r>
        <w:rPr>
          <w:rFonts w:hint="eastAsia" w:ascii="CESI仿宋-GB2312" w:hAnsi="CESI仿宋-GB2312" w:eastAsia="CESI仿宋-GB2312" w:cs="CESI仿宋-GB2312"/>
          <w:b/>
          <w:bCs/>
          <w:sz w:val="40"/>
          <w:szCs w:val="40"/>
          <w:lang w:val="en-US" w:eastAsia="zh-CN"/>
        </w:rPr>
        <w:t xml:space="preserve"> </w:t>
      </w:r>
      <w:r>
        <w:rPr>
          <w:rFonts w:hint="eastAsia" w:ascii="CESI仿宋-GB2312" w:hAnsi="CESI仿宋-GB2312" w:eastAsia="CESI仿宋-GB2312" w:cs="CESI仿宋-GB2312"/>
          <w:b/>
          <w:bCs/>
          <w:sz w:val="40"/>
          <w:szCs w:val="40"/>
          <w:lang w:eastAsia="zh-CN"/>
        </w:rPr>
        <w:t>理</w:t>
      </w:r>
      <w:r>
        <w:rPr>
          <w:rFonts w:hint="eastAsia" w:ascii="CESI仿宋-GB2312" w:hAnsi="CESI仿宋-GB2312" w:eastAsia="CESI仿宋-GB2312" w:cs="CESI仿宋-GB2312"/>
          <w:b/>
          <w:bCs/>
          <w:sz w:val="40"/>
          <w:szCs w:val="40"/>
          <w:lang w:val="en-US" w:eastAsia="zh-CN"/>
        </w:rPr>
        <w:t xml:space="preserve"> </w:t>
      </w:r>
      <w:r>
        <w:rPr>
          <w:rFonts w:hint="eastAsia" w:ascii="CESI仿宋-GB2312" w:hAnsi="CESI仿宋-GB2312" w:eastAsia="CESI仿宋-GB2312" w:cs="CESI仿宋-GB2312"/>
          <w:b/>
          <w:bCs/>
          <w:sz w:val="40"/>
          <w:szCs w:val="40"/>
          <w:lang w:eastAsia="zh-CN"/>
        </w:rPr>
        <w:t>和</w:t>
      </w:r>
      <w:r>
        <w:rPr>
          <w:rFonts w:hint="eastAsia" w:ascii="CESI仿宋-GB2312" w:hAnsi="CESI仿宋-GB2312" w:eastAsia="CESI仿宋-GB2312" w:cs="CESI仿宋-GB2312"/>
          <w:b/>
          <w:bCs/>
          <w:sz w:val="40"/>
          <w:szCs w:val="40"/>
          <w:lang w:val="en-US" w:eastAsia="zh-CN"/>
        </w:rPr>
        <w:t xml:space="preserve"> </w:t>
      </w:r>
      <w:r>
        <w:rPr>
          <w:rFonts w:hint="eastAsia" w:ascii="CESI仿宋-GB2312" w:hAnsi="CESI仿宋-GB2312" w:eastAsia="CESI仿宋-GB2312" w:cs="CESI仿宋-GB2312"/>
          <w:b/>
          <w:bCs/>
          <w:sz w:val="40"/>
          <w:szCs w:val="40"/>
          <w:lang w:eastAsia="zh-CN"/>
        </w:rPr>
        <w:t>综</w:t>
      </w:r>
      <w:r>
        <w:rPr>
          <w:rFonts w:hint="eastAsia" w:ascii="CESI仿宋-GB2312" w:hAnsi="CESI仿宋-GB2312" w:eastAsia="CESI仿宋-GB2312" w:cs="CESI仿宋-GB2312"/>
          <w:b/>
          <w:bCs/>
          <w:sz w:val="40"/>
          <w:szCs w:val="40"/>
          <w:lang w:val="en-US" w:eastAsia="zh-CN"/>
        </w:rPr>
        <w:t xml:space="preserve"> </w:t>
      </w:r>
      <w:r>
        <w:rPr>
          <w:rFonts w:hint="eastAsia" w:ascii="CESI仿宋-GB2312" w:hAnsi="CESI仿宋-GB2312" w:eastAsia="CESI仿宋-GB2312" w:cs="CESI仿宋-GB2312"/>
          <w:b/>
          <w:bCs/>
          <w:sz w:val="40"/>
          <w:szCs w:val="40"/>
          <w:lang w:eastAsia="zh-CN"/>
        </w:rPr>
        <w:t>合</w:t>
      </w:r>
      <w:r>
        <w:rPr>
          <w:rFonts w:hint="eastAsia" w:ascii="CESI仿宋-GB2312" w:hAnsi="CESI仿宋-GB2312" w:eastAsia="CESI仿宋-GB2312" w:cs="CESI仿宋-GB2312"/>
          <w:b/>
          <w:bCs/>
          <w:sz w:val="40"/>
          <w:szCs w:val="40"/>
          <w:lang w:val="en-US" w:eastAsia="zh-CN"/>
        </w:rPr>
        <w:t xml:space="preserve"> </w:t>
      </w:r>
      <w:r>
        <w:rPr>
          <w:rFonts w:hint="eastAsia" w:ascii="CESI仿宋-GB2312" w:hAnsi="CESI仿宋-GB2312" w:eastAsia="CESI仿宋-GB2312" w:cs="CESI仿宋-GB2312"/>
          <w:b/>
          <w:bCs/>
          <w:sz w:val="40"/>
          <w:szCs w:val="40"/>
          <w:lang w:eastAsia="zh-CN"/>
        </w:rPr>
        <w:t>执</w:t>
      </w:r>
      <w:r>
        <w:rPr>
          <w:rFonts w:hint="eastAsia" w:ascii="CESI仿宋-GB2312" w:hAnsi="CESI仿宋-GB2312" w:eastAsia="CESI仿宋-GB2312" w:cs="CESI仿宋-GB2312"/>
          <w:b/>
          <w:bCs/>
          <w:sz w:val="40"/>
          <w:szCs w:val="40"/>
          <w:lang w:val="en-US" w:eastAsia="zh-CN"/>
        </w:rPr>
        <w:t xml:space="preserve"> </w:t>
      </w:r>
      <w:r>
        <w:rPr>
          <w:rFonts w:hint="eastAsia" w:ascii="CESI仿宋-GB2312" w:hAnsi="CESI仿宋-GB2312" w:eastAsia="CESI仿宋-GB2312" w:cs="CESI仿宋-GB2312"/>
          <w:b/>
          <w:bCs/>
          <w:sz w:val="40"/>
          <w:szCs w:val="40"/>
          <w:lang w:eastAsia="zh-CN"/>
        </w:rPr>
        <w:t>法</w:t>
      </w:r>
      <w:r>
        <w:rPr>
          <w:rFonts w:hint="eastAsia" w:ascii="CESI仿宋-GB2312" w:hAnsi="CESI仿宋-GB2312" w:eastAsia="CESI仿宋-GB2312" w:cs="CESI仿宋-GB2312"/>
          <w:b/>
          <w:bCs/>
          <w:sz w:val="40"/>
          <w:szCs w:val="40"/>
          <w:lang w:val="en-US" w:eastAsia="zh-CN"/>
        </w:rPr>
        <w:t xml:space="preserve"> </w:t>
      </w:r>
      <w:r>
        <w:rPr>
          <w:rFonts w:hint="eastAsia" w:ascii="CESI仿宋-GB2312" w:hAnsi="CESI仿宋-GB2312" w:eastAsia="CESI仿宋-GB2312" w:cs="CESI仿宋-GB2312"/>
          <w:b/>
          <w:bCs/>
          <w:sz w:val="40"/>
          <w:szCs w:val="40"/>
          <w:lang w:eastAsia="zh-CN"/>
        </w:rPr>
        <w:t>局</w:t>
      </w:r>
    </w:p>
    <w:p w14:paraId="5EBD6896">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CESI仿宋-GB2312" w:hAnsi="CESI仿宋-GB2312" w:eastAsia="CESI仿宋-GB2312" w:cs="CESI仿宋-GB2312"/>
          <w:sz w:val="44"/>
          <w:szCs w:val="44"/>
          <w:lang w:eastAsia="zh-CN"/>
        </w:rPr>
      </w:pPr>
      <w:r>
        <w:rPr>
          <w:rFonts w:hint="eastAsia" w:ascii="CESI仿宋-GB2312" w:hAnsi="CESI仿宋-GB2312" w:eastAsia="CESI仿宋-GB2312" w:cs="CESI仿宋-GB2312"/>
          <w:b/>
          <w:bCs/>
          <w:sz w:val="44"/>
          <w:szCs w:val="44"/>
          <w:lang w:val="en-US" w:eastAsia="zh-CN"/>
        </w:rPr>
        <w:t>2024年度法治政府建设</w:t>
      </w:r>
      <w:r>
        <w:rPr>
          <w:rFonts w:hint="eastAsia" w:ascii="CESI仿宋-GB2312" w:hAnsi="CESI仿宋-GB2312" w:eastAsia="CESI仿宋-GB2312" w:cs="CESI仿宋-GB2312"/>
          <w:b/>
          <w:bCs/>
          <w:sz w:val="44"/>
          <w:szCs w:val="44"/>
          <w:lang w:eastAsia="zh-CN"/>
        </w:rPr>
        <w:t>工作总结</w:t>
      </w:r>
    </w:p>
    <w:p w14:paraId="572D2191">
      <w:pPr>
        <w:rPr>
          <w:rFonts w:hint="eastAsia" w:ascii="仿宋_GB2312" w:hAnsi="仿宋_GB2312" w:eastAsia="仿宋_GB2312" w:cs="仿宋_GB2312"/>
          <w:sz w:val="32"/>
          <w:szCs w:val="32"/>
        </w:rPr>
      </w:pPr>
    </w:p>
    <w:p w14:paraId="5FF11AAB">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方正仿宋_GB18030" w:hAnsi="方正仿宋_GB18030" w:eastAsia="仿宋" w:cs="方正仿宋_GB18030"/>
          <w:sz w:val="32"/>
          <w:szCs w:val="32"/>
          <w:lang w:eastAsia="zh-CN"/>
        </w:rPr>
      </w:pPr>
      <w:r>
        <w:rPr>
          <w:rFonts w:hint="eastAsia" w:ascii="方正仿宋_GB18030" w:hAnsi="方正仿宋_GB18030" w:eastAsia="方正仿宋_GB18030" w:cs="方正仿宋_GB18030"/>
          <w:sz w:val="32"/>
          <w:szCs w:val="32"/>
          <w:lang w:val="en-US" w:eastAsia="zh-CN"/>
        </w:rPr>
        <w:t>2024年，</w:t>
      </w:r>
      <w:r>
        <w:rPr>
          <w:rFonts w:hint="eastAsia" w:ascii="方正仿宋_GB18030" w:hAnsi="方正仿宋_GB18030" w:eastAsia="方正仿宋_GB18030" w:cs="方正仿宋_GB18030"/>
          <w:kern w:val="2"/>
          <w:sz w:val="32"/>
          <w:szCs w:val="32"/>
          <w:lang w:val="en-US" w:eastAsia="zh-CN" w:bidi="ar-SA"/>
        </w:rPr>
        <w:t>在市委市政府坚强领导下，我局深入学习贯彻习近平法治思想，认真贯彻落实中央、省、市关于法治建设的有关精神，切实履行推进法治建设第一责任人职责，现将有关工作报告如下：</w:t>
      </w:r>
    </w:p>
    <w:p w14:paraId="0EF6C37C">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方正仿宋_GB18030" w:hAnsi="方正仿宋_GB18030" w:eastAsia="方正仿宋_GB18030" w:cs="方正仿宋_GB18030"/>
          <w:sz w:val="32"/>
          <w:szCs w:val="32"/>
          <w:lang w:eastAsia="zh-CN"/>
        </w:rPr>
      </w:pPr>
      <w:r>
        <w:rPr>
          <w:rFonts w:hint="eastAsia" w:ascii="方正仿宋_GB18030" w:hAnsi="方正仿宋_GB18030" w:eastAsia="方正仿宋_GB18030" w:cs="方正仿宋_GB18030"/>
          <w:sz w:val="32"/>
          <w:szCs w:val="32"/>
          <w:lang w:eastAsia="zh-CN"/>
        </w:rPr>
        <w:t>本年度推进法治政府建设的主要举措和成效</w:t>
      </w:r>
    </w:p>
    <w:p w14:paraId="3928B266">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3" w:firstLineChars="200"/>
        <w:textAlignment w:val="auto"/>
        <w:rPr>
          <w:rFonts w:hint="eastAsia" w:ascii="方正仿宋_GB18030" w:hAnsi="方正仿宋_GB18030" w:eastAsia="方正仿宋_GB18030" w:cs="方正仿宋_GB18030"/>
          <w:b/>
          <w:bCs/>
          <w:sz w:val="32"/>
          <w:szCs w:val="32"/>
          <w:lang w:eastAsia="zh-CN"/>
        </w:rPr>
      </w:pPr>
      <w:r>
        <w:rPr>
          <w:rFonts w:hint="eastAsia" w:ascii="方正仿宋_GB18030" w:hAnsi="方正仿宋_GB18030" w:eastAsia="方正仿宋_GB18030" w:cs="方正仿宋_GB18030"/>
          <w:b/>
          <w:bCs/>
          <w:sz w:val="32"/>
          <w:szCs w:val="32"/>
          <w:lang w:eastAsia="zh-CN"/>
        </w:rPr>
        <w:t>以体系建设为抓手，夯实普法治理基础</w:t>
      </w:r>
    </w:p>
    <w:p w14:paraId="3C2A0A7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18030" w:hAnsi="方正仿宋_GB18030" w:eastAsia="方正仿宋_GB18030" w:cs="方正仿宋_GB18030"/>
          <w:sz w:val="32"/>
          <w:szCs w:val="32"/>
          <w:lang w:val="en-US" w:eastAsia="zh-CN"/>
        </w:rPr>
      </w:pPr>
      <w:r>
        <w:rPr>
          <w:rFonts w:hint="eastAsia" w:ascii="方正仿宋_GB18030" w:hAnsi="方正仿宋_GB18030" w:eastAsia="方正仿宋_GB18030" w:cs="方正仿宋_GB18030"/>
          <w:b/>
          <w:bCs/>
          <w:sz w:val="32"/>
          <w:szCs w:val="32"/>
          <w:lang w:val="en-US" w:eastAsia="zh-CN"/>
        </w:rPr>
        <w:t>1、机制先行，加强组织保障。</w:t>
      </w:r>
      <w:r>
        <w:rPr>
          <w:rFonts w:hint="eastAsia" w:ascii="方正仿宋_GB18030" w:hAnsi="方正仿宋_GB18030" w:eastAsia="方正仿宋_GB18030" w:cs="方正仿宋_GB18030"/>
          <w:sz w:val="32"/>
          <w:szCs w:val="32"/>
          <w:lang w:val="en-US" w:eastAsia="zh-CN"/>
        </w:rPr>
        <w:t>做到四“有”:有普法领导小组，由主要领导负总责；有普法工作体系，工作上下联动;有普法规划计划，逐年分解并落实;有普法专项经费，有效保障普法实施。</w:t>
      </w:r>
    </w:p>
    <w:p w14:paraId="060DC15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18030" w:hAnsi="方正仿宋_GB18030" w:eastAsia="方正仿宋_GB18030" w:cs="方正仿宋_GB18030"/>
          <w:b w:val="0"/>
          <w:bCs w:val="0"/>
          <w:sz w:val="32"/>
          <w:szCs w:val="32"/>
          <w:lang w:val="en-US" w:eastAsia="zh-CN"/>
        </w:rPr>
      </w:pPr>
      <w:r>
        <w:rPr>
          <w:rFonts w:hint="eastAsia" w:ascii="方正仿宋_GB18030" w:hAnsi="方正仿宋_GB18030" w:eastAsia="方正仿宋_GB18030" w:cs="方正仿宋_GB18030"/>
          <w:b/>
          <w:bCs/>
          <w:sz w:val="32"/>
          <w:szCs w:val="32"/>
          <w:lang w:val="en-US" w:eastAsia="zh-CN"/>
        </w:rPr>
        <w:t>2、制度兜底，律师驻机关。</w:t>
      </w:r>
      <w:r>
        <w:rPr>
          <w:rFonts w:hint="eastAsia" w:ascii="方正仿宋_GB18030" w:hAnsi="方正仿宋_GB18030" w:eastAsia="方正仿宋_GB18030" w:cs="方正仿宋_GB18030"/>
          <w:sz w:val="32"/>
          <w:szCs w:val="32"/>
          <w:lang w:val="en-US" w:eastAsia="zh-CN"/>
        </w:rPr>
        <w:t>将普法依法治理工作纳入全局工作总体布局，规范执法行为，积极推动“三项制度”的全面落实，按照局属各单位的职责，层层分解普法任务。聘请湖南玉宇律师事务所专业律师张献峰担任我局法律顾问，在经济活动中充分征求意见；在涉及行政复议等问题上听取法律顾问专业意见。2024年累计审核合同及相关文件20多份，参与我局行政复议及行政诉讼案件8起。</w:t>
      </w:r>
    </w:p>
    <w:p w14:paraId="1D75B75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18030" w:hAnsi="方正仿宋_GB18030" w:eastAsia="方正仿宋_GB18030" w:cs="方正仿宋_GB18030"/>
          <w:sz w:val="32"/>
          <w:szCs w:val="32"/>
          <w:lang w:val="en-US" w:eastAsia="zh-CN"/>
        </w:rPr>
      </w:pPr>
      <w:r>
        <w:rPr>
          <w:rFonts w:hint="eastAsia" w:ascii="方正仿宋_GB18030" w:hAnsi="方正仿宋_GB18030" w:eastAsia="方正仿宋_GB18030" w:cs="方正仿宋_GB18030"/>
          <w:b/>
          <w:bCs/>
          <w:sz w:val="32"/>
          <w:szCs w:val="32"/>
          <w:lang w:val="en-US" w:eastAsia="zh-CN"/>
        </w:rPr>
        <w:t>3、推进综合执法体制改革，权责界限逐步明晰。</w:t>
      </w:r>
      <w:r>
        <w:rPr>
          <w:rFonts w:hint="eastAsia" w:ascii="方正仿宋_GB18030" w:hAnsi="方正仿宋_GB18030" w:eastAsia="方正仿宋_GB18030" w:cs="方正仿宋_GB18030"/>
          <w:sz w:val="32"/>
          <w:szCs w:val="32"/>
          <w:lang w:val="en-US" w:eastAsia="zh-CN"/>
        </w:rPr>
        <w:t>我局以改革为契机，梳理住建、环保等领域法律法规，重新制订了《湘乡市城市管理和综合执法局权力清单》，明确了执法权责、执法保障等内容，承接了住建部门的全部行政处罚权以及交通等部门的部分行政处罚权，同时根据改革的需要，对执法力量进行了相应的调整，至目前为止，综合执法体制改革已全部完成。</w:t>
      </w:r>
    </w:p>
    <w:p w14:paraId="74C07CE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321" w:firstLineChars="100"/>
        <w:textAlignment w:val="auto"/>
        <w:rPr>
          <w:rFonts w:hint="eastAsia" w:ascii="方正仿宋_GB18030" w:hAnsi="方正仿宋_GB18030" w:eastAsia="方正仿宋_GB18030" w:cs="方正仿宋_GB18030"/>
          <w:b/>
          <w:bCs/>
          <w:sz w:val="32"/>
          <w:szCs w:val="32"/>
          <w:lang w:eastAsia="zh-CN"/>
        </w:rPr>
      </w:pPr>
      <w:r>
        <w:rPr>
          <w:rFonts w:hint="eastAsia" w:ascii="方正仿宋_GB18030" w:hAnsi="方正仿宋_GB18030" w:eastAsia="方正仿宋_GB18030" w:cs="方正仿宋_GB18030"/>
          <w:b/>
          <w:bCs/>
          <w:sz w:val="32"/>
          <w:szCs w:val="32"/>
          <w:lang w:eastAsia="zh-CN"/>
        </w:rPr>
        <w:t>（二）以学习考核为抓手，提升依法行政水平</w:t>
      </w:r>
    </w:p>
    <w:p w14:paraId="658446C9">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方正仿宋_GB18030" w:hAnsi="方正仿宋_GB18030" w:eastAsia="方正仿宋_GB18030" w:cs="方正仿宋_GB18030"/>
          <w:sz w:val="32"/>
          <w:szCs w:val="32"/>
          <w:lang w:val="en-US" w:eastAsia="zh-CN"/>
        </w:rPr>
      </w:pPr>
      <w:r>
        <w:rPr>
          <w:rFonts w:hint="eastAsia" w:ascii="仿宋_GB2312" w:hAnsi="仿宋_GB2312" w:eastAsia="仿宋_GB2312" w:cs="仿宋_GB2312"/>
          <w:sz w:val="32"/>
          <w:szCs w:val="32"/>
          <w:lang w:val="en-US" w:eastAsia="zh-CN"/>
        </w:rPr>
        <w:t>全年举办集中培训学习3场，参加集中学习培训的执法人员430人次，线上培训学习人均在30个学时以上，行政执法人员培训占比达100％。组织开展行政执法人员法律知识考试2场次。赴省市参加培训共计2人次。</w:t>
      </w:r>
      <w:r>
        <w:rPr>
          <w:rFonts w:hint="eastAsia" w:ascii="方正仿宋_GB18030" w:hAnsi="方正仿宋_GB18030" w:eastAsia="方正仿宋_GB18030" w:cs="方正仿宋_GB18030"/>
          <w:sz w:val="32"/>
          <w:szCs w:val="32"/>
          <w:lang w:val="en-US" w:eastAsia="zh-CN"/>
        </w:rPr>
        <w:t>现全局现有201人获得全省统一的行政执法资格，执法人员100%持证上岗；组织全局干部职工494人参加2024年度国家工作人员无纸化学法用法学习和考试，参学率、参考率、合格率均达到100%。</w:t>
      </w:r>
    </w:p>
    <w:p w14:paraId="31622D1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18030" w:hAnsi="方正仿宋_GB18030" w:eastAsia="方正仿宋_GB18030" w:cs="方正仿宋_GB18030"/>
          <w:b/>
          <w:bCs/>
          <w:sz w:val="32"/>
          <w:szCs w:val="32"/>
          <w:lang w:val="en-US" w:eastAsia="zh-CN"/>
        </w:rPr>
      </w:pPr>
      <w:r>
        <w:rPr>
          <w:rFonts w:hint="eastAsia" w:ascii="方正仿宋_GB18030" w:hAnsi="方正仿宋_GB18030" w:eastAsia="方正仿宋_GB18030" w:cs="方正仿宋_GB18030"/>
          <w:b/>
          <w:bCs/>
          <w:sz w:val="32"/>
          <w:szCs w:val="32"/>
          <w:lang w:val="en-US" w:eastAsia="zh-CN"/>
        </w:rPr>
        <w:t>（三）以宣传教育为抓手，营造崇尚法治氛围</w:t>
      </w:r>
    </w:p>
    <w:p w14:paraId="27C7C27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18030" w:hAnsi="方正仿宋_GB18030" w:eastAsia="方正仿宋_GB18030" w:cs="方正仿宋_GB18030"/>
          <w:sz w:val="32"/>
          <w:szCs w:val="32"/>
          <w:lang w:val="en-US" w:eastAsia="zh-CN"/>
        </w:rPr>
      </w:pPr>
      <w:r>
        <w:rPr>
          <w:rFonts w:hint="eastAsia" w:ascii="方正仿宋_GB18030" w:hAnsi="方正仿宋_GB18030" w:eastAsia="方正仿宋_GB18030" w:cs="方正仿宋_GB18030"/>
          <w:b/>
          <w:bCs/>
          <w:sz w:val="32"/>
          <w:szCs w:val="32"/>
          <w:lang w:val="en-US" w:eastAsia="zh-CN"/>
        </w:rPr>
        <w:t>1、组织开展法律宣传活动，“送法到家”与“上门取经”相结合。</w:t>
      </w:r>
      <w:r>
        <w:rPr>
          <w:rFonts w:hint="eastAsia" w:ascii="方正仿宋_GB18030" w:hAnsi="方正仿宋_GB18030" w:eastAsia="方正仿宋_GB18030" w:cs="方正仿宋_GB18030"/>
          <w:sz w:val="32"/>
          <w:szCs w:val="32"/>
          <w:lang w:val="en-US" w:eastAsia="zh-CN"/>
        </w:rPr>
        <w:t>上门送法，组织执法人员深入乡村、社区等宣传城市管理法律法规，主动受理咨询，现场解答疑难。印制并发放了《湖南省综合管理条例》等宣传资料6千多份，并通过宣传牌等传播手段扩大宣传覆盖面和影响力。</w:t>
      </w:r>
    </w:p>
    <w:p w14:paraId="27C1CC5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18030" w:hAnsi="方正仿宋_GB18030" w:eastAsia="方正仿宋_GB18030" w:cs="方正仿宋_GB18030"/>
          <w:sz w:val="32"/>
          <w:szCs w:val="32"/>
          <w:lang w:val="en-US" w:eastAsia="zh-CN"/>
        </w:rPr>
      </w:pPr>
      <w:r>
        <w:rPr>
          <w:rFonts w:hint="eastAsia" w:ascii="方正仿宋_GB18030" w:hAnsi="方正仿宋_GB18030" w:eastAsia="方正仿宋_GB18030" w:cs="方正仿宋_GB18030"/>
          <w:b/>
          <w:bCs/>
          <w:sz w:val="32"/>
          <w:szCs w:val="32"/>
          <w:lang w:val="en-US" w:eastAsia="zh-CN"/>
        </w:rPr>
        <w:t>2、加强法治文化阵地建设</w:t>
      </w:r>
      <w:r>
        <w:rPr>
          <w:rFonts w:hint="eastAsia" w:ascii="方正仿宋_GB18030" w:hAnsi="方正仿宋_GB18030" w:eastAsia="方正仿宋_GB18030" w:cs="方正仿宋_GB18030"/>
          <w:sz w:val="32"/>
          <w:szCs w:val="32"/>
          <w:lang w:val="en-US" w:eastAsia="zh-CN"/>
        </w:rPr>
        <w:t>。在中国湘乡网和“湘乡城管”微信公众号对城管系统基层一线城管工作进行宣传，并对市内市容环境卫生整治工作和典型案例进行“案例+法律依据+处罚决定”式曝光。</w:t>
      </w:r>
    </w:p>
    <w:p w14:paraId="502E6EA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18030" w:hAnsi="方正仿宋_GB18030" w:eastAsia="方正仿宋_GB18030" w:cs="方正仿宋_GB18030"/>
          <w:sz w:val="32"/>
          <w:szCs w:val="32"/>
          <w:lang w:val="en-US" w:eastAsia="zh-CN"/>
        </w:rPr>
      </w:pPr>
      <w:r>
        <w:rPr>
          <w:rFonts w:hint="eastAsia" w:ascii="方正仿宋_GB18030" w:hAnsi="方正仿宋_GB18030" w:eastAsia="方正仿宋_GB18030" w:cs="方正仿宋_GB18030"/>
          <w:b/>
          <w:bCs/>
          <w:sz w:val="32"/>
          <w:szCs w:val="32"/>
          <w:lang w:val="en-US" w:eastAsia="zh-CN"/>
        </w:rPr>
        <w:t>3、推行“172+”城市执法新模式与普法依法治理相结合。</w:t>
      </w:r>
      <w:r>
        <w:rPr>
          <w:rFonts w:hint="eastAsia" w:ascii="方正仿宋_GB18030" w:hAnsi="方正仿宋_GB18030" w:eastAsia="方正仿宋_GB18030" w:cs="方正仿宋_GB18030"/>
          <w:sz w:val="32"/>
          <w:szCs w:val="32"/>
          <w:lang w:val="en-US" w:eastAsia="zh-CN"/>
        </w:rPr>
        <w:t>通过</w:t>
      </w:r>
      <w:r>
        <w:rPr>
          <w:rFonts w:hint="eastAsia" w:ascii="方正仿宋_GB18030" w:hAnsi="方正仿宋_GB18030" w:eastAsia="方正仿宋_GB18030" w:cs="方正仿宋_GB18030"/>
          <w:sz w:val="32"/>
          <w:szCs w:val="32"/>
        </w:rPr>
        <w:t>“</w:t>
      </w:r>
      <w:r>
        <w:rPr>
          <w:rFonts w:hint="eastAsia" w:ascii="方正仿宋_GB18030" w:hAnsi="方正仿宋_GB18030" w:eastAsia="方正仿宋_GB18030" w:cs="方正仿宋_GB18030"/>
          <w:sz w:val="32"/>
          <w:szCs w:val="32"/>
          <w:lang w:val="en-US" w:eastAsia="zh-CN"/>
        </w:rPr>
        <w:t>172+”工作法加单元化管理工作模式，有效引导管理对象依法依规办事，</w:t>
      </w:r>
      <w:r>
        <w:rPr>
          <w:rFonts w:hint="eastAsia" w:ascii="方正仿宋_GB18030" w:hAnsi="方正仿宋_GB18030" w:eastAsia="方正仿宋_GB18030" w:cs="方正仿宋_GB18030"/>
          <w:sz w:val="32"/>
          <w:szCs w:val="32"/>
        </w:rPr>
        <w:t>变被动管理为主动服务的理念，变末端执法为源头治理，</w:t>
      </w:r>
      <w:r>
        <w:rPr>
          <w:rFonts w:hint="eastAsia" w:ascii="方正仿宋_GB18030" w:hAnsi="方正仿宋_GB18030" w:eastAsia="方正仿宋_GB18030" w:cs="方正仿宋_GB18030"/>
          <w:sz w:val="32"/>
          <w:szCs w:val="32"/>
          <w:lang w:val="en-US" w:eastAsia="zh-CN"/>
        </w:rPr>
        <w:t>以前期普法宣传为主，后期处罚教育为辅，从源头上减少违法案件的发生。</w:t>
      </w:r>
    </w:p>
    <w:p w14:paraId="30FC53C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18030" w:hAnsi="方正仿宋_GB18030" w:eastAsia="方正仿宋_GB18030" w:cs="方正仿宋_GB18030"/>
          <w:b/>
          <w:bCs/>
          <w:sz w:val="32"/>
          <w:szCs w:val="32"/>
          <w:lang w:val="en-US" w:eastAsia="zh-CN"/>
        </w:rPr>
      </w:pPr>
      <w:r>
        <w:rPr>
          <w:rFonts w:hint="eastAsia" w:ascii="方正仿宋_GB18030" w:hAnsi="方正仿宋_GB18030" w:eastAsia="方正仿宋_GB18030" w:cs="方正仿宋_GB18030"/>
          <w:b/>
          <w:bCs/>
          <w:sz w:val="32"/>
          <w:szCs w:val="32"/>
          <w:lang w:val="en-US" w:eastAsia="zh-CN"/>
        </w:rPr>
        <w:t>（四）以严格执法为抓手，提升管理服务水平</w:t>
      </w:r>
    </w:p>
    <w:p w14:paraId="0CAA83BC">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both"/>
        <w:textAlignment w:val="auto"/>
        <w:rPr>
          <w:rFonts w:hint="eastAsia" w:ascii="方正仿宋_GB18030" w:hAnsi="方正仿宋_GB18030" w:eastAsia="方正仿宋_GB18030" w:cs="方正仿宋_GB18030"/>
          <w:sz w:val="32"/>
          <w:szCs w:val="32"/>
          <w:lang w:val="en-US" w:eastAsia="zh-CN"/>
        </w:rPr>
      </w:pPr>
      <w:r>
        <w:rPr>
          <w:rFonts w:hint="eastAsia" w:ascii="方正仿宋_GB18030" w:hAnsi="方正仿宋_GB18030" w:eastAsia="方正仿宋_GB18030" w:cs="方正仿宋_GB18030"/>
          <w:b/>
          <w:bCs/>
          <w:sz w:val="32"/>
          <w:szCs w:val="32"/>
          <w:lang w:val="en-US" w:eastAsia="zh-CN"/>
        </w:rPr>
        <w:t>1、强化市容秩序治理。</w:t>
      </w:r>
      <w:r>
        <w:rPr>
          <w:rFonts w:hint="eastAsia" w:ascii="方正仿宋_GB18030" w:hAnsi="方正仿宋_GB18030" w:eastAsia="方正仿宋_GB18030" w:cs="方正仿宋_GB18030"/>
          <w:sz w:val="32"/>
          <w:szCs w:val="32"/>
          <w:lang w:val="en-US" w:eastAsia="zh-CN"/>
        </w:rPr>
        <w:t>坚持常态巡查治理的同时，重点突出对校园及汽车站周边环境秩序、城区占道经营夜市摊点流动摊贩等进行了集中整治清理，年初以来开展了21次规模较大的市容整顿，</w:t>
      </w:r>
      <w:r>
        <w:rPr>
          <w:rFonts w:hint="eastAsia" w:ascii="仿宋_GB2312" w:hAnsi="仿宋_GB2312" w:eastAsia="仿宋_GB2312" w:cs="仿宋_GB2312"/>
          <w:sz w:val="32"/>
          <w:szCs w:val="32"/>
          <w:lang w:val="en-US" w:eastAsia="zh-CN"/>
        </w:rPr>
        <w:t>2024年我局办理行政许可380件；行政确认7件；实施行政处罚13610件，罚没收入293万元；进行行政检查670次；强制拆除违建36处，共计980平方米。</w:t>
      </w:r>
    </w:p>
    <w:p w14:paraId="7E52051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18030" w:hAnsi="方正仿宋_GB18030" w:eastAsia="方正仿宋_GB18030" w:cs="方正仿宋_GB18030"/>
          <w:sz w:val="32"/>
          <w:szCs w:val="32"/>
          <w:lang w:val="en-US" w:eastAsia="zh-CN"/>
        </w:rPr>
      </w:pPr>
      <w:r>
        <w:rPr>
          <w:rFonts w:hint="eastAsia" w:ascii="方正仿宋_GB18030" w:hAnsi="方正仿宋_GB18030" w:eastAsia="方正仿宋_GB18030" w:cs="方正仿宋_GB18030"/>
          <w:b/>
          <w:bCs/>
          <w:sz w:val="32"/>
          <w:szCs w:val="32"/>
          <w:lang w:val="en-US" w:eastAsia="zh-CN"/>
        </w:rPr>
        <w:t>2、提升道路占破管理水平。</w:t>
      </w:r>
      <w:r>
        <w:rPr>
          <w:rFonts w:hint="eastAsia" w:ascii="方正仿宋_GB18030" w:hAnsi="方正仿宋_GB18030" w:eastAsia="方正仿宋_GB18030" w:cs="方正仿宋_GB18030"/>
          <w:sz w:val="32"/>
          <w:szCs w:val="32"/>
          <w:lang w:val="en-US" w:eastAsia="zh-CN"/>
        </w:rPr>
        <w:t>2024年行政许可临时占用和挖掘城市道路共211件。门店装修“先围挡后施工”的原则采用统一挡板围挡。拆除道路路缘接坡32处，拆除废旧交通指示牌45处。</w:t>
      </w:r>
    </w:p>
    <w:p w14:paraId="4358F0A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18030" w:hAnsi="方正仿宋_GB18030" w:eastAsia="方正仿宋_GB18030" w:cs="方正仿宋_GB18030"/>
          <w:sz w:val="32"/>
          <w:szCs w:val="32"/>
          <w:lang w:val="en-US" w:eastAsia="zh-CN"/>
        </w:rPr>
      </w:pPr>
      <w:r>
        <w:rPr>
          <w:rFonts w:hint="eastAsia" w:ascii="方正仿宋_GB18030" w:hAnsi="方正仿宋_GB18030" w:eastAsia="方正仿宋_GB18030" w:cs="方正仿宋_GB18030"/>
          <w:b/>
          <w:bCs/>
          <w:sz w:val="32"/>
          <w:szCs w:val="32"/>
          <w:lang w:val="en-US" w:eastAsia="zh-CN"/>
        </w:rPr>
        <w:t>3、规范户外广告设置。</w:t>
      </w:r>
      <w:r>
        <w:rPr>
          <w:rFonts w:hint="eastAsia" w:ascii="方正仿宋_GB18030" w:hAnsi="方正仿宋_GB18030" w:eastAsia="方正仿宋_GB18030" w:cs="方正仿宋_GB18030"/>
          <w:b w:val="0"/>
          <w:bCs w:val="0"/>
          <w:sz w:val="32"/>
          <w:szCs w:val="32"/>
          <w:lang w:val="en-US" w:eastAsia="zh-CN"/>
        </w:rPr>
        <w:t>2024年</w:t>
      </w:r>
      <w:r>
        <w:rPr>
          <w:rFonts w:hint="eastAsia" w:ascii="方正仿宋_GB18030" w:hAnsi="方正仿宋_GB18030" w:eastAsia="方正仿宋_GB18030" w:cs="方正仿宋_GB18030"/>
          <w:sz w:val="32"/>
          <w:szCs w:val="32"/>
          <w:lang w:val="en-US" w:eastAsia="zh-CN"/>
        </w:rPr>
        <w:t>行政许可户外广告201件，对城区影响市容和存在安全隐患的户外广告开展了拆除工作，共拆除80余处，总面积达4000余平米，横幅400余条，灯箱等各类小广告牌36处。</w:t>
      </w:r>
    </w:p>
    <w:p w14:paraId="0F5CC883">
      <w:pPr>
        <w:keepNext w:val="0"/>
        <w:keepLines w:val="0"/>
        <w:pageBreakBefore w:val="0"/>
        <w:widowControl w:val="0"/>
        <w:kinsoku/>
        <w:wordWrap/>
        <w:overflowPunct/>
        <w:topLinePunct w:val="0"/>
        <w:autoSpaceDE/>
        <w:autoSpaceDN/>
        <w:bidi w:val="0"/>
        <w:adjustRightInd w:val="0"/>
        <w:snapToGrid w:val="0"/>
        <w:spacing w:line="560" w:lineRule="exact"/>
        <w:ind w:firstLine="482" w:firstLineChars="150"/>
        <w:textAlignment w:val="auto"/>
        <w:rPr>
          <w:rFonts w:hint="eastAsia" w:ascii="方正仿宋_GB18030" w:hAnsi="方正仿宋_GB18030" w:eastAsia="方正仿宋_GB18030" w:cs="方正仿宋_GB18030"/>
          <w:sz w:val="32"/>
          <w:szCs w:val="32"/>
          <w:lang w:eastAsia="zh-CN"/>
        </w:rPr>
      </w:pPr>
      <w:r>
        <w:rPr>
          <w:rFonts w:hint="eastAsia" w:ascii="方正仿宋_GB18030" w:hAnsi="方正仿宋_GB18030" w:eastAsia="方正仿宋_GB18030" w:cs="方正仿宋_GB18030"/>
          <w:b/>
          <w:bCs/>
          <w:sz w:val="32"/>
          <w:szCs w:val="32"/>
          <w:lang w:val="en-US" w:eastAsia="zh-CN"/>
        </w:rPr>
        <w:t>4、</w:t>
      </w:r>
      <w:r>
        <w:rPr>
          <w:rFonts w:hint="eastAsia" w:ascii="方正仿宋_GB18030" w:hAnsi="方正仿宋_GB18030" w:eastAsia="方正仿宋_GB18030" w:cs="方正仿宋_GB18030"/>
          <w:b/>
          <w:bCs/>
          <w:sz w:val="32"/>
          <w:szCs w:val="32"/>
        </w:rPr>
        <w:t>城市燃气行业安全运行</w:t>
      </w:r>
      <w:r>
        <w:rPr>
          <w:rFonts w:hint="eastAsia" w:ascii="方正仿宋_GB18030" w:hAnsi="方正仿宋_GB18030" w:eastAsia="方正仿宋_GB18030" w:cs="方正仿宋_GB18030"/>
          <w:b/>
          <w:bCs/>
          <w:sz w:val="32"/>
          <w:szCs w:val="32"/>
          <w:lang w:eastAsia="zh-CN"/>
        </w:rPr>
        <w:t>。</w:t>
      </w:r>
      <w:r>
        <w:rPr>
          <w:rFonts w:hint="eastAsia" w:ascii="方正仿宋_GB18030" w:hAnsi="方正仿宋_GB18030" w:eastAsia="方正仿宋_GB18030" w:cs="方正仿宋_GB18030"/>
          <w:sz w:val="32"/>
          <w:szCs w:val="32"/>
        </w:rPr>
        <w:t>2024年以来，开展燃气安全排查整治“回头看”共出动检查人员450人次，组织燃气从业人员对全市燃气用户开展入户安全检查和宣传行动，张贴燃气安全明白卡428张，橡胶软管更换燃气专用管35根，更换不可调节减压阀210个，安装燃气泄漏报警器125个，排查发现燃气安全隐患167处，通过“回头看”行动整改完成167处，依法扣押液化气瓶75个，制作督查检查文书120份，下达交办督办文件2份。联合相关执法单位开展燃气安全“打非治违”专项行动12次，立案查处6起，移送1起，罚款3万元。</w:t>
      </w:r>
    </w:p>
    <w:p w14:paraId="72ACCD69">
      <w:pPr>
        <w:pStyle w:val="7"/>
        <w:rPr>
          <w:rFonts w:hint="eastAsia"/>
          <w:b/>
          <w:bCs/>
          <w:lang w:eastAsia="zh-CN"/>
        </w:rPr>
      </w:pPr>
      <w:r>
        <w:rPr>
          <w:rFonts w:hint="eastAsia" w:ascii="方正仿宋_GB18030" w:hAnsi="方正仿宋_GB18030" w:eastAsia="方正仿宋_GB18030" w:cs="方正仿宋_GB18030"/>
          <w:b/>
          <w:bCs/>
          <w:sz w:val="32"/>
          <w:szCs w:val="32"/>
          <w:lang w:eastAsia="zh-CN"/>
        </w:rPr>
        <w:t>五、主要负责人履行推进法治建设第一责任人职责，加强法治政府建设</w:t>
      </w:r>
    </w:p>
    <w:p w14:paraId="02BF380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45"/>
        <w:textAlignment w:val="auto"/>
        <w:rPr>
          <w:rFonts w:hint="eastAsia" w:ascii="方正仿宋_GB18030" w:hAnsi="方正仿宋_GB18030" w:eastAsia="方正仿宋_GB18030" w:cs="方正仿宋_GB18030"/>
          <w:kern w:val="2"/>
          <w:sz w:val="32"/>
          <w:szCs w:val="32"/>
          <w:lang w:val="en-US" w:eastAsia="zh-CN" w:bidi="ar-SA"/>
        </w:rPr>
      </w:pPr>
      <w:r>
        <w:rPr>
          <w:rFonts w:hint="eastAsia" w:ascii="方正仿宋_GB18030" w:hAnsi="方正仿宋_GB18030" w:eastAsia="方正仿宋_GB18030" w:cs="方正仿宋_GB18030"/>
          <w:kern w:val="2"/>
          <w:sz w:val="32"/>
          <w:szCs w:val="32"/>
          <w:lang w:val="en-US" w:eastAsia="zh-CN" w:bidi="ar-SA"/>
        </w:rPr>
        <w:t>局党委书记在2024年学习了《习近平新时代中国特色社会主义思想》、党的二十大精神、党章等，夯实理论根基。全年共参加理论中心组学习和党建、业务等方面的学习40余次。组织1000余人次开展了行政执法、安全教育、党建业务教育培训。带领党员干部深入联点村开展结对帮扶9次。</w:t>
      </w:r>
    </w:p>
    <w:p w14:paraId="2DF5256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18030" w:hAnsi="方正仿宋_GB18030" w:eastAsia="方正仿宋_GB18030" w:cs="方正仿宋_GB18030"/>
          <w:sz w:val="32"/>
          <w:szCs w:val="32"/>
          <w:lang w:val="en-US" w:eastAsia="zh-CN"/>
        </w:rPr>
      </w:pPr>
      <w:r>
        <w:rPr>
          <w:rFonts w:hint="eastAsia" w:ascii="方正仿宋_GB18030" w:hAnsi="方正仿宋_GB18030" w:eastAsia="方正仿宋_GB18030" w:cs="方正仿宋_GB18030"/>
          <w:sz w:val="32"/>
          <w:szCs w:val="32"/>
          <w:lang w:val="en-US" w:eastAsia="zh-CN"/>
        </w:rPr>
        <w:t>二、工作中存在的问题</w:t>
      </w:r>
    </w:p>
    <w:p w14:paraId="7BAE053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18030" w:hAnsi="方正仿宋_GB18030" w:eastAsia="方正仿宋_GB18030" w:cs="方正仿宋_GB18030"/>
          <w:sz w:val="32"/>
          <w:szCs w:val="32"/>
          <w:lang w:val="en-US" w:eastAsia="zh-CN"/>
        </w:rPr>
      </w:pPr>
      <w:r>
        <w:rPr>
          <w:rFonts w:hint="eastAsia" w:ascii="方正仿宋_GB18030" w:hAnsi="方正仿宋_GB18030" w:eastAsia="方正仿宋_GB18030" w:cs="方正仿宋_GB18030"/>
          <w:b/>
          <w:bCs/>
          <w:sz w:val="32"/>
          <w:szCs w:val="32"/>
          <w:lang w:val="en-US" w:eastAsia="zh-CN"/>
        </w:rPr>
        <w:t>（一）整体推进还不平衡。</w:t>
      </w:r>
      <w:r>
        <w:rPr>
          <w:rFonts w:hint="eastAsia" w:ascii="方正仿宋_GB18030" w:hAnsi="方正仿宋_GB18030" w:eastAsia="方正仿宋_GB18030" w:cs="方正仿宋_GB18030"/>
          <w:b w:val="0"/>
          <w:bCs w:val="0"/>
          <w:sz w:val="32"/>
          <w:szCs w:val="32"/>
          <w:lang w:val="en-US" w:eastAsia="zh-CN"/>
        </w:rPr>
        <w:t>有些</w:t>
      </w:r>
      <w:r>
        <w:rPr>
          <w:rFonts w:hint="eastAsia" w:ascii="方正仿宋_GB18030" w:hAnsi="方正仿宋_GB18030" w:eastAsia="方正仿宋_GB18030" w:cs="方正仿宋_GB18030"/>
          <w:sz w:val="32"/>
          <w:szCs w:val="32"/>
          <w:lang w:val="en-US" w:eastAsia="zh-CN"/>
        </w:rPr>
        <w:t>局属单位对法治宣传教育重视不够，认为法治宣传教育是费时费力收效慢的“软任务”，很少排出时间和精力推进普法工作。</w:t>
      </w:r>
      <w:bookmarkStart w:id="0" w:name="_GoBack"/>
      <w:bookmarkEnd w:id="0"/>
    </w:p>
    <w:p w14:paraId="2A428B0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18030" w:hAnsi="方正仿宋_GB18030" w:eastAsia="方正仿宋_GB18030" w:cs="方正仿宋_GB18030"/>
          <w:sz w:val="32"/>
          <w:szCs w:val="32"/>
          <w:lang w:val="en-US" w:eastAsia="zh-CN"/>
        </w:rPr>
      </w:pPr>
      <w:r>
        <w:rPr>
          <w:rFonts w:hint="eastAsia" w:ascii="方正仿宋_GB18030" w:hAnsi="方正仿宋_GB18030" w:eastAsia="方正仿宋_GB18030" w:cs="方正仿宋_GB18030"/>
          <w:b/>
          <w:bCs/>
          <w:sz w:val="32"/>
          <w:szCs w:val="32"/>
          <w:lang w:val="en-US" w:eastAsia="zh-CN"/>
        </w:rPr>
        <w:t>（二）群众参与度还不够高，普法的经费、人力投入不足。</w:t>
      </w:r>
      <w:r>
        <w:rPr>
          <w:rFonts w:hint="eastAsia" w:ascii="方正仿宋_GB18030" w:hAnsi="方正仿宋_GB18030" w:eastAsia="方正仿宋_GB18030" w:cs="方正仿宋_GB18030"/>
          <w:sz w:val="32"/>
          <w:szCs w:val="32"/>
          <w:lang w:val="en-US" w:eastAsia="zh-CN"/>
        </w:rPr>
        <w:t>我局组织了多种形式的普法活动，但普法教育方法陈旧、内容单一，不符合市民胃口，群众参与热情也比较低。现全局专职的普法工作人员少，经费不足，束缚普法工作的有效开展。</w:t>
      </w:r>
    </w:p>
    <w:p w14:paraId="1A4A7A52">
      <w:pPr>
        <w:keepNext w:val="0"/>
        <w:keepLines w:val="0"/>
        <w:pageBreakBefore w:val="0"/>
        <w:widowControl w:val="0"/>
        <w:kinsoku/>
        <w:wordWrap/>
        <w:overflowPunct/>
        <w:topLinePunct w:val="0"/>
        <w:autoSpaceDE/>
        <w:autoSpaceDN/>
        <w:bidi w:val="0"/>
        <w:adjustRightInd/>
        <w:snapToGrid/>
        <w:spacing w:line="560" w:lineRule="exact"/>
        <w:ind w:firstLine="964" w:firstLineChars="300"/>
        <w:textAlignment w:val="auto"/>
        <w:rPr>
          <w:rFonts w:hint="eastAsia" w:ascii="方正仿宋_GB18030" w:hAnsi="方正仿宋_GB18030" w:eastAsia="方正仿宋_GB18030" w:cs="方正仿宋_GB18030"/>
          <w:sz w:val="32"/>
          <w:szCs w:val="32"/>
          <w:lang w:val="en-US" w:eastAsia="zh-CN"/>
        </w:rPr>
      </w:pPr>
      <w:r>
        <w:rPr>
          <w:rFonts w:hint="eastAsia" w:ascii="方正仿宋_GB18030" w:hAnsi="方正仿宋_GB18030" w:eastAsia="方正仿宋_GB18030" w:cs="方正仿宋_GB18030"/>
          <w:b/>
          <w:bCs/>
          <w:sz w:val="32"/>
          <w:szCs w:val="32"/>
          <w:lang w:val="en-US" w:eastAsia="zh-CN"/>
        </w:rPr>
        <w:t>(三)执法人员综合素质较低。</w:t>
      </w:r>
      <w:r>
        <w:rPr>
          <w:rFonts w:hint="eastAsia" w:ascii="方正仿宋_GB18030" w:hAnsi="方正仿宋_GB18030" w:eastAsia="方正仿宋_GB18030" w:cs="方正仿宋_GB18030"/>
          <w:sz w:val="32"/>
          <w:szCs w:val="32"/>
          <w:lang w:val="en-US" w:eastAsia="zh-CN"/>
        </w:rPr>
        <w:t>执法人员执法水平不高，专业技术人员匮乏，文化层次参差不齐，机构编制不足，激励措施不多。</w:t>
      </w:r>
    </w:p>
    <w:p w14:paraId="427FC09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方正仿宋_GB18030" w:hAnsi="方正仿宋_GB18030" w:eastAsia="方正仿宋_GB18030" w:cs="方正仿宋_GB18030"/>
          <w:sz w:val="32"/>
          <w:szCs w:val="32"/>
          <w:lang w:val="en-US" w:eastAsia="zh-CN"/>
        </w:rPr>
      </w:pPr>
      <w:r>
        <w:rPr>
          <w:rFonts w:hint="eastAsia" w:ascii="方正仿宋_GB18030" w:hAnsi="方正仿宋_GB18030" w:eastAsia="方正仿宋_GB18030" w:cs="方正仿宋_GB18030"/>
          <w:sz w:val="32"/>
          <w:szCs w:val="32"/>
          <w:lang w:val="en-US" w:eastAsia="zh-CN"/>
        </w:rPr>
        <w:t xml:space="preserve"> 三、下步工作计划</w:t>
      </w:r>
    </w:p>
    <w:p w14:paraId="0974041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outlineLvl w:val="9"/>
        <w:rPr>
          <w:rFonts w:hint="eastAsia" w:ascii="方正仿宋_GB18030" w:hAnsi="方正仿宋_GB18030" w:eastAsia="方正仿宋_GB18030" w:cs="方正仿宋_GB18030"/>
          <w:sz w:val="32"/>
          <w:szCs w:val="32"/>
          <w:lang w:val="en-US" w:eastAsia="zh-CN"/>
        </w:rPr>
      </w:pPr>
      <w:r>
        <w:rPr>
          <w:rFonts w:hint="eastAsia" w:ascii="方正仿宋_GB18030" w:hAnsi="方正仿宋_GB18030" w:eastAsia="方正仿宋_GB18030" w:cs="方正仿宋_GB18030"/>
          <w:b/>
          <w:bCs/>
          <w:sz w:val="32"/>
          <w:szCs w:val="32"/>
          <w:lang w:val="en-US" w:eastAsia="zh-CN"/>
        </w:rPr>
        <w:t>（一）完善考核机制，强化督查。</w:t>
      </w:r>
      <w:r>
        <w:rPr>
          <w:rFonts w:hint="eastAsia" w:ascii="方正仿宋_GB18030" w:hAnsi="方正仿宋_GB18030" w:eastAsia="方正仿宋_GB18030" w:cs="方正仿宋_GB18030"/>
          <w:sz w:val="32"/>
          <w:szCs w:val="32"/>
          <w:lang w:val="en-US" w:eastAsia="zh-CN"/>
        </w:rPr>
        <w:t>建立“谁主管、谁负责”普法工作机制，层层抓好工作落实。将普法工作纳入年度考核范畴，从领导重视、法制培训、普法宣传工作、依法治理等方面，进行工作量化，考核结果定期公布，真正使管理手段“严”起来。</w:t>
      </w:r>
    </w:p>
    <w:p w14:paraId="75285C4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outlineLvl w:val="9"/>
        <w:rPr>
          <w:rFonts w:hint="eastAsia" w:ascii="方正仿宋_GB18030" w:hAnsi="方正仿宋_GB18030" w:eastAsia="方正仿宋_GB18030" w:cs="方正仿宋_GB18030"/>
          <w:sz w:val="32"/>
          <w:szCs w:val="32"/>
          <w:lang w:val="en-US" w:eastAsia="zh-CN"/>
        </w:rPr>
      </w:pPr>
      <w:r>
        <w:rPr>
          <w:rFonts w:hint="eastAsia" w:ascii="方正仿宋_GB18030" w:hAnsi="方正仿宋_GB18030" w:eastAsia="方正仿宋_GB18030" w:cs="方正仿宋_GB18030"/>
          <w:b/>
          <w:bCs/>
          <w:sz w:val="32"/>
          <w:szCs w:val="32"/>
          <w:lang w:val="en-US" w:eastAsia="zh-CN"/>
        </w:rPr>
        <w:t>（二）深化创新，加强普法保障。</w:t>
      </w:r>
      <w:r>
        <w:rPr>
          <w:rFonts w:hint="eastAsia" w:ascii="方正仿宋_GB18030" w:hAnsi="方正仿宋_GB18030" w:eastAsia="方正仿宋_GB18030" w:cs="方正仿宋_GB18030"/>
          <w:sz w:val="32"/>
          <w:szCs w:val="32"/>
          <w:lang w:val="en-US" w:eastAsia="zh-CN"/>
        </w:rPr>
        <w:t>区别不同对象，要坚持贴近群众，围绕群众关注的城市管理热点难点问题，通过典型示范、热点引导、舆论监督等，做到“普法内容为群众所需、普法方式为群众所喜、普法成效为群众所赞”。进一步强化责任意识，落实主体责任，完善工作机制，确保在人、财、物方面给予充分保障。</w:t>
      </w:r>
    </w:p>
    <w:p w14:paraId="6389E28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outlineLvl w:val="9"/>
        <w:rPr>
          <w:rFonts w:hint="eastAsia" w:ascii="方正仿宋_GB18030" w:hAnsi="方正仿宋_GB18030" w:eastAsia="方正仿宋_GB18030" w:cs="方正仿宋_GB18030"/>
          <w:sz w:val="32"/>
          <w:szCs w:val="32"/>
          <w:lang w:val="en-US" w:eastAsia="zh-CN"/>
        </w:rPr>
      </w:pPr>
      <w:r>
        <w:rPr>
          <w:rFonts w:hint="eastAsia" w:ascii="方正仿宋_GB18030" w:hAnsi="方正仿宋_GB18030" w:eastAsia="方正仿宋_GB18030" w:cs="方正仿宋_GB18030"/>
          <w:b/>
          <w:bCs/>
          <w:sz w:val="32"/>
          <w:szCs w:val="32"/>
          <w:lang w:val="en-US" w:eastAsia="zh-CN"/>
        </w:rPr>
        <w:t>（三）开展技能培训，培育新人。</w:t>
      </w:r>
      <w:r>
        <w:rPr>
          <w:rFonts w:hint="eastAsia" w:ascii="方正仿宋_GB18030" w:hAnsi="方正仿宋_GB18030" w:eastAsia="方正仿宋_GB18030" w:cs="方正仿宋_GB18030"/>
          <w:sz w:val="32"/>
          <w:szCs w:val="32"/>
          <w:lang w:val="en-US" w:eastAsia="zh-CN"/>
        </w:rPr>
        <w:t>以分类指导、个别提升、以老带新等形式开展执法技能培训，开展案件办理探讨交流，推进“拳头型”执法骨干力量的培育锻炼和“专业型”执法办案队伍的成长壮大，带动一批新进执法干部迅速成长起来。</w:t>
      </w:r>
    </w:p>
    <w:p w14:paraId="22365476">
      <w:pPr>
        <w:pStyle w:val="7"/>
        <w:rPr>
          <w:rFonts w:hint="eastAsia" w:ascii="方正仿宋_GB18030" w:hAnsi="方正仿宋_GB18030" w:eastAsia="方正仿宋_GB18030" w:cs="方正仿宋_GB18030"/>
          <w:sz w:val="32"/>
          <w:szCs w:val="32"/>
          <w:lang w:val="en-US" w:eastAsia="zh-CN"/>
        </w:rPr>
      </w:pPr>
    </w:p>
    <w:p w14:paraId="77A37FFD">
      <w:pPr>
        <w:pStyle w:val="2"/>
        <w:ind w:firstLine="2240" w:firstLineChars="700"/>
        <w:rPr>
          <w:rFonts w:hint="eastAsia" w:ascii="方正仿宋_GB18030" w:hAnsi="方正仿宋_GB18030" w:eastAsia="方正仿宋_GB18030" w:cs="方正仿宋_GB18030"/>
          <w:kern w:val="2"/>
          <w:sz w:val="32"/>
          <w:szCs w:val="32"/>
          <w:lang w:val="en-US" w:eastAsia="zh-CN" w:bidi="ar-SA"/>
        </w:rPr>
      </w:pPr>
      <w:r>
        <w:rPr>
          <w:rFonts w:hint="eastAsia" w:ascii="方正仿宋_GB18030" w:hAnsi="方正仿宋_GB18030" w:eastAsia="方正仿宋_GB18030" w:cs="方正仿宋_GB18030"/>
          <w:kern w:val="2"/>
          <w:sz w:val="32"/>
          <w:szCs w:val="32"/>
          <w:lang w:val="en-US" w:eastAsia="zh-CN" w:bidi="ar-SA"/>
        </w:rPr>
        <w:t>湘乡市城市管理和综合执法局</w:t>
      </w:r>
    </w:p>
    <w:p w14:paraId="08495418">
      <w:pPr>
        <w:ind w:firstLine="5120" w:firstLineChars="1600"/>
        <w:rPr>
          <w:rFonts w:hint="default"/>
          <w:lang w:val="en-US" w:eastAsia="zh-CN"/>
        </w:rPr>
      </w:pPr>
      <w:r>
        <w:rPr>
          <w:rFonts w:hint="eastAsia" w:ascii="方正仿宋_GB18030" w:hAnsi="方正仿宋_GB18030" w:eastAsia="方正仿宋_GB18030" w:cs="方正仿宋_GB18030"/>
          <w:kern w:val="2"/>
          <w:sz w:val="32"/>
          <w:szCs w:val="32"/>
          <w:lang w:val="en-US" w:eastAsia="zh-CN" w:bidi="ar-SA"/>
        </w:rPr>
        <w:t>2025年1月10日</w:t>
      </w:r>
    </w:p>
    <w:p w14:paraId="18D0C3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18030" w:hAnsi="方正仿宋_GB18030" w:eastAsia="方正仿宋_GB18030" w:cs="方正仿宋_GB18030"/>
          <w:sz w:val="32"/>
          <w:szCs w:val="32"/>
          <w:lang w:val="en-US" w:eastAsia="zh-CN"/>
        </w:rPr>
      </w:pPr>
    </w:p>
    <w:p w14:paraId="2A39F676"/>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ESI仿宋-GB2312">
    <w:altName w:val="仿宋"/>
    <w:panose1 w:val="02000500000000000000"/>
    <w:charset w:val="86"/>
    <w:family w:val="auto"/>
    <w:pitch w:val="default"/>
    <w:sig w:usb0="00000000" w:usb1="00000000" w:usb2="00000010"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仿宋_GB18030">
    <w:altName w:val="仿宋"/>
    <w:panose1 w:val="02000000000000000000"/>
    <w:charset w:val="86"/>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A3BF0E">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8EA501">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38EA501">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F75E98"/>
    <w:multiLevelType w:val="singleLevel"/>
    <w:tmpl w:val="B3F75E98"/>
    <w:lvl w:ilvl="0" w:tentative="0">
      <w:start w:val="1"/>
      <w:numFmt w:val="chineseCounting"/>
      <w:suff w:val="nothing"/>
      <w:lvlText w:val="%1、"/>
      <w:lvlJc w:val="left"/>
      <w:rPr>
        <w:rFonts w:hint="eastAsia"/>
      </w:rPr>
    </w:lvl>
  </w:abstractNum>
  <w:abstractNum w:abstractNumId="1">
    <w:nsid w:val="0F32CA2A"/>
    <w:multiLevelType w:val="singleLevel"/>
    <w:tmpl w:val="0F32CA2A"/>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RmNzdkM2NiMTcxNzgxMzQzZDEwYjQ4MDkwNmQzNDIifQ=="/>
  </w:docVars>
  <w:rsids>
    <w:rsidRoot w:val="48297BBF"/>
    <w:rsid w:val="022B03EA"/>
    <w:rsid w:val="04083B06"/>
    <w:rsid w:val="05923031"/>
    <w:rsid w:val="0B032E7C"/>
    <w:rsid w:val="193D7BDB"/>
    <w:rsid w:val="1CF57F94"/>
    <w:rsid w:val="25AB1893"/>
    <w:rsid w:val="2744051B"/>
    <w:rsid w:val="2C2B734F"/>
    <w:rsid w:val="2E536435"/>
    <w:rsid w:val="37BD684F"/>
    <w:rsid w:val="37D72F2C"/>
    <w:rsid w:val="383843FA"/>
    <w:rsid w:val="3CF502E3"/>
    <w:rsid w:val="48297BBF"/>
    <w:rsid w:val="49F01E65"/>
    <w:rsid w:val="4C2B116A"/>
    <w:rsid w:val="5FFF6E50"/>
    <w:rsid w:val="704869F4"/>
    <w:rsid w:val="766E5AD6"/>
    <w:rsid w:val="79DC34D9"/>
    <w:rsid w:val="7ED253F6"/>
    <w:rsid w:val="ABFE9F60"/>
    <w:rsid w:val="F8EF1616"/>
    <w:rsid w:val="FF1D194E"/>
    <w:rsid w:val="FFFFAD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iPriority="99"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index 5"/>
    <w:basedOn w:val="1"/>
    <w:next w:val="1"/>
    <w:unhideWhenUsed/>
    <w:qFormat/>
    <w:uiPriority w:val="99"/>
    <w:pPr>
      <w:ind w:left="800" w:leftChars="800"/>
    </w:p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7">
    <w:name w:val="列出段落1"/>
    <w:basedOn w:val="1"/>
    <w:next w:val="2"/>
    <w:qFormat/>
    <w:uiPriority w:val="99"/>
    <w:pPr>
      <w:spacing w:beforeLines="50" w:line="540" w:lineRule="exact"/>
      <w:ind w:firstLine="200" w:firstLineChars="200"/>
    </w:pPr>
    <w:rPr>
      <w:rFonts w:ascii="Calibri" w:hAnsi="Calibri" w:eastAsia="宋体" w:cs="Times New Roman"/>
      <w:sz w:val="3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2456</Words>
  <Characters>2557</Characters>
  <Lines>0</Lines>
  <Paragraphs>0</Paragraphs>
  <TotalTime>10</TotalTime>
  <ScaleCrop>false</ScaleCrop>
  <LinksUpToDate>false</LinksUpToDate>
  <CharactersWithSpaces>2570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2020-11-24T11:24:00Z</dcterms:created>
  <dc:creator>Administrator</dc:creator>
  <cp:lastModifiedBy>平淡是真</cp:lastModifiedBy>
  <dcterms:modified xsi:type="dcterms:W3CDTF">2025-02-10T01:01:49Z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E371A9E425C546A997F05832939587CB_13</vt:lpwstr>
  </property>
  <property fmtid="{D5CDD505-2E9C-101B-9397-08002B2CF9AE}" pid="4" name="KSOTemplateDocerSaveRecord">
    <vt:lpwstr>eyJoZGlkIjoiMWY3ZWM4MmM5NDhkYzIxZTgwYmU2MWUyZDY2ZTE3MzciLCJ1c2VySWQiOiI3NTI2MzI3MDIifQ==</vt:lpwstr>
  </property>
</Properties>
</file>