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905DA">
      <w:pPr>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湘乡市财政局2024年法治政府建设</w:t>
      </w:r>
    </w:p>
    <w:p w14:paraId="5B2F7418">
      <w:pPr>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工作报告</w:t>
      </w:r>
    </w:p>
    <w:p w14:paraId="100602FB">
      <w:pPr>
        <w:jc w:val="center"/>
        <w:rPr>
          <w:rFonts w:ascii="黑体" w:hAnsi="黑体" w:eastAsia="黑体" w:cs="黑体"/>
          <w:sz w:val="44"/>
          <w:szCs w:val="44"/>
        </w:rPr>
      </w:pPr>
    </w:p>
    <w:p w14:paraId="1E62EDA2">
      <w:pPr>
        <w:spacing w:line="600" w:lineRule="exact"/>
        <w:ind w:firstLine="64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2024年，在市委、市政府的坚强领导下，市财政局坚持以习近平新时代中国特色社会主义思想为指导，深入学习宣传贯彻党的二十届三中全会精神和习近平法治思想，加强法治政府建设，扎实推进依法行政工作，不断提高财政工作法治化水平，围绕全市财政工作任务和财政改革重点，积极发挥财政职能作用，规范行政执法行为，取得了积极成效。现将我局2024年法治政府建设相关工作报告如下：</w:t>
      </w:r>
    </w:p>
    <w:p w14:paraId="16D611D3">
      <w:pPr>
        <w:ind w:firstLine="640" w:firstLineChars="200"/>
        <w:rPr>
          <w:rFonts w:ascii="黑体" w:hAnsi="黑体" w:eastAsia="黑体" w:cs="黑体"/>
          <w:sz w:val="32"/>
          <w:szCs w:val="32"/>
        </w:rPr>
      </w:pPr>
      <w:r>
        <w:rPr>
          <w:rFonts w:hint="eastAsia" w:ascii="黑体" w:hAnsi="黑体" w:eastAsia="黑体" w:cs="黑体"/>
          <w:sz w:val="32"/>
          <w:szCs w:val="32"/>
        </w:rPr>
        <w:t>一、推进法治政府建设的主要举措和成效</w:t>
      </w:r>
    </w:p>
    <w:p w14:paraId="65F7B69E">
      <w:pPr>
        <w:spacing w:line="600" w:lineRule="exact"/>
        <w:ind w:firstLine="640"/>
        <w:rPr>
          <w:rFonts w:ascii="仿宋_GB2312" w:hAnsi="仿宋_GB2312" w:eastAsia="仿宋_GB2312" w:cs="仿宋_GB2312"/>
          <w:color w:val="333333"/>
          <w:sz w:val="32"/>
          <w:szCs w:val="32"/>
          <w:shd w:val="clear" w:color="auto" w:fill="FFFFFF"/>
        </w:rPr>
      </w:pPr>
      <w:r>
        <w:rPr>
          <w:rFonts w:hint="eastAsia" w:ascii="楷体" w:hAnsi="楷体" w:eastAsia="楷体" w:cs="楷体"/>
          <w:b/>
          <w:bCs/>
          <w:color w:val="333333"/>
          <w:sz w:val="32"/>
          <w:szCs w:val="32"/>
          <w:shd w:val="clear" w:color="auto" w:fill="FFFFFF"/>
        </w:rPr>
        <w:t>（一）坚持党的全面领导。</w:t>
      </w:r>
      <w:r>
        <w:rPr>
          <w:rFonts w:hint="eastAsia" w:ascii="仿宋_GB2312" w:hAnsi="仿宋_GB2312" w:eastAsia="仿宋_GB2312" w:cs="仿宋_GB2312"/>
          <w:color w:val="333333"/>
          <w:sz w:val="32"/>
          <w:szCs w:val="32"/>
          <w:shd w:val="clear" w:color="auto" w:fill="FFFFFF"/>
        </w:rPr>
        <w:t>强化财政依法履职职能，党政主要负责人切实履行推进法治建设第一责任人职责，切实把法治政府建设与履行财政职能、完成各项中心工作任务紧密结合。制定《湘乡市财政局2024年党建工作重点任务》与《湘乡市财政局2024年党组理论学习中心组专题学习计划》，不断健全和完善党风廉政建设和反腐败工作机制。坚持把学习宣传贯彻习近平</w:t>
      </w:r>
      <w:r>
        <w:rPr>
          <w:rFonts w:hint="eastAsia" w:ascii="仿宋_GB2312" w:hAnsi="仿宋_GB2312" w:eastAsia="仿宋_GB2312" w:cs="仿宋_GB2312"/>
          <w:color w:val="333333"/>
          <w:sz w:val="32"/>
          <w:szCs w:val="32"/>
          <w:shd w:val="clear" w:color="auto" w:fill="FFFFFF"/>
        </w:rPr>
        <w:t>法治思想作为重大政治任务抓紧抓实，坚持和加强党对财政行政执法</w:t>
      </w:r>
      <w:bookmarkStart w:id="0" w:name="_GoBack"/>
      <w:bookmarkEnd w:id="0"/>
      <w:r>
        <w:rPr>
          <w:rFonts w:hint="eastAsia" w:ascii="仿宋_GB2312" w:hAnsi="仿宋_GB2312" w:eastAsia="仿宋_GB2312" w:cs="仿宋_GB2312"/>
          <w:color w:val="333333"/>
          <w:sz w:val="32"/>
          <w:szCs w:val="32"/>
          <w:shd w:val="clear" w:color="auto" w:fill="FFFFFF"/>
        </w:rPr>
        <w:t>工作的领导，充分发挥财政部门在推进法治政府建设中的职能作用，高位推进法治政府建设提质增效。领导干部带头推进行政执法第一责任人职责及行政执法监督督查相关工作，进一步完善制度机制，细化具体要求，把法治政府工作与全局工作同谋划、同安排、同部署，认真落实党组全面法治政府建设主体责任重要内容，并纳入财政工作。组织召开2024年度党风廉政建设工作会议，通报原党组成员、纪检组长黄诗谦违纪违法典型案例，深入剖析违纪违法根源，以案释纪、以案促教、让党员干部知敬畏、存戒惧、守底线。组织70余名党员干部，赴湘潭市看守所开展廉政警示教育活动。深切感受法律的威严和因违法犯罪付出的沉重代价，警醒全体干部在工作中要牢固树立廉洁自律意识，守住底线，不越红线。2024年，我市地方一般公共预算收入累计入库14.67亿元，其中地方税收收入累计入库8.51亿元，地方非税收入累计入库6.15亿元。</w:t>
      </w:r>
    </w:p>
    <w:p w14:paraId="254C424D">
      <w:pPr>
        <w:spacing w:line="600" w:lineRule="exact"/>
        <w:ind w:firstLine="640"/>
        <w:rPr>
          <w:rFonts w:ascii="仿宋_GB2312" w:hAnsi="仿宋_GB2312" w:eastAsia="仿宋_GB2312" w:cs="仿宋_GB2312"/>
          <w:color w:val="333333"/>
          <w:sz w:val="32"/>
          <w:szCs w:val="32"/>
          <w:shd w:val="clear" w:color="auto" w:fill="FFFFFF"/>
        </w:rPr>
      </w:pPr>
      <w:r>
        <w:rPr>
          <w:rFonts w:hint="eastAsia" w:ascii="楷体" w:hAnsi="楷体" w:eastAsia="楷体" w:cs="楷体"/>
          <w:b/>
          <w:bCs/>
          <w:color w:val="333333"/>
          <w:sz w:val="32"/>
          <w:szCs w:val="32"/>
          <w:shd w:val="clear" w:color="auto" w:fill="FFFFFF"/>
        </w:rPr>
        <w:t>（二）提升法律综合素养。</w:t>
      </w:r>
      <w:r>
        <w:rPr>
          <w:rFonts w:hint="eastAsia" w:ascii="仿宋_GB2312" w:hAnsi="仿宋_GB2312" w:eastAsia="仿宋_GB2312" w:cs="仿宋_GB2312"/>
          <w:color w:val="333333"/>
          <w:sz w:val="32"/>
          <w:szCs w:val="32"/>
          <w:shd w:val="clear" w:color="auto" w:fill="FFFFFF"/>
        </w:rPr>
        <w:t>5月30日至6月30日组织单位行政执法人员30人“学习贯彻习近平法治思想 强化行政执法能力建设”网课专题培训3天，组织单位行政执法人员30人于10月14日至10月20日学习司法部通过“行政执法学习培训平台”播放的云宣讲课程，宣讲课程涉及行政执法、行政复议等方面内容。组织全体干部职工完成2024 年度全省财政系统国家工作人员学法考法工作，在“12348 湖南法网·如法网”(hn.12348.gov.cn)网络平台或如法网手机平台上统一进行相应学时的学习和考试积分的完成。2024年组织3人取得行政执法证。同时聘用专门的法律顾问，提高执法专业性。</w:t>
      </w:r>
    </w:p>
    <w:p w14:paraId="6DF9516A">
      <w:pPr>
        <w:spacing w:line="600" w:lineRule="exact"/>
        <w:ind w:firstLine="640"/>
        <w:rPr>
          <w:rFonts w:ascii="方正仿宋_GBK" w:eastAsia="方正仿宋_GBK"/>
          <w:sz w:val="32"/>
          <w:szCs w:val="32"/>
        </w:rPr>
      </w:pPr>
    </w:p>
    <w:p w14:paraId="6316F766">
      <w:pPr>
        <w:ind w:firstLine="643" w:firstLineChars="200"/>
        <w:rPr>
          <w:rFonts w:ascii="仿宋_GB2312" w:hAnsi="仿宋_GB2312" w:eastAsia="仿宋_GB2312" w:cs="仿宋_GB2312"/>
          <w:color w:val="333333"/>
          <w:sz w:val="32"/>
          <w:szCs w:val="32"/>
          <w:shd w:val="clear" w:color="auto" w:fill="FFFFFF"/>
        </w:rPr>
      </w:pPr>
      <w:r>
        <w:rPr>
          <w:rFonts w:hint="eastAsia" w:ascii="楷体" w:hAnsi="楷体" w:eastAsia="楷体" w:cs="楷体"/>
          <w:b/>
          <w:bCs/>
          <w:color w:val="333333"/>
          <w:sz w:val="32"/>
          <w:szCs w:val="32"/>
          <w:shd w:val="clear" w:color="auto" w:fill="FFFFFF"/>
        </w:rPr>
        <w:t>（三）深化零基预算改革。</w:t>
      </w:r>
      <w:r>
        <w:rPr>
          <w:rFonts w:hint="eastAsia" w:ascii="仿宋_GB2312" w:hAnsi="楷体" w:eastAsia="仿宋_GB2312" w:cs="楷体"/>
          <w:color w:val="333333"/>
          <w:sz w:val="32"/>
          <w:szCs w:val="32"/>
          <w:shd w:val="clear" w:color="auto" w:fill="FFFFFF"/>
        </w:rPr>
        <w:t>为深入贯彻《湖南省人民政府关于全面深化零基预算改革的指导意见》（湘政发〔2024〕14号）和《湘潭市人民政府关于印发〈湘潭市全面深化零基预算改革十条措施〉的通知》（潭政发〔2024〕9号）精神，我市按照改革总体目标“坚持问题导向、破立并举，按照破基数、破边界、立观念、立事项、立优先序、立标准、立方法、立绩效的原则，从2025年起，在全市范围内全面推进零基预算改革。</w:t>
      </w:r>
      <w:r>
        <w:rPr>
          <w:rFonts w:hint="eastAsia" w:ascii="仿宋_GB2312" w:hAnsi="仿宋_GB2312" w:eastAsia="仿宋_GB2312" w:cs="仿宋_GB2312"/>
          <w:color w:val="333333"/>
          <w:sz w:val="32"/>
          <w:szCs w:val="32"/>
          <w:shd w:val="clear" w:color="auto" w:fill="FFFFFF"/>
        </w:rPr>
        <w:t>结合第八轮乡镇街道财政体制改革工作，进一步完善“三保”预算和其他大事要事保障清单制度。“三保”支出累计完成32.34亿元，切实兜牢“三保”底线。2024年通过"一卡通”系统发放补贴项目93项435批次,发放资金46352.78万元,累计发放1002247户(人、次)。严格执行首批出台的落实习惯过紧日子要求的若干措施，2024年年初预算支出在2023年基础上压减1.07亿元。</w:t>
      </w:r>
    </w:p>
    <w:p w14:paraId="26109013">
      <w:pPr>
        <w:pBdr>
          <w:bottom w:val="single" w:color="FFFFFF" w:sz="4" w:space="29"/>
        </w:pBdr>
        <w:adjustRightInd w:val="0"/>
        <w:snapToGrid w:val="0"/>
        <w:spacing w:line="560" w:lineRule="exact"/>
        <w:ind w:firstLine="643" w:firstLineChars="200"/>
        <w:contextualSpacing/>
        <w:rPr>
          <w:rFonts w:ascii="仿宋_GB2312" w:hAnsi="仿宋_GB2312" w:eastAsia="仿宋_GB2312" w:cs="仿宋_GB2312"/>
          <w:color w:val="333333"/>
          <w:sz w:val="32"/>
          <w:szCs w:val="32"/>
          <w:shd w:val="clear" w:color="auto" w:fill="FFFFFF"/>
        </w:rPr>
      </w:pPr>
      <w:r>
        <w:rPr>
          <w:rFonts w:hint="eastAsia" w:ascii="楷体" w:hAnsi="楷体" w:eastAsia="楷体" w:cs="楷体"/>
          <w:b/>
          <w:bCs/>
          <w:color w:val="333333"/>
          <w:sz w:val="32"/>
          <w:szCs w:val="32"/>
          <w:shd w:val="clear" w:color="auto" w:fill="FFFFFF"/>
        </w:rPr>
        <w:t>（四）加大法治宣传力度。</w:t>
      </w:r>
      <w:r>
        <w:rPr>
          <w:rFonts w:hint="eastAsia" w:ascii="仿宋_GB2312" w:hAnsi="仿宋_GB2312" w:eastAsia="仿宋_GB2312" w:cs="仿宋_GB2312"/>
          <w:color w:val="333333"/>
          <w:sz w:val="32"/>
          <w:szCs w:val="32"/>
          <w:shd w:val="clear" w:color="auto" w:fill="FFFFFF"/>
        </w:rPr>
        <w:t>充分利用电子显示屏，宣传栏等现有媒介广泛宣传习近平法治思想。通过开展形式多样、丰富多彩的法制宣传教育，提高普法教育效果。将法治政府建设工作与依法治市工作和普法工作结合起来，利用多种方式进行宣传，发放宣传资料，宣传《民法典》、《中华人民共和国预算法》、《中华人民共和国会计法》等法律、法规，营造良好舆论和专项整治工作氛围。</w:t>
      </w:r>
    </w:p>
    <w:p w14:paraId="2A1EF544">
      <w:pPr>
        <w:pBdr>
          <w:bottom w:val="single" w:color="FFFFFF" w:sz="4" w:space="29"/>
        </w:pBdr>
        <w:adjustRightInd w:val="0"/>
        <w:snapToGrid w:val="0"/>
        <w:spacing w:line="600" w:lineRule="exact"/>
        <w:ind w:firstLine="643" w:firstLineChars="200"/>
        <w:contextualSpacing/>
        <w:rPr>
          <w:rFonts w:ascii="仿宋_GB2312" w:hAnsi="仿宋_GB2312" w:eastAsia="仿宋_GB2312" w:cs="仿宋_GB2312"/>
          <w:color w:val="333333"/>
          <w:sz w:val="32"/>
          <w:szCs w:val="32"/>
          <w:shd w:val="clear" w:color="auto" w:fill="FFFFFF"/>
        </w:rPr>
      </w:pPr>
      <w:r>
        <w:rPr>
          <w:rFonts w:hint="eastAsia" w:ascii="楷体" w:hAnsi="楷体" w:eastAsia="楷体" w:cs="楷体"/>
          <w:b/>
          <w:bCs/>
          <w:sz w:val="32"/>
          <w:szCs w:val="32"/>
        </w:rPr>
        <w:t>（五）坚持行政执法与普法教育相结合。</w:t>
      </w:r>
      <w:r>
        <w:rPr>
          <w:rFonts w:hint="eastAsia" w:ascii="仿宋_GB2312" w:hAnsi="仿宋_GB2312" w:eastAsia="仿宋_GB2312" w:cs="仿宋_GB2312"/>
          <w:color w:val="333333"/>
          <w:sz w:val="32"/>
          <w:szCs w:val="32"/>
          <w:shd w:val="clear" w:color="auto" w:fill="FFFFFF"/>
        </w:rPr>
        <w:t>我局2024年开展</w:t>
      </w:r>
      <w:r>
        <w:rPr>
          <w:rFonts w:hint="eastAsia" w:ascii="仿宋" w:hAnsi="仿宋" w:eastAsia="仿宋" w:cs="仿宋_GB2312"/>
          <w:sz w:val="32"/>
          <w:szCs w:val="32"/>
        </w:rPr>
        <w:t>行政许可1件，</w:t>
      </w:r>
      <w:r>
        <w:rPr>
          <w:rFonts w:hint="eastAsia" w:ascii="仿宋_GB2312" w:hAnsi="仿宋_GB2312" w:eastAsia="仿宋_GB2312" w:cs="仿宋_GB2312"/>
          <w:color w:val="333333"/>
          <w:sz w:val="32"/>
          <w:szCs w:val="32"/>
          <w:shd w:val="clear" w:color="auto" w:fill="FFFFFF"/>
        </w:rPr>
        <w:t>行政复议1件，行政检查3件，作出行政处罚7件，其中6件为警告类处罚，1件为“罚款8260元和在一年内（自行政处罚决定书生效之日起）禁止参加政府采购活动”的处罚，积极引导企业与群众守法，注重“三个效果”有机统一，综合运用说服教育、劝导示范、指导约谈等柔性执法方式，以案释法预防违法。</w:t>
      </w:r>
    </w:p>
    <w:p w14:paraId="43A84629">
      <w:pPr>
        <w:pBdr>
          <w:bottom w:val="single" w:color="FFFFFF" w:sz="4" w:space="29"/>
        </w:pBdr>
        <w:adjustRightInd w:val="0"/>
        <w:snapToGrid w:val="0"/>
        <w:spacing w:line="560" w:lineRule="exact"/>
        <w:ind w:firstLine="640" w:firstLineChars="200"/>
        <w:contextualSpacing/>
        <w:rPr>
          <w:rFonts w:ascii="黑体" w:hAnsi="黑体" w:eastAsia="黑体" w:cs="黑体"/>
          <w:bCs/>
          <w:sz w:val="32"/>
          <w:szCs w:val="32"/>
          <w:lang w:bidi="ar"/>
        </w:rPr>
      </w:pPr>
      <w:r>
        <w:rPr>
          <w:rFonts w:hint="eastAsia" w:ascii="黑体" w:hAnsi="黑体" w:eastAsia="黑体" w:cs="黑体"/>
          <w:bCs/>
          <w:sz w:val="32"/>
          <w:szCs w:val="32"/>
          <w:lang w:bidi="ar"/>
        </w:rPr>
        <w:t>二、存在的问题</w:t>
      </w:r>
    </w:p>
    <w:p w14:paraId="5754795B">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我局在推进法治政府建设工作中虽然取得了一定的成绩，但与上级要求相比还存在差距。主要表现在：法律专业人员占比较低，具有较高法律素养的干部较少，干部职工运用法治思维和法治方式推进工作、解决问题的能力仍有待提高；法治建设合力仍需进一步提升，行政执法体制改革需持续用力。</w:t>
      </w:r>
    </w:p>
    <w:p w14:paraId="2A127DCA">
      <w:pPr>
        <w:pBdr>
          <w:bottom w:val="single" w:color="FFFFFF" w:sz="4" w:space="29"/>
        </w:pBdr>
        <w:adjustRightInd w:val="0"/>
        <w:snapToGrid w:val="0"/>
        <w:spacing w:line="600" w:lineRule="exact"/>
        <w:ind w:firstLine="640" w:firstLineChars="200"/>
        <w:contextualSpacing/>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三、下一步工作计划</w:t>
      </w:r>
    </w:p>
    <w:p w14:paraId="3FB20AA3">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r>
        <w:rPr>
          <w:rFonts w:hint="eastAsia" w:ascii="楷体" w:hAnsi="楷体" w:eastAsia="楷体" w:cs="仿宋_GB2312"/>
          <w:sz w:val="32"/>
          <w:szCs w:val="32"/>
        </w:rPr>
        <w:t>（一）</w:t>
      </w:r>
      <w:r>
        <w:rPr>
          <w:rFonts w:hint="eastAsia" w:ascii="楷体" w:hAnsi="楷体" w:eastAsia="楷体" w:cs="楷体"/>
          <w:b/>
          <w:bCs/>
          <w:sz w:val="32"/>
          <w:szCs w:val="32"/>
        </w:rPr>
        <w:t>强化制度建设，规范依法治理行为。</w:t>
      </w:r>
      <w:r>
        <w:rPr>
          <w:rFonts w:hint="eastAsia" w:ascii="仿宋_GB2312" w:hAnsi="仿宋_GB2312" w:eastAsia="仿宋_GB2312" w:cs="仿宋_GB2312"/>
          <w:color w:val="333333"/>
          <w:sz w:val="32"/>
          <w:szCs w:val="32"/>
          <w:shd w:val="clear" w:color="auto" w:fill="FFFFFF"/>
        </w:rPr>
        <w:t>完善行政执法责任制，将执法责任层层分解落实到各部门股室和个人。完善依法科学决策重大问题的制度，确保所研究决策的重大问题无重大失误。建立财政法制宣传教育工作目标管理制度，干部学习制度，制订财政法制宣传教育规划，任务分别落实到各基层单位。对干部学法用法、依法办事情况进行不定期督查，将督查结果作为年度考核评先评优的重要依据。严格执行涉企执法检查“扫码入企”制度，原则上不进入企业开展检查。</w:t>
      </w:r>
    </w:p>
    <w:p w14:paraId="5E5EAD02">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r>
        <w:rPr>
          <w:rFonts w:hint="eastAsia" w:ascii="楷体" w:hAnsi="楷体" w:eastAsia="楷体" w:cs="仿宋_GB2312"/>
          <w:sz w:val="32"/>
          <w:szCs w:val="32"/>
        </w:rPr>
        <w:t>（二）</w:t>
      </w:r>
      <w:r>
        <w:rPr>
          <w:rFonts w:hint="eastAsia" w:ascii="楷体" w:hAnsi="楷体" w:eastAsia="楷体" w:cs="楷体"/>
          <w:b/>
          <w:bCs/>
          <w:sz w:val="32"/>
          <w:szCs w:val="32"/>
        </w:rPr>
        <w:t>加强宣传教育，扩大普法效果。</w:t>
      </w:r>
      <w:r>
        <w:rPr>
          <w:rFonts w:hint="eastAsia" w:ascii="仿宋_GB2312" w:hAnsi="仿宋_GB2312" w:eastAsia="仿宋_GB2312" w:cs="仿宋_GB2312"/>
          <w:color w:val="333333"/>
          <w:sz w:val="32"/>
          <w:szCs w:val="32"/>
          <w:shd w:val="clear" w:color="auto" w:fill="FFFFFF"/>
        </w:rPr>
        <w:t>宣传好财政部门当家法，营造良好的执法氛围。积极举办各种法制培训活动，普及财务会计法规知识。开展各种继续教育培训，全面提高会计人员法律素质。加强领导干部的学法用法教育，提高局领导干部的学法用法水平。采取多种形式加强干部职工培训，提高干部的依法理财水准。用多种方法鼓励干部学法用法。加强监督检查，及时总结学法用法经验。继续组织干部参加行政执法资格证的考试。</w:t>
      </w:r>
    </w:p>
    <w:p w14:paraId="1B1FF6C6">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r>
        <w:rPr>
          <w:rFonts w:hint="eastAsia" w:ascii="楷体" w:hAnsi="楷体" w:eastAsia="楷体" w:cs="仿宋_GB2312"/>
          <w:sz w:val="32"/>
          <w:szCs w:val="32"/>
        </w:rPr>
        <w:t>（三）</w:t>
      </w:r>
      <w:r>
        <w:rPr>
          <w:rFonts w:hint="eastAsia" w:ascii="楷体" w:hAnsi="楷体" w:eastAsia="楷体" w:cs="楷体"/>
          <w:b/>
          <w:bCs/>
          <w:sz w:val="32"/>
          <w:szCs w:val="32"/>
        </w:rPr>
        <w:t>切实依法行政，确保普法实效。</w:t>
      </w:r>
      <w:r>
        <w:rPr>
          <w:rFonts w:hint="eastAsia" w:ascii="仿宋_GB2312" w:hAnsi="仿宋_GB2312" w:eastAsia="仿宋_GB2312" w:cs="仿宋_GB2312"/>
          <w:color w:val="333333"/>
          <w:sz w:val="32"/>
          <w:szCs w:val="32"/>
          <w:shd w:val="clear" w:color="auto" w:fill="FFFFFF"/>
        </w:rPr>
        <w:t>在加强普法的基础上，提高总体执法水平，确保广大财政干部对宪法和一些基本的法律知识都比较了解和熟悉，对与本职工作相关的各项财政法律、法规、制度都能熟练掌握，能够运用所学的法律知识做好本职工作，做到依法理财，依法行政。要切实实行全面政务公开，提高执法用法透明度。要加强对乡镇财政的依法管理。提高乡镇会计基础工作水平。促进乡镇财政所依法治税，依法行政，规范财政干部执法行为。加大财政监督法规宣传力度，强化财政监督，发挥财政在本行政区域经济发展与社会稳定中的作用。</w:t>
      </w:r>
    </w:p>
    <w:p w14:paraId="32820538">
      <w:pPr>
        <w:pBdr>
          <w:bottom w:val="single" w:color="FFFFFF" w:sz="4" w:space="29"/>
        </w:pBdr>
        <w:adjustRightInd w:val="0"/>
        <w:snapToGrid w:val="0"/>
        <w:spacing w:line="600" w:lineRule="exact"/>
        <w:ind w:firstLine="640" w:firstLineChars="200"/>
        <w:contextualSpacing/>
        <w:rPr>
          <w:rFonts w:ascii="仿宋_GB2312" w:hAnsi="仿宋_GB2312" w:eastAsia="仿宋_GB2312" w:cs="仿宋_GB2312"/>
          <w:color w:val="333333"/>
          <w:sz w:val="32"/>
          <w:szCs w:val="32"/>
          <w:shd w:val="clear" w:color="auto" w:fill="FFFFFF"/>
        </w:rPr>
      </w:pPr>
    </w:p>
    <w:p w14:paraId="29D29FF8">
      <w:pPr>
        <w:spacing w:line="620" w:lineRule="exact"/>
        <w:ind w:firstLine="640" w:firstLineChars="200"/>
        <w:rPr>
          <w:rFonts w:ascii="仿宋" w:hAnsi="仿宋" w:eastAsia="仿宋" w:cs="仿宋"/>
          <w:color w:val="333333"/>
          <w:kern w:val="0"/>
          <w:sz w:val="32"/>
          <w:szCs w:val="32"/>
          <w:shd w:val="clear" w:color="auto" w:fill="FFFFFF"/>
          <w:lang w:bidi="ar"/>
        </w:rPr>
      </w:pPr>
    </w:p>
    <w:p w14:paraId="1C4F23D1">
      <w:pPr>
        <w:ind w:firstLine="640" w:firstLineChars="200"/>
        <w:rPr>
          <w:rFonts w:ascii="仿宋" w:hAnsi="仿宋" w:eastAsia="仿宋" w:cs="仿宋"/>
          <w:color w:val="333333"/>
          <w:kern w:val="0"/>
          <w:sz w:val="32"/>
          <w:szCs w:val="32"/>
          <w:shd w:val="clear" w:color="auto" w:fill="FFFFFF"/>
          <w:lang w:bidi="ar"/>
        </w:rPr>
      </w:pPr>
    </w:p>
    <w:p w14:paraId="59133AE8">
      <w:pPr>
        <w:ind w:firstLine="640" w:firstLineChars="200"/>
        <w:rPr>
          <w:rFonts w:ascii="仿宋" w:hAnsi="仿宋" w:eastAsia="仿宋" w:cs="仿宋"/>
          <w:color w:val="333333"/>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长城仿宋">
    <w:altName w:val="宋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4NDNmNWU4MjhjZDk4MTFiNDY1MTMwMTc0YTgwMWMifQ=="/>
    <w:docVar w:name="KSO_WPS_MARK_KEY" w:val="7b14d3c1-23ab-4c04-94c6-3040be0bd9a7"/>
  </w:docVars>
  <w:rsids>
    <w:rsidRoot w:val="003C267A"/>
    <w:rsid w:val="003C267A"/>
    <w:rsid w:val="009A77A8"/>
    <w:rsid w:val="00C50446"/>
    <w:rsid w:val="00D4512C"/>
    <w:rsid w:val="060F5CE4"/>
    <w:rsid w:val="296316E2"/>
    <w:rsid w:val="331F227E"/>
    <w:rsid w:val="3F861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qFormat/>
    <w:uiPriority w:val="0"/>
    <w:pPr>
      <w:ind w:firstLine="640" w:firstLineChars="200"/>
    </w:pPr>
    <w:rPr>
      <w:rFonts w:eastAsia="长城仿宋"/>
    </w:rPr>
  </w:style>
  <w:style w:type="paragraph" w:styleId="3">
    <w:name w:val="Body Text First Indent 2"/>
    <w:basedOn w:val="2"/>
    <w:next w:val="1"/>
    <w:unhideWhenUsed/>
    <w:qFormat/>
    <w:uiPriority w:val="99"/>
    <w:pPr>
      <w:ind w:firstLine="420"/>
    </w:p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uiPriority w:val="0"/>
    <w:rPr>
      <w:rFonts w:asciiTheme="minorHAnsi" w:hAnsiTheme="minorHAnsi" w:eastAsiaTheme="minorEastAsia" w:cstheme="minorBidi"/>
      <w:kern w:val="2"/>
      <w:sz w:val="18"/>
      <w:szCs w:val="18"/>
    </w:rPr>
  </w:style>
  <w:style w:type="character" w:customStyle="1" w:styleId="9">
    <w:name w:val="页脚 字符"/>
    <w:basedOn w:val="7"/>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2488</Words>
  <Characters>2602</Characters>
  <Lines>18</Lines>
  <Paragraphs>5</Paragraphs>
  <TotalTime>2</TotalTime>
  <ScaleCrop>false</ScaleCrop>
  <LinksUpToDate>false</LinksUpToDate>
  <CharactersWithSpaces>2605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2025-04-08T08:46:00Z</dcterms:created>
  <dc:creator>Administrator</dc:creator>
  <cp:lastModifiedBy>ωёi゛</cp:lastModifiedBy>
  <cp:lastPrinted>2025-04-10T02:05:00Z</cp:lastPrinted>
  <dcterms:modified xsi:type="dcterms:W3CDTF">2025-04-21T08:46:01Z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37DD9E79D4734FA8823F2E1C3C15437D_12</vt:lpwstr>
  </property>
  <property fmtid="{D5CDD505-2E9C-101B-9397-08002B2CF9AE}" pid="4" name="KSOTemplateDocerSaveRecord">
    <vt:lpwstr>eyJoZGlkIjoiZmUwNDMzMjg2M2QwOTA1OWI2MzFjZDFmYjZiNjk4NmMiLCJ1c2VySWQiOiI1MDQ0NjM0NDUifQ==</vt:lpwstr>
  </property>
</Properties>
</file>