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84C6A">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宋体" w:hAnsi="宋体" w:eastAsia="宋体" w:cs="宋体"/>
          <w:b/>
          <w:bCs/>
          <w:sz w:val="40"/>
          <w:szCs w:val="48"/>
        </w:rPr>
      </w:pPr>
      <w:r>
        <w:rPr>
          <w:rFonts w:hint="eastAsia" w:ascii="宋体" w:hAnsi="宋体" w:eastAsia="宋体" w:cs="宋体"/>
          <w:b/>
          <w:bCs/>
          <w:sz w:val="40"/>
          <w:szCs w:val="48"/>
          <w:lang w:eastAsia="zh-CN"/>
        </w:rPr>
        <w:t>新湘路街道</w:t>
      </w:r>
      <w:r>
        <w:rPr>
          <w:rFonts w:hint="eastAsia" w:ascii="宋体" w:hAnsi="宋体" w:eastAsia="宋体" w:cs="宋体"/>
          <w:b/>
          <w:bCs/>
          <w:sz w:val="40"/>
          <w:szCs w:val="48"/>
        </w:rPr>
        <w:t>法治政府建设</w:t>
      </w:r>
      <w:r>
        <w:rPr>
          <w:rFonts w:hint="eastAsia" w:ascii="宋体" w:hAnsi="宋体" w:eastAsia="宋体" w:cs="宋体"/>
          <w:b/>
          <w:bCs/>
          <w:sz w:val="40"/>
          <w:szCs w:val="48"/>
          <w:lang w:eastAsia="zh-CN"/>
        </w:rPr>
        <w:t>工作</w:t>
      </w:r>
      <w:r>
        <w:rPr>
          <w:rFonts w:hint="eastAsia" w:ascii="宋体" w:hAnsi="宋体" w:eastAsia="宋体" w:cs="宋体"/>
          <w:b/>
          <w:bCs/>
          <w:sz w:val="40"/>
          <w:szCs w:val="48"/>
        </w:rPr>
        <w:t>报告</w:t>
      </w:r>
    </w:p>
    <w:p w14:paraId="553C9D6F">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2024年，新湘路街道在市委、市人大、市政府的坚强领导下，全面贯彻落实党的二十大和二十届二中、三中全会精神，牢牢把握新时代法治建设工作方向，坚持总体国家安全观，坚持以人民为中心的发展思想，自觉扛起“保一方平安，促一方稳定”的政治责任，扎实推进法治政府建设各项工作，努力建设更高水平的平安新办、法治新办。</w:t>
      </w:r>
      <w:r>
        <w:rPr>
          <w:rFonts w:hint="eastAsia" w:ascii="方正仿宋_GBK" w:hAnsi="方正仿宋_GBK" w:eastAsia="方正仿宋_GBK" w:cs="方正仿宋_GBK"/>
          <w:sz w:val="32"/>
          <w:szCs w:val="32"/>
        </w:rPr>
        <w:t>现将202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年法治政府建设</w:t>
      </w:r>
      <w:r>
        <w:rPr>
          <w:rFonts w:hint="eastAsia" w:ascii="方正仿宋_GBK" w:hAnsi="方正仿宋_GBK" w:eastAsia="方正仿宋_GBK" w:cs="方正仿宋_GBK"/>
          <w:sz w:val="32"/>
          <w:szCs w:val="32"/>
          <w:lang w:eastAsia="zh-CN"/>
        </w:rPr>
        <w:t>工作</w:t>
      </w:r>
      <w:r>
        <w:rPr>
          <w:rFonts w:hint="eastAsia" w:ascii="方正仿宋_GBK" w:hAnsi="方正仿宋_GBK" w:eastAsia="方正仿宋_GBK" w:cs="方正仿宋_GBK"/>
          <w:sz w:val="32"/>
          <w:szCs w:val="32"/>
        </w:rPr>
        <w:t>情况报告如下：</w:t>
      </w:r>
    </w:p>
    <w:p w14:paraId="5E4F3A73">
      <w:pPr>
        <w:keepNext w:val="0"/>
        <w:keepLines w:val="0"/>
        <w:pageBreakBefore w:val="0"/>
        <w:kinsoku/>
        <w:wordWrap/>
        <w:overflowPunct/>
        <w:topLinePunct w:val="0"/>
        <w:autoSpaceDE w:val="0"/>
        <w:autoSpaceDN w:val="0"/>
        <w:bidi w:val="0"/>
        <w:spacing w:before="1" w:line="560" w:lineRule="exact"/>
        <w:ind w:firstLine="639" w:firstLineChars="200"/>
        <w:jc w:val="both"/>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color w:val="000000"/>
          <w:spacing w:val="-1"/>
          <w:sz w:val="32"/>
          <w:szCs w:val="32"/>
        </w:rPr>
        <w:t>一、主要</w:t>
      </w:r>
      <w:r>
        <w:rPr>
          <w:rFonts w:hint="eastAsia" w:ascii="方正楷体_GBK" w:hAnsi="方正楷体_GBK" w:eastAsia="方正楷体_GBK" w:cs="方正楷体_GBK"/>
          <w:b/>
          <w:bCs/>
          <w:color w:val="000000"/>
          <w:sz w:val="32"/>
          <w:szCs w:val="32"/>
        </w:rPr>
        <w:t>举措和成效</w:t>
      </w:r>
    </w:p>
    <w:p w14:paraId="5285BF74">
      <w:pPr>
        <w:keepNext w:val="0"/>
        <w:keepLines w:val="0"/>
        <w:pageBreakBefore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（一）强化法治思维，夯实法治政府建设根基</w:t>
      </w:r>
    </w:p>
    <w:p w14:paraId="3DBE8159">
      <w:pPr>
        <w:keepNext w:val="0"/>
        <w:keepLines w:val="0"/>
        <w:pageBreakBefore w:val="0"/>
        <w:numPr>
          <w:ilvl w:val="0"/>
          <w:numId w:val="0"/>
        </w:numPr>
        <w:kinsoku/>
        <w:wordWrap/>
        <w:overflowPunct/>
        <w:topLinePunct w:val="0"/>
        <w:bidi w:val="0"/>
        <w:spacing w:line="560" w:lineRule="exact"/>
        <w:ind w:firstLine="643"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eastAsia="en-US"/>
        </w:rPr>
        <w:t>一是领导干部带头学。</w:t>
      </w:r>
      <w:r>
        <w:rPr>
          <w:rFonts w:hint="eastAsia" w:ascii="方正仿宋_GBK" w:hAnsi="方正仿宋_GBK" w:eastAsia="方正仿宋_GBK" w:cs="方正仿宋_GBK"/>
          <w:sz w:val="32"/>
          <w:szCs w:val="32"/>
          <w:lang w:val="en-US" w:eastAsia="zh-CN"/>
        </w:rPr>
        <w:t>2024年</w:t>
      </w:r>
      <w:r>
        <w:rPr>
          <w:rFonts w:hint="eastAsia" w:ascii="方正仿宋_GBK" w:hAnsi="方正仿宋_GBK" w:eastAsia="方正仿宋_GBK" w:cs="方正仿宋_GBK"/>
          <w:sz w:val="32"/>
          <w:szCs w:val="32"/>
          <w:lang w:eastAsia="en-US"/>
        </w:rPr>
        <w:t>来，</w:t>
      </w:r>
      <w:r>
        <w:rPr>
          <w:rFonts w:hint="eastAsia" w:ascii="方正仿宋_GBK" w:hAnsi="方正仿宋_GBK" w:eastAsia="方正仿宋_GBK" w:cs="方正仿宋_GBK"/>
          <w:sz w:val="32"/>
          <w:szCs w:val="32"/>
          <w:lang w:val="en-US" w:eastAsia="zh-CN"/>
        </w:rPr>
        <w:t>街道</w:t>
      </w:r>
      <w:r>
        <w:rPr>
          <w:rFonts w:hint="eastAsia" w:ascii="方正仿宋_GBK" w:hAnsi="方正仿宋_GBK" w:eastAsia="方正仿宋_GBK" w:cs="方正仿宋_GBK"/>
          <w:sz w:val="32"/>
          <w:szCs w:val="32"/>
          <w:lang w:eastAsia="en-US"/>
        </w:rPr>
        <w:t>党</w:t>
      </w:r>
      <w:r>
        <w:rPr>
          <w:rFonts w:hint="eastAsia" w:ascii="方正仿宋_GBK" w:hAnsi="方正仿宋_GBK" w:eastAsia="方正仿宋_GBK" w:cs="方正仿宋_GBK"/>
          <w:sz w:val="32"/>
          <w:szCs w:val="32"/>
          <w:lang w:val="en-US" w:eastAsia="zh-CN"/>
        </w:rPr>
        <w:t>工委、行政</w:t>
      </w:r>
      <w:r>
        <w:rPr>
          <w:rFonts w:hint="eastAsia" w:ascii="方正仿宋_GBK" w:hAnsi="方正仿宋_GBK" w:eastAsia="方正仿宋_GBK" w:cs="方正仿宋_GBK"/>
          <w:sz w:val="32"/>
          <w:szCs w:val="32"/>
          <w:lang w:eastAsia="en-US"/>
        </w:rPr>
        <w:t>班子成员</w:t>
      </w:r>
      <w:r>
        <w:rPr>
          <w:rFonts w:hint="eastAsia" w:ascii="方正仿宋_GBK" w:hAnsi="方正仿宋_GBK" w:eastAsia="方正仿宋_GBK" w:cs="方正仿宋_GBK"/>
          <w:sz w:val="32"/>
          <w:szCs w:val="32"/>
          <w:lang w:val="en-US" w:eastAsia="zh-CN"/>
        </w:rPr>
        <w:t>多次</w:t>
      </w:r>
      <w:r>
        <w:rPr>
          <w:rFonts w:hint="eastAsia" w:ascii="方正仿宋_GBK" w:hAnsi="方正仿宋_GBK" w:eastAsia="方正仿宋_GBK" w:cs="方正仿宋_GBK"/>
          <w:sz w:val="32"/>
          <w:szCs w:val="32"/>
          <w:lang w:eastAsia="en-US"/>
        </w:rPr>
        <w:t>利用理论中心组学习、党</w:t>
      </w:r>
      <w:r>
        <w:rPr>
          <w:rFonts w:hint="eastAsia" w:ascii="方正仿宋_GBK" w:hAnsi="方正仿宋_GBK" w:eastAsia="方正仿宋_GBK" w:cs="方正仿宋_GBK"/>
          <w:sz w:val="32"/>
          <w:szCs w:val="32"/>
          <w:lang w:val="en-US" w:eastAsia="zh-CN"/>
        </w:rPr>
        <w:t>工委</w:t>
      </w:r>
      <w:r>
        <w:rPr>
          <w:rFonts w:hint="eastAsia" w:ascii="方正仿宋_GBK" w:hAnsi="方正仿宋_GBK" w:eastAsia="方正仿宋_GBK" w:cs="方正仿宋_GBK"/>
          <w:sz w:val="32"/>
          <w:szCs w:val="32"/>
          <w:lang w:eastAsia="en-US"/>
        </w:rPr>
        <w:t>专题会议深入学习研讨习近平法治思想及有关法律法规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eastAsia="en-US"/>
        </w:rPr>
        <w:t>结合</w:t>
      </w:r>
      <w:r>
        <w:rPr>
          <w:rFonts w:hint="eastAsia" w:ascii="方正仿宋_GBK" w:hAnsi="方正仿宋_GBK" w:eastAsia="方正仿宋_GBK" w:cs="方正仿宋_GBK"/>
          <w:sz w:val="32"/>
          <w:szCs w:val="32"/>
          <w:lang w:val="en-US" w:eastAsia="zh-CN"/>
        </w:rPr>
        <w:t>理论学习规划</w:t>
      </w:r>
      <w:r>
        <w:rPr>
          <w:rFonts w:hint="eastAsia" w:ascii="方正仿宋_GBK" w:hAnsi="方正仿宋_GBK" w:eastAsia="方正仿宋_GBK" w:cs="方正仿宋_GBK"/>
          <w:sz w:val="32"/>
          <w:szCs w:val="32"/>
          <w:lang w:eastAsia="en-US"/>
        </w:rPr>
        <w:t>，选配参考书籍，常学常新、活学活用，牢固树立法治思维，真正把学习成果转化为指导实践、推动工作的强大力量。</w:t>
      </w:r>
      <w:r>
        <w:rPr>
          <w:rFonts w:hint="eastAsia" w:ascii="方正仿宋_GBK" w:hAnsi="方正仿宋_GBK" w:eastAsia="方正仿宋_GBK" w:cs="方正仿宋_GBK"/>
          <w:b/>
          <w:bCs/>
          <w:sz w:val="32"/>
          <w:szCs w:val="32"/>
          <w:lang w:eastAsia="en-US"/>
        </w:rPr>
        <w:t>二是全体机关干部深入学。</w:t>
      </w:r>
      <w:r>
        <w:rPr>
          <w:rFonts w:hint="eastAsia" w:ascii="方正仿宋_GBK" w:hAnsi="方正仿宋_GBK" w:eastAsia="方正仿宋_GBK" w:cs="方正仿宋_GBK"/>
          <w:sz w:val="32"/>
          <w:szCs w:val="32"/>
          <w:lang w:eastAsia="en-US"/>
        </w:rPr>
        <w:t>将习近平法治思想、宪法、民法典、</w:t>
      </w:r>
      <w:r>
        <w:rPr>
          <w:rFonts w:hint="eastAsia" w:ascii="方正仿宋_GBK" w:hAnsi="方正仿宋_GBK" w:eastAsia="方正仿宋_GBK" w:cs="方正仿宋_GBK"/>
          <w:sz w:val="32"/>
          <w:szCs w:val="32"/>
          <w:lang w:val="en-US" w:eastAsia="zh-CN"/>
        </w:rPr>
        <w:t>党规党章</w:t>
      </w:r>
      <w:r>
        <w:rPr>
          <w:rFonts w:hint="eastAsia" w:ascii="方正仿宋_GBK" w:hAnsi="方正仿宋_GBK" w:eastAsia="方正仿宋_GBK" w:cs="方正仿宋_GBK"/>
          <w:sz w:val="32"/>
          <w:szCs w:val="32"/>
          <w:lang w:eastAsia="en-US"/>
        </w:rPr>
        <w:t>等相关内容纳入</w:t>
      </w:r>
      <w:r>
        <w:rPr>
          <w:rFonts w:hint="eastAsia" w:ascii="方正仿宋_GBK" w:hAnsi="方正仿宋_GBK" w:eastAsia="方正仿宋_GBK" w:cs="方正仿宋_GBK"/>
          <w:sz w:val="32"/>
          <w:szCs w:val="32"/>
          <w:lang w:val="en-US" w:eastAsia="zh-CN"/>
        </w:rPr>
        <w:t>机关</w:t>
      </w:r>
      <w:r>
        <w:rPr>
          <w:rFonts w:hint="eastAsia" w:ascii="方正仿宋_GBK" w:hAnsi="方正仿宋_GBK" w:eastAsia="方正仿宋_GBK" w:cs="方正仿宋_GBK"/>
          <w:sz w:val="32"/>
          <w:szCs w:val="32"/>
          <w:lang w:eastAsia="en-US"/>
        </w:rPr>
        <w:t>党支部</w:t>
      </w:r>
      <w:r>
        <w:rPr>
          <w:rFonts w:hint="eastAsia" w:ascii="方正仿宋_GBK" w:hAnsi="方正仿宋_GBK" w:eastAsia="方正仿宋_GBK" w:cs="方正仿宋_GBK"/>
          <w:sz w:val="32"/>
          <w:szCs w:val="32"/>
          <w:lang w:val="en-US" w:eastAsia="zh-CN"/>
        </w:rPr>
        <w:t>主题党日活动</w:t>
      </w:r>
      <w:r>
        <w:rPr>
          <w:rFonts w:hint="eastAsia" w:ascii="方正仿宋_GBK" w:hAnsi="方正仿宋_GBK" w:eastAsia="方正仿宋_GBK" w:cs="方正仿宋_GBK"/>
          <w:sz w:val="32"/>
          <w:szCs w:val="32"/>
          <w:lang w:eastAsia="en-US"/>
        </w:rPr>
        <w:t>；同时组织</w:t>
      </w:r>
      <w:r>
        <w:rPr>
          <w:rFonts w:hint="eastAsia" w:ascii="方正仿宋_GBK" w:hAnsi="方正仿宋_GBK" w:eastAsia="方正仿宋_GBK" w:cs="方正仿宋_GBK"/>
          <w:sz w:val="32"/>
          <w:szCs w:val="32"/>
          <w:lang w:val="en-US" w:eastAsia="zh-CN"/>
        </w:rPr>
        <w:t>机关</w:t>
      </w:r>
      <w:r>
        <w:rPr>
          <w:rFonts w:hint="eastAsia" w:ascii="方正仿宋_GBK" w:hAnsi="方正仿宋_GBK" w:eastAsia="方正仿宋_GBK" w:cs="方正仿宋_GBK"/>
          <w:sz w:val="32"/>
          <w:szCs w:val="32"/>
          <w:lang w:eastAsia="en-US"/>
        </w:rPr>
        <w:t>干部通过</w:t>
      </w:r>
      <w:r>
        <w:rPr>
          <w:rFonts w:hint="eastAsia" w:ascii="方正仿宋_GBK" w:hAnsi="方正仿宋_GBK" w:eastAsia="方正仿宋_GBK" w:cs="方正仿宋_GBK"/>
          <w:sz w:val="32"/>
          <w:szCs w:val="32"/>
          <w:lang w:val="en-US" w:eastAsia="zh-CN"/>
        </w:rPr>
        <w:t>如法网学考结合</w:t>
      </w:r>
      <w:r>
        <w:rPr>
          <w:rFonts w:hint="eastAsia" w:ascii="方正仿宋_GBK" w:hAnsi="方正仿宋_GBK" w:eastAsia="方正仿宋_GBK" w:cs="方正仿宋_GBK"/>
          <w:sz w:val="32"/>
          <w:szCs w:val="32"/>
          <w:lang w:eastAsia="en-US"/>
        </w:rPr>
        <w:t>的方式，持续增强干部职工法律素养及综合业务素质，运用法治思维处理矛盾。</w:t>
      </w:r>
      <w:r>
        <w:rPr>
          <w:rFonts w:hint="eastAsia" w:ascii="方正仿宋_GBK" w:hAnsi="方正仿宋_GBK" w:eastAsia="方正仿宋_GBK" w:cs="方正仿宋_GBK"/>
          <w:b/>
          <w:bCs/>
          <w:sz w:val="32"/>
          <w:szCs w:val="32"/>
          <w:lang w:eastAsia="en-US"/>
        </w:rPr>
        <w:t>三是干群联动全民学。</w:t>
      </w:r>
      <w:r>
        <w:rPr>
          <w:rFonts w:hint="eastAsia" w:ascii="方正仿宋_GBK" w:hAnsi="方正仿宋_GBK" w:eastAsia="方正仿宋_GBK" w:cs="方正仿宋_GBK"/>
          <w:sz w:val="32"/>
          <w:szCs w:val="32"/>
          <w:lang w:eastAsia="en-US"/>
        </w:rPr>
        <w:t>压实“八五”普法工作责任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eastAsia="en-US"/>
        </w:rPr>
        <w:t>结合“4.15”“12.4”等特定普法节日</w:t>
      </w:r>
      <w:r>
        <w:rPr>
          <w:rFonts w:hint="eastAsia" w:ascii="方正仿宋_GBK" w:hAnsi="方正仿宋_GBK" w:eastAsia="方正仿宋_GBK" w:cs="方正仿宋_GBK"/>
          <w:sz w:val="32"/>
          <w:szCs w:val="32"/>
          <w:lang w:eastAsia="zh-CN"/>
        </w:rPr>
        <w:t>，街道</w:t>
      </w:r>
      <w:r>
        <w:rPr>
          <w:rFonts w:hint="eastAsia" w:ascii="方正仿宋_GBK" w:hAnsi="方正仿宋_GBK" w:eastAsia="方正仿宋_GBK" w:cs="方正仿宋_GBK"/>
          <w:sz w:val="32"/>
          <w:szCs w:val="32"/>
          <w:lang w:eastAsia="en-US"/>
        </w:rPr>
        <w:t>积极</w:t>
      </w:r>
      <w:r>
        <w:rPr>
          <w:rFonts w:hint="eastAsia" w:ascii="方正仿宋_GBK" w:hAnsi="方正仿宋_GBK" w:eastAsia="方正仿宋_GBK" w:cs="方正仿宋_GBK"/>
          <w:sz w:val="32"/>
          <w:szCs w:val="32"/>
          <w:lang w:eastAsia="zh-CN"/>
        </w:rPr>
        <w:t>组织人大代表、党员志愿者等开展法治</w:t>
      </w:r>
      <w:r>
        <w:rPr>
          <w:rFonts w:hint="eastAsia" w:ascii="方正仿宋_GBK" w:hAnsi="方正仿宋_GBK" w:eastAsia="方正仿宋_GBK" w:cs="方正仿宋_GBK"/>
          <w:sz w:val="32"/>
          <w:szCs w:val="32"/>
          <w:lang w:eastAsia="en-US"/>
        </w:rPr>
        <w:t>宣传活动，组织普法宣传</w:t>
      </w:r>
      <w:r>
        <w:rPr>
          <w:rFonts w:hint="eastAsia" w:ascii="方正仿宋_GBK" w:hAnsi="方正仿宋_GBK" w:eastAsia="方正仿宋_GBK" w:cs="方正仿宋_GBK"/>
          <w:sz w:val="32"/>
          <w:szCs w:val="32"/>
          <w:lang w:val="en-US" w:eastAsia="zh-CN"/>
        </w:rPr>
        <w:t>进社区、进企业、进学校，在汽车站、梅坪农贸市场、北正街商业街、湘铝法治广场等人员密集场所开展法制宣传活动。2024年以来开展专项法治宣传行动10余次、发放宣传资料1万余份、解答法律咨询80余人次。</w:t>
      </w:r>
    </w:p>
    <w:p w14:paraId="0AF759F7">
      <w:pPr>
        <w:keepNext w:val="0"/>
        <w:keepLines w:val="0"/>
        <w:pageBreakBefore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（二）落实组织责任，大力推进法治政府建设</w:t>
      </w:r>
    </w:p>
    <w:p w14:paraId="6D41DAC3">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一是优化法治建设总体部署。</w:t>
      </w:r>
      <w:r>
        <w:rPr>
          <w:rFonts w:hint="eastAsia" w:ascii="方正仿宋_GBK" w:hAnsi="方正仿宋_GBK" w:eastAsia="方正仿宋_GBK" w:cs="方正仿宋_GBK"/>
          <w:sz w:val="32"/>
          <w:szCs w:val="32"/>
          <w:lang w:val="en-US" w:eastAsia="zh-CN"/>
        </w:rPr>
        <w:t>街道始终把法治政府建设摆在街道发展的重要位置，</w:t>
      </w:r>
      <w:r>
        <w:rPr>
          <w:rFonts w:hint="eastAsia" w:ascii="方正仿宋_GBK" w:hAnsi="方正仿宋_GBK" w:eastAsia="方正仿宋_GBK" w:cs="方正仿宋_GBK"/>
          <w:sz w:val="32"/>
          <w:szCs w:val="32"/>
        </w:rPr>
        <w:t>围绕强化法治创新引领、优化法治营商环境、完善依法行政制度体系等方面，部署多项重点任务</w:t>
      </w:r>
      <w:r>
        <w:rPr>
          <w:rFonts w:hint="eastAsia" w:ascii="方正仿宋_GBK" w:hAnsi="方正仿宋_GBK" w:eastAsia="方正仿宋_GBK" w:cs="方正仿宋_GBK"/>
          <w:sz w:val="32"/>
          <w:szCs w:val="32"/>
          <w:lang w:val="en-US" w:eastAsia="zh-CN"/>
        </w:rPr>
        <w:t>将法治建设纳入党工委、政府工作的总体布局和年度计划，做到同部署、同推进。</w:t>
      </w:r>
      <w:r>
        <w:rPr>
          <w:rFonts w:hint="eastAsia" w:ascii="方正仿宋_GBK" w:hAnsi="方正仿宋_GBK" w:eastAsia="方正仿宋_GBK" w:cs="方正仿宋_GBK"/>
          <w:b/>
          <w:bCs/>
          <w:sz w:val="32"/>
          <w:szCs w:val="32"/>
          <w:lang w:val="en-US" w:eastAsia="zh-CN"/>
        </w:rPr>
        <w:t>二是落实党政班子领导责任。</w:t>
      </w:r>
      <w:r>
        <w:rPr>
          <w:rFonts w:hint="eastAsia" w:ascii="方正仿宋_GBK" w:hAnsi="方正仿宋_GBK" w:eastAsia="方正仿宋_GBK" w:cs="方正仿宋_GBK"/>
          <w:sz w:val="32"/>
          <w:szCs w:val="32"/>
          <w:lang w:val="en-US" w:eastAsia="zh-CN"/>
        </w:rPr>
        <w:t>加强党对法治政府建设的领导，明确党政主要负责人为推进法治建设第一责任人，强化党政主要负责人推进法治政府建设的责任，层层细化工作任务，切实做到对法治建设重要工作亲自部署、重大问题亲自过问、重点环节亲自协调、重要任务亲自督办。</w:t>
      </w:r>
      <w:r>
        <w:rPr>
          <w:rFonts w:hint="eastAsia" w:ascii="方正仿宋_GBK" w:hAnsi="方正仿宋_GBK" w:eastAsia="方正仿宋_GBK" w:cs="方正仿宋_GBK"/>
          <w:b/>
          <w:bCs/>
          <w:sz w:val="32"/>
          <w:szCs w:val="32"/>
          <w:lang w:val="en-US" w:eastAsia="zh-CN"/>
        </w:rPr>
        <w:t>三是细化研判分析工作。</w:t>
      </w:r>
      <w:r>
        <w:rPr>
          <w:rFonts w:hint="eastAsia" w:ascii="方正仿宋_GBK" w:hAnsi="方正仿宋_GBK" w:eastAsia="方正仿宋_GBK" w:cs="方正仿宋_GBK"/>
          <w:sz w:val="32"/>
          <w:szCs w:val="32"/>
          <w:lang w:val="en-US" w:eastAsia="zh-CN"/>
        </w:rPr>
        <w:t>定期组织平安法治办、执法大队、司法所、派出所等相关部门，召开工作研判会，听取法治政府建设工作情况汇报，明确工作要点，研判堵点难点问题，确保法治政府建设、“谁执法谁普法”普法责任制、普法宣传教育及行政执法等工作深入落实。</w:t>
      </w:r>
    </w:p>
    <w:p w14:paraId="7E2E2129">
      <w:pPr>
        <w:keepNext w:val="0"/>
        <w:keepLines w:val="0"/>
        <w:pageBreakBefore w:val="0"/>
        <w:kinsoku/>
        <w:wordWrap/>
        <w:overflowPunct/>
        <w:topLinePunct w:val="0"/>
        <w:autoSpaceDE/>
        <w:autoSpaceDN/>
        <w:bidi w:val="0"/>
        <w:adjustRightInd w:val="0"/>
        <w:snapToGrid w:val="0"/>
        <w:spacing w:line="560" w:lineRule="exact"/>
        <w:ind w:firstLine="643" w:firstLineChars="200"/>
        <w:jc w:val="both"/>
        <w:textAlignment w:val="auto"/>
        <w:rPr>
          <w:rFonts w:hint="default"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（三）完善规章制度，着力提高依法行政能力</w:t>
      </w:r>
    </w:p>
    <w:p w14:paraId="1A9EC27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 w:hAnsi="仿宋" w:eastAsia="仿宋" w:cs="仿宋"/>
          <w:color w:val="000000"/>
          <w:spacing w:val="3"/>
          <w:sz w:val="28"/>
          <w:szCs w:val="28"/>
          <w:lang w:val="en-US"/>
        </w:rPr>
      </w:pPr>
      <w:r>
        <w:rPr>
          <w:rFonts w:hint="eastAsia" w:ascii="方正仿宋_GBK" w:hAnsi="方正仿宋_GBK" w:eastAsia="方正仿宋_GBK" w:cs="方正仿宋_GBK"/>
          <w:b/>
          <w:bCs/>
          <w:sz w:val="32"/>
          <w:szCs w:val="32"/>
          <w:lang w:val="en-US" w:eastAsia="zh-CN"/>
        </w:rPr>
        <w:t>一是坚持重大决策科学民主。</w:t>
      </w:r>
      <w:r>
        <w:rPr>
          <w:rFonts w:hint="eastAsia" w:ascii="方正仿宋_GBK" w:hAnsi="方正仿宋_GBK" w:eastAsia="方正仿宋_GBK" w:cs="方正仿宋_GBK"/>
          <w:sz w:val="32"/>
          <w:szCs w:val="32"/>
        </w:rPr>
        <w:t>出台《</w:t>
      </w:r>
      <w:r>
        <w:rPr>
          <w:rFonts w:hint="eastAsia" w:ascii="方正仿宋_GBK" w:hAnsi="方正仿宋_GBK" w:eastAsia="方正仿宋_GBK" w:cs="方正仿宋_GBK"/>
          <w:sz w:val="32"/>
          <w:szCs w:val="32"/>
          <w:lang w:val="en-US" w:eastAsia="zh-CN"/>
        </w:rPr>
        <w:t>新湘路街道</w:t>
      </w:r>
      <w:r>
        <w:rPr>
          <w:rStyle w:val="8"/>
          <w:rFonts w:hint="eastAsia" w:ascii="仿宋" w:hAnsi="仿宋" w:eastAsia="仿宋" w:cs="仿宋_GB2312"/>
          <w:sz w:val="32"/>
          <w:szCs w:val="32"/>
          <w:lang w:val="en-US" w:eastAsia="zh-CN"/>
        </w:rPr>
        <w:t>党工委会议议事规则</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新湘路街道</w:t>
      </w:r>
      <w:r>
        <w:rPr>
          <w:rStyle w:val="8"/>
          <w:rFonts w:hint="eastAsia" w:ascii="仿宋" w:hAnsi="仿宋" w:eastAsia="仿宋" w:cs="仿宋_GB2312"/>
          <w:sz w:val="32"/>
          <w:szCs w:val="32"/>
          <w:lang w:val="en-US" w:eastAsia="zh-CN"/>
        </w:rPr>
        <w:t>“三重一大”决策制度》</w:t>
      </w:r>
      <w:r>
        <w:rPr>
          <w:rFonts w:hint="eastAsia" w:ascii="方正仿宋_GBK" w:hAnsi="方正仿宋_GBK" w:eastAsia="方正仿宋_GBK" w:cs="方正仿宋_GBK"/>
          <w:sz w:val="32"/>
          <w:szCs w:val="32"/>
        </w:rPr>
        <w:t>，切实规范决策行为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始终坚持民主集中制，落实行政决策科学化和民主化，凡涉及经济社会发展和群众切身利益的重大决策出台、重点项目建设、重要民生问题解决等事关全局的事项，必须提交集体研究决定，提高科学、民主、依法决策水平和办事效率。</w:t>
      </w:r>
      <w:r>
        <w:rPr>
          <w:rFonts w:hint="eastAsia" w:ascii="方正仿宋_GBK" w:hAnsi="方正仿宋_GBK" w:eastAsia="方正仿宋_GBK" w:cs="方正仿宋_GBK"/>
          <w:b/>
          <w:bCs/>
          <w:sz w:val="32"/>
          <w:szCs w:val="32"/>
          <w:lang w:val="en-US" w:eastAsia="zh-CN"/>
        </w:rPr>
        <w:t>二是不断强化法治队伍力量。</w:t>
      </w:r>
      <w:r>
        <w:rPr>
          <w:rFonts w:hint="eastAsia" w:ascii="方正仿宋_GBK" w:hAnsi="方正仿宋_GBK" w:eastAsia="方正仿宋_GBK" w:cs="方正仿宋_GBK"/>
          <w:sz w:val="32"/>
          <w:szCs w:val="32"/>
          <w:lang w:val="en-US" w:eastAsia="zh-CN"/>
        </w:rPr>
        <w:t>街道积极动员组织相关干部参与行政执法证考试，通过整合执法职责、厘清执法权限，增强基层执法力量，目前街道拥有行政执法资格证22人。同时，充分</w:t>
      </w:r>
      <w:r>
        <w:rPr>
          <w:rFonts w:hint="eastAsia" w:ascii="仿宋_GB2312" w:hAnsi="仿宋_GB2312" w:eastAsia="仿宋_GB2312" w:cs="仿宋_GB2312"/>
          <w:color w:val="000000"/>
          <w:sz w:val="32"/>
          <w:szCs w:val="32"/>
          <w:lang w:val="en-US" w:eastAsia="zh-CN"/>
        </w:rPr>
        <w:t>发挥“一村一法律顾问”机制</w:t>
      </w:r>
      <w:r>
        <w:rPr>
          <w:rFonts w:hint="eastAsia" w:ascii="方正仿宋_GBK" w:hAnsi="方正仿宋_GBK" w:eastAsia="方正仿宋_GBK" w:cs="方正仿宋_GBK"/>
          <w:sz w:val="32"/>
          <w:szCs w:val="32"/>
          <w:lang w:val="en-US" w:eastAsia="zh-CN"/>
        </w:rPr>
        <w:t>在村（社区）管理、服务、决策</w:t>
      </w:r>
      <w:r>
        <w:rPr>
          <w:rFonts w:hint="eastAsia" w:ascii="仿宋_GB2312" w:hAnsi="仿宋_GB2312" w:eastAsia="仿宋_GB2312" w:cs="仿宋_GB2312"/>
          <w:color w:val="000000"/>
          <w:sz w:val="32"/>
          <w:szCs w:val="32"/>
          <w:lang w:val="en-US" w:eastAsia="zh-CN"/>
        </w:rPr>
        <w:t>等方面作用，基本杜绝村（社区）乱作为、不作为现象，也促使村（社区）的管理水平上了一个台阶。</w:t>
      </w:r>
      <w:r>
        <w:rPr>
          <w:rFonts w:hint="eastAsia" w:ascii="方正仿宋_GBK" w:hAnsi="方正仿宋_GBK" w:eastAsia="方正仿宋_GBK" w:cs="方正仿宋_GBK"/>
          <w:b/>
          <w:bCs/>
          <w:sz w:val="32"/>
          <w:szCs w:val="32"/>
          <w:lang w:val="en-US" w:eastAsia="zh-CN"/>
        </w:rPr>
        <w:t>三是构建多元矛盾纠纷化解机制。</w:t>
      </w:r>
      <w:r>
        <w:rPr>
          <w:rFonts w:hint="eastAsia" w:ascii="方正仿宋_GBK" w:hAnsi="方正仿宋_GBK" w:eastAsia="方正仿宋_GBK" w:cs="方正仿宋_GBK"/>
          <w:sz w:val="32"/>
          <w:szCs w:val="32"/>
          <w:lang w:val="en-US" w:eastAsia="zh-CN"/>
        </w:rPr>
        <w:t>坚决落实矛盾纠纷多元化解“三色”分级预警处置工作机制，积极打造“一站式”矛盾纠纷调处工作体系，广泛开展平安乡村（社区）建设，深化网格化管理，加强对辖区内各类矛盾纠纷和安全隐患排查、化解，深入基层了解群众关心的热点、难点问题。街道10个村社区共设置村（居）民代表片29个，小组119个，已选出村（居）民代表705名，确保辖区12593户“户户有人联、户户情况清”。</w:t>
      </w:r>
      <w:r>
        <w:rPr>
          <w:rFonts w:hint="eastAsia" w:ascii="方正仿宋_GBK" w:hAnsi="方正仿宋_GBK" w:eastAsia="方正仿宋_GBK" w:cs="方正仿宋_GBK"/>
          <w:color w:val="auto"/>
          <w:sz w:val="32"/>
          <w:szCs w:val="32"/>
          <w:lang w:val="en-US" w:eastAsia="zh-CN"/>
        </w:rPr>
        <w:t>2024年累计处置上报网格事件2380件，排查受理各类矛盾纠纷158起，成功调解155起，</w:t>
      </w:r>
      <w:r>
        <w:rPr>
          <w:rFonts w:hint="eastAsia" w:ascii="Times New Roman" w:hAnsi="Times New Roman" w:eastAsia="仿宋_GB2312" w:cs="仿宋_GB2312"/>
          <w:b w:val="0"/>
          <w:bCs w:val="0"/>
          <w:color w:val="000000"/>
          <w:kern w:val="2"/>
          <w:sz w:val="32"/>
          <w:szCs w:val="32"/>
          <w:lang w:val="en-US" w:eastAsia="zh-CN" w:bidi="ar-SA"/>
        </w:rPr>
        <w:t>基本实现“小事不出村，大事不出街”目标，</w:t>
      </w:r>
      <w:r>
        <w:rPr>
          <w:rFonts w:hint="eastAsia" w:ascii="方正仿宋_GBK" w:hAnsi="方正仿宋_GBK" w:eastAsia="方正仿宋_GBK" w:cs="方正仿宋_GBK"/>
          <w:sz w:val="32"/>
          <w:szCs w:val="32"/>
          <w:lang w:val="en-US" w:eastAsia="zh-CN"/>
        </w:rPr>
        <w:t>为高质量发展营造安定和谐的社会环境。</w:t>
      </w:r>
    </w:p>
    <w:p w14:paraId="783103A3">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3" w:firstLineChars="200"/>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健全法治体系，持续优化法治化社会环境</w:t>
      </w:r>
    </w:p>
    <w:p w14:paraId="2BCFFA7E">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一是聚力营造法治化营商环境。</w:t>
      </w:r>
      <w:r>
        <w:rPr>
          <w:rFonts w:hint="eastAsia" w:ascii="方正仿宋_GBK" w:hAnsi="方正仿宋_GBK" w:eastAsia="方正仿宋_GBK" w:cs="方正仿宋_GBK"/>
          <w:sz w:val="32"/>
          <w:szCs w:val="32"/>
        </w:rPr>
        <w:t>大力开展营商环境创新行动，</w:t>
      </w:r>
      <w:r>
        <w:rPr>
          <w:rFonts w:hint="eastAsia" w:ascii="方正仿宋_GBK" w:hAnsi="方正仿宋_GBK" w:eastAsia="方正仿宋_GBK" w:cs="方正仿宋_GBK"/>
          <w:sz w:val="32"/>
          <w:szCs w:val="32"/>
          <w:lang w:val="en-US" w:eastAsia="zh-CN"/>
        </w:rPr>
        <w:t>围绕辖区重点商圈和园区，</w:t>
      </w:r>
      <w:r>
        <w:rPr>
          <w:rFonts w:hint="eastAsia" w:ascii="方正仿宋_GBK" w:hAnsi="方正仿宋_GBK" w:eastAsia="方正仿宋_GBK" w:cs="方正仿宋_GBK"/>
          <w:sz w:val="32"/>
          <w:szCs w:val="32"/>
        </w:rPr>
        <w:t>聚力打造要素保障齐全、政务服务规范、法治体系完善、贸易投资便利、社会服务完备的市场化、法治化营商环境。</w:t>
      </w:r>
      <w:r>
        <w:rPr>
          <w:rFonts w:hint="eastAsia" w:ascii="方正仿宋_GBK" w:hAnsi="方正仿宋_GBK" w:eastAsia="方正仿宋_GBK" w:cs="方正仿宋_GBK"/>
          <w:sz w:val="32"/>
          <w:szCs w:val="32"/>
          <w:lang w:val="en-US" w:eastAsia="zh-CN"/>
        </w:rPr>
        <w:t>2024年街道主要领导、行业分管领导累计深入企业走访调研40余次，用心用情解决企业在生产经营中存在的困难问题。</w:t>
      </w:r>
      <w:r>
        <w:rPr>
          <w:rFonts w:hint="eastAsia" w:ascii="方正仿宋_GBK" w:hAnsi="方正仿宋_GBK" w:eastAsia="方正仿宋_GBK" w:cs="方正仿宋_GBK"/>
          <w:b/>
          <w:bCs/>
          <w:sz w:val="32"/>
          <w:szCs w:val="32"/>
          <w:lang w:val="en-US" w:eastAsia="zh-CN"/>
        </w:rPr>
        <w:t>二是强化执法纪律监督。</w:t>
      </w:r>
      <w:r>
        <w:rPr>
          <w:rFonts w:hint="eastAsia" w:ascii="方正仿宋_GBK" w:hAnsi="方正仿宋_GBK" w:eastAsia="方正仿宋_GBK" w:cs="方正仿宋_GBK"/>
          <w:sz w:val="32"/>
          <w:szCs w:val="32"/>
          <w:lang w:val="en-US" w:eastAsia="zh-CN"/>
        </w:rPr>
        <w:t>建立行政执法监督机制，强化街道纪工委的协助引导推动功能，积极加强与人大监督、民主监督等的沟通协作，完善街道内部层级监督和专门监督，推进政务公开，严肃查处行政执法中的违法违纪行为，提高街道工作的透明度和公信力。</w:t>
      </w:r>
    </w:p>
    <w:p w14:paraId="06FD89FF">
      <w:pPr>
        <w:keepNext w:val="0"/>
        <w:keepLines w:val="0"/>
        <w:pageBreakBefore w:val="0"/>
        <w:kinsoku/>
        <w:wordWrap/>
        <w:overflowPunct/>
        <w:topLinePunct w:val="0"/>
        <w:bidi w:val="0"/>
        <w:spacing w:line="560" w:lineRule="exact"/>
        <w:ind w:firstLine="655" w:firstLineChars="200"/>
        <w:jc w:val="both"/>
        <w:textAlignment w:val="auto"/>
        <w:rPr>
          <w:rFonts w:hint="default" w:ascii="方正楷体_GBK" w:hAnsi="方正楷体_GBK" w:eastAsia="方正楷体_GBK" w:cs="方正楷体_GBK"/>
          <w:b/>
          <w:bCs/>
          <w:color w:val="000000"/>
          <w:spacing w:val="3"/>
          <w:sz w:val="32"/>
          <w:szCs w:val="32"/>
          <w:lang w:val="en-US" w:eastAsia="zh-CN"/>
        </w:rPr>
      </w:pPr>
      <w:r>
        <w:rPr>
          <w:rFonts w:hint="eastAsia" w:ascii="方正楷体_GBK" w:hAnsi="方正楷体_GBK" w:eastAsia="方正楷体_GBK" w:cs="方正楷体_GBK"/>
          <w:b/>
          <w:bCs/>
          <w:color w:val="000000"/>
          <w:spacing w:val="3"/>
          <w:sz w:val="32"/>
          <w:szCs w:val="32"/>
          <w:lang w:val="en-US" w:eastAsia="zh-CN"/>
        </w:rPr>
        <w:t>二、存在问题与不足</w:t>
      </w:r>
    </w:p>
    <w:p w14:paraId="18EA1CB8">
      <w:pPr>
        <w:keepNext w:val="0"/>
        <w:keepLines w:val="0"/>
        <w:pageBreakBefore w:val="0"/>
        <w:kinsoku/>
        <w:wordWrap/>
        <w:overflowPunct/>
        <w:topLinePunct w:val="0"/>
        <w:bidi w:val="0"/>
        <w:spacing w:line="560" w:lineRule="exact"/>
        <w:ind w:firstLine="652" w:firstLineChars="200"/>
        <w:jc w:val="both"/>
        <w:textAlignment w:val="auto"/>
        <w:rPr>
          <w:rFonts w:hint="eastAsia" w:ascii="方正仿宋_GBK" w:hAnsi="方正仿宋_GBK" w:eastAsia="方正仿宋_GBK" w:cs="方正仿宋_GBK"/>
          <w:color w:val="000000"/>
          <w:spacing w:val="3"/>
          <w:sz w:val="32"/>
          <w:szCs w:val="32"/>
          <w:lang w:val="en-US" w:eastAsia="zh-CN"/>
        </w:rPr>
      </w:pPr>
      <w:r>
        <w:rPr>
          <w:rFonts w:hint="eastAsia" w:ascii="方正仿宋_GBK" w:hAnsi="方正仿宋_GBK" w:eastAsia="方正仿宋_GBK" w:cs="方正仿宋_GBK"/>
          <w:color w:val="000000"/>
          <w:spacing w:val="3"/>
          <w:sz w:val="32"/>
          <w:szCs w:val="32"/>
          <w:lang w:val="en-US" w:eastAsia="zh-CN"/>
        </w:rPr>
        <w:t>纵观近年来的法治政府建设工作推进情况，新湘路街道在推进法治政府建设过程中，虽取得一定成效，但仍存在一些不足，主要表现在：</w:t>
      </w:r>
    </w:p>
    <w:p w14:paraId="025B1918">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一是群众学法积极性不高。</w:t>
      </w:r>
      <w:r>
        <w:rPr>
          <w:rFonts w:hint="eastAsia" w:ascii="方正仿宋_GBK" w:hAnsi="方正仿宋_GBK" w:eastAsia="方正仿宋_GBK" w:cs="方正仿宋_GBK"/>
          <w:sz w:val="32"/>
          <w:szCs w:val="32"/>
          <w:lang w:val="en-US" w:eastAsia="zh-CN"/>
        </w:rPr>
        <w:t>一些群众对普法工作关注度不高，学法不够积极主动，还是抱着遇事找人不找法，信法不如信访，小闹小解决，大闹大解决的态度，缺少通过法律途径解决问题的意识。</w:t>
      </w:r>
    </w:p>
    <w:p w14:paraId="08C94356">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二是普法方式不够灵活多样化。</w:t>
      </w:r>
      <w:r>
        <w:rPr>
          <w:rFonts w:hint="eastAsia" w:ascii="方正仿宋_GBK" w:hAnsi="方正仿宋_GBK" w:eastAsia="方正仿宋_GBK" w:cs="方正仿宋_GBK"/>
          <w:sz w:val="32"/>
          <w:szCs w:val="32"/>
          <w:lang w:val="en-US" w:eastAsia="zh-CN"/>
        </w:rPr>
        <w:t>普法宣传方式相对单一，当前普法宣传工作较多采用现场宣传活动分发宣传手册等传统宣传方式，学法氛围不够浓厚，有待进一步提升普法活动的趣味性和知识性。</w:t>
      </w:r>
    </w:p>
    <w:p w14:paraId="038A5B5B">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三是执法队伍力量薄弱。</w:t>
      </w:r>
      <w:r>
        <w:rPr>
          <w:rFonts w:hint="eastAsia" w:ascii="方正仿宋_GBK" w:hAnsi="方正仿宋_GBK" w:eastAsia="方正仿宋_GBK" w:cs="方正仿宋_GBK"/>
          <w:sz w:val="32"/>
          <w:szCs w:val="32"/>
          <w:lang w:val="en-US" w:eastAsia="zh-CN"/>
        </w:rPr>
        <w:t>部分执法人员缺乏全面、系统、专业的执法培训，对法律法规的理解和运用不够准确熟练，执法时所需的设备和工具不能适应现代综合执法工作要求。</w:t>
      </w:r>
    </w:p>
    <w:p w14:paraId="7843D64A">
      <w:pPr>
        <w:keepNext w:val="0"/>
        <w:keepLines w:val="0"/>
        <w:pageBreakBefore w:val="0"/>
        <w:kinsoku/>
        <w:wordWrap/>
        <w:overflowPunct/>
        <w:topLinePunct w:val="0"/>
        <w:bidi w:val="0"/>
        <w:spacing w:line="560" w:lineRule="exact"/>
        <w:ind w:firstLine="655" w:firstLineChars="200"/>
        <w:jc w:val="both"/>
        <w:textAlignment w:val="auto"/>
        <w:rPr>
          <w:rFonts w:hint="eastAsia" w:ascii="方正楷体_GBK" w:hAnsi="方正楷体_GBK" w:eastAsia="方正楷体_GBK" w:cs="方正楷体_GBK"/>
          <w:b/>
          <w:bCs/>
          <w:color w:val="000000"/>
          <w:spacing w:val="3"/>
          <w:sz w:val="32"/>
          <w:szCs w:val="32"/>
          <w:lang w:val="en-US" w:eastAsia="zh-CN"/>
        </w:rPr>
      </w:pPr>
      <w:r>
        <w:rPr>
          <w:rFonts w:hint="eastAsia" w:ascii="方正楷体_GBK" w:hAnsi="方正楷体_GBK" w:eastAsia="方正楷体_GBK" w:cs="方正楷体_GBK"/>
          <w:b/>
          <w:bCs/>
          <w:color w:val="000000"/>
          <w:spacing w:val="3"/>
          <w:sz w:val="32"/>
          <w:szCs w:val="32"/>
          <w:lang w:val="en-US" w:eastAsia="zh-CN"/>
        </w:rPr>
        <w:t>三、下一步工作安排</w:t>
      </w:r>
    </w:p>
    <w:p w14:paraId="0BAB07D4">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一是进一步加强普法宣传教育。</w:t>
      </w:r>
      <w:r>
        <w:rPr>
          <w:rFonts w:hint="eastAsia" w:ascii="方正仿宋_GBK" w:hAnsi="方正仿宋_GBK" w:eastAsia="方正仿宋_GBK" w:cs="方正仿宋_GBK"/>
          <w:sz w:val="32"/>
          <w:szCs w:val="32"/>
          <w:lang w:val="en-US" w:eastAsia="zh-CN"/>
        </w:rPr>
        <w:t>紧抓农村法制宣传教育这个“死角”，利用灵活多样的宣传形式，持续深入开展好“八五”普法、“送法下乡”、法治讲座等活动，大力宣传法律知识、依法行政，让群众知法、学法，增强利用法律武器保护自己合法权益的意识。</w:t>
      </w:r>
    </w:p>
    <w:p w14:paraId="42899C2C">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二是进一步加强基层普法队伍建设。</w:t>
      </w:r>
      <w:r>
        <w:rPr>
          <w:rFonts w:hint="eastAsia" w:ascii="方正仿宋_GBK" w:hAnsi="方正仿宋_GBK" w:eastAsia="方正仿宋_GBK" w:cs="方正仿宋_GBK"/>
          <w:sz w:val="32"/>
          <w:szCs w:val="32"/>
          <w:lang w:val="en-US" w:eastAsia="zh-CN"/>
        </w:rPr>
        <w:t>大力培养专业素养较强的法律明白人，充分利用他们地熟人清的优势，带动广大群众积极学法、用法，为提高全社会的法律意识、营造良好的社会法治环境做出积极贡献。</w:t>
      </w:r>
    </w:p>
    <w:p w14:paraId="570EC5A5">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三是进一步健全法治监督体系。</w:t>
      </w:r>
      <w:r>
        <w:rPr>
          <w:rFonts w:hint="eastAsia" w:ascii="方正仿宋_GBK" w:hAnsi="方正仿宋_GBK" w:eastAsia="方正仿宋_GBK" w:cs="方正仿宋_GBK"/>
          <w:sz w:val="32"/>
          <w:szCs w:val="32"/>
          <w:lang w:val="en-US" w:eastAsia="zh-CN"/>
        </w:rPr>
        <w:t>紧紧围绕法治政府建设目标，优化行政审批制度，完善政务服务系统，健全政府法律顾问制度，健全依法决策机制，强化政府内部监督、重点领域监督，推进政府的廉洁廉政建设。</w:t>
      </w:r>
    </w:p>
    <w:p w14:paraId="3AD477DA">
      <w:pPr>
        <w:keepNext w:val="0"/>
        <w:keepLines w:val="0"/>
        <w:pageBreakBefore w:val="0"/>
        <w:widowControl/>
        <w:suppressLineNumbers w:val="0"/>
        <w:kinsoku/>
        <w:wordWrap/>
        <w:overflowPunct/>
        <w:topLinePunct w:val="0"/>
        <w:bidi w:val="0"/>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bookmarkStart w:id="0" w:name="_GoBack"/>
      <w:bookmarkEnd w:id="0"/>
    </w:p>
    <w:p w14:paraId="2C5206C2">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default" w:ascii="方正仿宋_GBK" w:hAnsi="方正仿宋_GBK" w:eastAsia="方正仿宋_GBK" w:cs="方正仿宋_GBK"/>
          <w:b/>
          <w:bCs/>
          <w:sz w:val="32"/>
          <w:szCs w:val="32"/>
          <w:lang w:val="en-US" w:eastAsia="zh-CN"/>
        </w:rPr>
      </w:pPr>
    </w:p>
    <w:p w14:paraId="02420A87">
      <w:pPr>
        <w:keepNext w:val="0"/>
        <w:keepLines w:val="0"/>
        <w:pageBreakBefore w:val="0"/>
        <w:widowControl/>
        <w:suppressLineNumbers w:val="0"/>
        <w:kinsoku/>
        <w:wordWrap/>
        <w:overflowPunct/>
        <w:topLinePunct w:val="0"/>
        <w:bidi w:val="0"/>
        <w:spacing w:line="560" w:lineRule="exact"/>
        <w:ind w:firstLine="643"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湘乡市新湘路街道办事处</w:t>
      </w:r>
    </w:p>
    <w:p w14:paraId="67872925">
      <w:pPr>
        <w:keepNext w:val="0"/>
        <w:keepLines w:val="0"/>
        <w:pageBreakBefore w:val="0"/>
        <w:widowControl/>
        <w:suppressLineNumbers w:val="0"/>
        <w:kinsoku/>
        <w:wordWrap/>
        <w:overflowPunct/>
        <w:topLinePunct w:val="0"/>
        <w:bidi w:val="0"/>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2025年3月18日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华光仿宋二_CNKI">
    <w:altName w:val="方正仿宋_GBK"/>
    <w:panose1 w:val="02000500000000000000"/>
    <w:charset w:val="00"/>
    <w:family w:val="auto"/>
    <w:pitch w:val="default"/>
    <w:sig w:usb0="00000000" w:usb1="00000000" w:usb2="00000016" w:usb3="00000000" w:csb0="0004000F" w:csb1="00000000"/>
  </w:font>
  <w:font w:name="方正仿宋_GBK">
    <w:panose1 w:val="02000000000000000000"/>
    <w:charset w:val="86"/>
    <w:family w:val="auto"/>
    <w:pitch w:val="default"/>
    <w:sig w:usb0="A00002BF" w:usb1="38CF7CFA" w:usb2="00082016" w:usb3="00000000" w:csb0="00040001" w:csb1="00000000"/>
    <w:embedRegular r:id="rId1" w:fontKey="{9BE909D2-D702-41CE-8461-48973B8076D6}"/>
  </w:font>
  <w:font w:name="方正小标宋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800002BF" w:usb1="38CF7CFA" w:usb2="00000016" w:usb3="00000000" w:csb0="00040000" w:csb1="00000000"/>
    <w:embedRegular r:id="rId2" w:fontKey="{E3334A22-9E13-44E2-85FD-EECD63CED3D6}"/>
  </w:font>
  <w:font w:name="仿宋">
    <w:panose1 w:val="02010609060101010101"/>
    <w:charset w:val="86"/>
    <w:family w:val="modern"/>
    <w:pitch w:val="default"/>
    <w:sig w:usb0="800002BF" w:usb1="38CF7CFA" w:usb2="00000016" w:usb3="00000000" w:csb0="00040001" w:csb1="00000000"/>
    <w:embedRegular r:id="rId3" w:fontKey="{A2EAA5B5-587A-49EA-9603-19CC59F35F30}"/>
  </w:font>
  <w:font w:name="仿宋_GB2312">
    <w:altName w:val="仿宋"/>
    <w:panose1 w:val="02010609030101010101"/>
    <w:charset w:val="00"/>
    <w:family w:val="auto"/>
    <w:pitch w:val="default"/>
    <w:sig w:usb0="00000000" w:usb1="00000000" w:usb2="00000000" w:usb3="00000000" w:csb0="00040000" w:csb1="00000000"/>
    <w:embedRegular r:id="rId4" w:fontKey="{56308DD9-7AB9-463F-9CBB-AD8784BDAA5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B78CC"/>
    <w:multiLevelType w:val="singleLevel"/>
    <w:tmpl w:val="BFFB78C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92EC0"/>
    <w:rsid w:val="28C24774"/>
    <w:rsid w:val="4FA80ECA"/>
    <w:rsid w:val="5C8BF312"/>
    <w:rsid w:val="5CE336EC"/>
    <w:rsid w:val="5F0D4A02"/>
    <w:rsid w:val="6F6F7356"/>
    <w:rsid w:val="77FE31FB"/>
    <w:rsid w:val="7DC92EC0"/>
    <w:rsid w:val="7EB93655"/>
    <w:rsid w:val="7EE57BDF"/>
    <w:rsid w:val="FADD9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link w:val="8"/>
    <w:qFormat/>
    <w:uiPriority w:val="0"/>
    <w:pPr>
      <w:keepNext/>
      <w:keepLines/>
      <w:spacing w:line="640" w:lineRule="exact"/>
      <w:jc w:val="center"/>
      <w:outlineLvl w:val="0"/>
    </w:pPr>
    <w:rPr>
      <w:rFonts w:ascii="Times New Roman" w:hAnsi="Times New Roman" w:eastAsia="Arial Unicode MS" w:cs="Times New Roman"/>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1"/>
    <w:rPr>
      <w:rFonts w:ascii="华光仿宋二_CNKI" w:hAnsi="华光仿宋二_CNKI" w:eastAsia="华光仿宋二_CNKI" w:cs="华光仿宋二_CNKI"/>
      <w:sz w:val="32"/>
      <w:szCs w:val="32"/>
      <w:lang w:val="zh-CN" w:eastAsia="zh-CN" w:bidi="zh-CN"/>
    </w:rPr>
  </w:style>
  <w:style w:type="paragraph" w:styleId="4">
    <w:name w:val="toc 5"/>
    <w:basedOn w:val="1"/>
    <w:next w:val="1"/>
    <w:qFormat/>
    <w:uiPriority w:val="0"/>
    <w:pPr>
      <w:ind w:left="1680" w:leftChars="800"/>
    </w:pPr>
  </w:style>
  <w:style w:type="paragraph" w:styleId="5">
    <w:name w:val="endnote text"/>
    <w:basedOn w:val="1"/>
    <w:next w:val="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8">
    <w:name w:val="标题 1 Char"/>
    <w:link w:val="2"/>
    <w:autoRedefine/>
    <w:qFormat/>
    <w:uiPriority w:val="0"/>
    <w:rPr>
      <w:rFonts w:eastAsia="Arial Unicode MS"/>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2497</Words>
  <Characters>2546</Characters>
  <Lines>0</Lines>
  <Paragraphs>0</Paragraphs>
  <TotalTime>59</TotalTime>
  <ScaleCrop>false</ScaleCrop>
  <LinksUpToDate>false</LinksUpToDate>
  <CharactersWithSpaces>2587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2025-04-16T23:09:00Z</dcterms:created>
  <dc:creator>〆残浅清情づ</dc:creator>
  <cp:lastModifiedBy>惑</cp:lastModifiedBy>
  <cp:lastPrinted>2025-04-21T01:16:00Z</cp:lastPrinted>
  <dcterms:modified xsi:type="dcterms:W3CDTF">2025-04-22T01:01:26Z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49E062063B2445D0851C7F77515E2FFD_13</vt:lpwstr>
  </property>
  <property fmtid="{D5CDD505-2E9C-101B-9397-08002B2CF9AE}" pid="4" name="KSOTemplateDocerSaveRecord">
    <vt:lpwstr>eyJoZGlkIjoiNjJhYWJjMmUwMGJmYTMzYjQ1YTgwYmIwMDUxYmIzMjciLCJ1c2VySWQiOiIzMjEzNzc2NTUifQ==</vt:lpwstr>
  </property>
</Properties>
</file>