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77C7B4">
      <w:pPr>
        <w:rPr>
          <w:rFonts w:hint="eastAsia" w:ascii="黑体" w:hAnsi="黑体" w:eastAsia="黑体" w:cs="黑体"/>
          <w:sz w:val="28"/>
          <w:szCs w:val="28"/>
        </w:rPr>
      </w:pPr>
      <w:r>
        <w:rPr>
          <w:rFonts w:hint="eastAsia" w:ascii="黑体" w:hAnsi="黑体" w:eastAsia="黑体" w:cs="黑体"/>
          <w:sz w:val="28"/>
          <w:szCs w:val="28"/>
        </w:rPr>
        <w:t>附件1</w:t>
      </w:r>
    </w:p>
    <w:p w14:paraId="54EAF34D">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湘乡市交通运输局2025年度涉企行政检查计划</w:t>
      </w:r>
    </w:p>
    <w:p w14:paraId="1DDB4D2F">
      <w:pP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填报单位（盖章）：湘乡市交通运输局</w:t>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ab/>
      </w:r>
    </w:p>
    <w:tbl>
      <w:tblPr>
        <w:tblStyle w:val="2"/>
        <w:tblW w:w="21395"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10"/>
        <w:gridCol w:w="1006"/>
        <w:gridCol w:w="6919"/>
        <w:gridCol w:w="1445"/>
        <w:gridCol w:w="4564"/>
        <w:gridCol w:w="997"/>
        <w:gridCol w:w="1656"/>
        <w:gridCol w:w="786"/>
        <w:gridCol w:w="860"/>
        <w:gridCol w:w="1454"/>
        <w:gridCol w:w="1198"/>
      </w:tblGrid>
      <w:tr w14:paraId="1DCC84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blHeader/>
          <w:jc w:val="right"/>
        </w:trPr>
        <w:tc>
          <w:tcPr>
            <w:tcW w:w="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90E1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10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4976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检查</w:t>
            </w:r>
          </w:p>
          <w:p w14:paraId="1B12D41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事项</w:t>
            </w:r>
          </w:p>
        </w:tc>
        <w:tc>
          <w:tcPr>
            <w:tcW w:w="6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BBBE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实施依据</w:t>
            </w:r>
          </w:p>
        </w:tc>
        <w:tc>
          <w:tcPr>
            <w:tcW w:w="1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010A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具体检查对象或“双随机”抽查范围（含比例）</w:t>
            </w:r>
          </w:p>
        </w:tc>
        <w:tc>
          <w:tcPr>
            <w:tcW w:w="4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F7F9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检查内容（项目）</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FB4B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拟实施检查时间</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8B79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检查方式</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E939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年度检查频次</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FA37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承办机构</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3BCA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是否属跨部门联合检查（如是，需注明牵头部门和配合部门）</w:t>
            </w:r>
          </w:p>
        </w:tc>
        <w:tc>
          <w:tcPr>
            <w:tcW w:w="11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2C21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备注</w:t>
            </w:r>
          </w:p>
        </w:tc>
      </w:tr>
      <w:tr w14:paraId="51622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967" w:hRule="atLeast"/>
          <w:jc w:val="right"/>
        </w:trPr>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2B99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4B5BC">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对道路旅客运输的行政检查</w:t>
            </w:r>
          </w:p>
        </w:tc>
        <w:tc>
          <w:tcPr>
            <w:tcW w:w="6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A5DD1">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《中华人民共和国道路运输条例》第七条 国务院交通运输主管部门主管全国道路运输管理工作。县级以上地方人民政府交通运输主管部门负责本行政区域的道路运输管理工作。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第五十八条第二款  县级以上人民政府交通运输主管部门的工作人员应当重点在道路运输及相关业务经营场所、客货集散地进行监督检查。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《湖南省道路运输条例》第二条第三款  道路运输经营包括班车客运、包车客运、旅游客运、公共汽车客运、出租汽车客运（含巡游出租汽车客运和网络预约出租汽车客运）等道路旅客运输经营（以下简称客运经营）和道路货物运输经营（含网络平台货运经营，以下简称货运经营）；道路运输相关业务包括道路运输站（场）经营、机动车维修经营、机动车驾驶员培训。</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第三条第二款  县级以上人民政府交通运输主管部门负责本行政区域道路运输管理工作；发展和改革、自然资源、财政、公安、应急管理、文化和旅游、市场监督管理等有关部门按照各自职责做好道路运输管理相关工作。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《巡游出租汽车经营服务管理规定》第六条 交通运输部负责指导全国巡游出租汽车管理工作。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各省、自治区人民政府交通运输主管部门在本级人民政府领导下，负责指导本行政区域内巡游出租汽车管理工作。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直辖市、设区的市级或者县级交通运输主管部门或者人民政府指定的其他出租汽车行政主管部门（以下称出租汽车行政主管部门）在本级人民政府领导下，负责具体实施巡游出租汽车管理。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第四十条 县级以上地方人民政府出租汽车行政主管部门应当加强对巡游出租汽车经营行为的监督检查，会同有关部门纠正、制止非法从事巡游出租汽车经营及其他违法行为，维护出租汽车市场秩序。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第四十一条 县级以上地方人民政府出租汽车行政主管部门应当对巡游出租汽车经营者履行经营协议情况进行监督检查，并按照规定对巡游出租汽车经营者和驾驶员进行服务质量信誉考核。</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《网络预约出租汽车经营服务管理暂行办法》第四条 国务院交通运输主管部门负责指导全国网约车管理工作。各省、自治区人民政府交通运输主管部门在本级人民政府领导下，负责指导本行政区域内网约车管理工作。直辖市、设区的市级或者县级交通运输主管部门或人民政府指定的其他出租汽车行政主管部门（以下称出租汽车行政主管部门）在本级人民政府领导下，负责具体实施网约车管理。其他有关部门依据法定职责，对网约车实施相关监督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第二十九条第二、三款  出租汽车行政主管部门应当加强对网约车市场监管，加强对网约车平台公司、车辆和驾驶员的资质审查与证件核发管理。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出租汽车行政主管部门应当定期组织开展网约车服务质量测评，并及时向社会公布本地区网约车平台公司基本信息、服务质量测评结果、乘客投诉处理情况等信息。</w:t>
            </w:r>
          </w:p>
        </w:tc>
        <w:tc>
          <w:tcPr>
            <w:tcW w:w="1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DE56D">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Style w:val="4"/>
                <w:lang w:val="en-US" w:eastAsia="zh-CN" w:bidi="ar"/>
              </w:rPr>
              <w:t>客运</w:t>
            </w:r>
            <w:r>
              <w:rPr>
                <w:rStyle w:val="5"/>
                <w:lang w:val="en-US" w:eastAsia="zh-CN" w:bidi="ar"/>
              </w:rPr>
              <w:t>经营者(含县际及以上班车客运经营者、县际及以上包车客运经营者、旅游客运经营者、</w:t>
            </w:r>
            <w:r>
              <w:rPr>
                <w:rStyle w:val="6"/>
                <w:lang w:val="en-US" w:eastAsia="zh-CN" w:bidi="ar"/>
              </w:rPr>
              <w:t>巡游出租汽车客运经营者、网络预约出租汽车客运经营者</w:t>
            </w:r>
            <w:r>
              <w:rPr>
                <w:rStyle w:val="5"/>
                <w:lang w:val="en-US" w:eastAsia="zh-CN" w:bidi="ar"/>
              </w:rPr>
              <w:t>)</w:t>
            </w:r>
          </w:p>
        </w:tc>
        <w:tc>
          <w:tcPr>
            <w:tcW w:w="4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5A102">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1.对道路旅客运输安全监管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2.对未按规定报送从业人员信息行为的监管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3.对道路旅客运输经营者经营行为的监管</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50F8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4月-12月</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C9B83">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现场检查、非现场检查相结合</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7958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一年一次</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103D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湘乡市交通运输局</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2092F">
            <w:pPr>
              <w:keepNext w:val="0"/>
              <w:keepLines w:val="0"/>
              <w:pageBreakBefore w:val="0"/>
              <w:widowControl/>
              <w:kinsoku/>
              <w:wordWrap/>
              <w:overflowPunct/>
              <w:topLinePunct w:val="0"/>
              <w:autoSpaceDE/>
              <w:autoSpaceDN/>
              <w:bidi w:val="0"/>
              <w:adjustRightInd/>
              <w:snapToGrid/>
              <w:spacing w:after="0" w:line="260" w:lineRule="exact"/>
              <w:rPr>
                <w:rFonts w:hint="eastAsia" w:ascii="宋体" w:hAnsi="宋体" w:eastAsia="宋体" w:cs="宋体"/>
                <w:i w:val="0"/>
                <w:iCs w:val="0"/>
                <w:color w:val="000000"/>
                <w:sz w:val="22"/>
                <w:szCs w:val="22"/>
                <w:u w:val="none"/>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B122F">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一般检查</w:t>
            </w:r>
          </w:p>
        </w:tc>
      </w:tr>
      <w:tr w14:paraId="3DE225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4" w:hRule="atLeast"/>
          <w:jc w:val="right"/>
        </w:trPr>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04D1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E5B97">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对客运站经营者的行政检查</w:t>
            </w:r>
          </w:p>
        </w:tc>
        <w:tc>
          <w:tcPr>
            <w:tcW w:w="6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EE991">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《中华人民共和国道路运输条例》第七条 国务院交通运输主管部门主管全国道路运输管理工作。县级以上地方人民政府交通运输主管部门负责本行政区域的道路运输管理工作。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第三十六条 从事道路运输站(场)经营的，应当具备下列条件：(一)有经验收合格的运输站(场)；(二)有相应的专业人员和管理人员；(三)有相应的设备、设施；(四)有健全的业务操作规程和安全管理制度。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第五十八条第二款  县级以上人民政府交通运输主管部门的工作人员应当重点在道路运输及相关业务经营场所、客货集散地进行监督检查。</w:t>
            </w:r>
          </w:p>
        </w:tc>
        <w:tc>
          <w:tcPr>
            <w:tcW w:w="144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E52BA0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辖区内客运站经营者</w:t>
            </w:r>
          </w:p>
        </w:tc>
        <w:tc>
          <w:tcPr>
            <w:tcW w:w="4564" w:type="dxa"/>
            <w:tcBorders>
              <w:top w:val="single" w:color="000000" w:sz="8" w:space="0"/>
              <w:left w:val="nil"/>
              <w:bottom w:val="single" w:color="000000" w:sz="8" w:space="0"/>
              <w:right w:val="single" w:color="000000" w:sz="8" w:space="0"/>
            </w:tcBorders>
            <w:shd w:val="clear" w:color="auto" w:fill="auto"/>
            <w:vAlign w:val="center"/>
          </w:tcPr>
          <w:p w14:paraId="1E9F4699">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对经营资质、经营行为、安全生产等方面的监管</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BE0C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4月-12月</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4CFB1">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现场检查、非现场检查相结合</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9843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一年一次</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CB10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湘乡市交通运输局</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8A147">
            <w:pPr>
              <w:keepNext w:val="0"/>
              <w:keepLines w:val="0"/>
              <w:pageBreakBefore w:val="0"/>
              <w:widowControl/>
              <w:kinsoku/>
              <w:wordWrap/>
              <w:overflowPunct/>
              <w:topLinePunct w:val="0"/>
              <w:autoSpaceDE/>
              <w:autoSpaceDN/>
              <w:bidi w:val="0"/>
              <w:adjustRightInd/>
              <w:snapToGrid/>
              <w:spacing w:after="0" w:line="260" w:lineRule="exact"/>
              <w:rPr>
                <w:rFonts w:hint="eastAsia" w:ascii="宋体" w:hAnsi="宋体" w:eastAsia="宋体" w:cs="宋体"/>
                <w:i w:val="0"/>
                <w:iCs w:val="0"/>
                <w:color w:val="000000"/>
                <w:sz w:val="22"/>
                <w:szCs w:val="22"/>
                <w:u w:val="none"/>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9255D">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一般检查</w:t>
            </w:r>
          </w:p>
        </w:tc>
      </w:tr>
      <w:tr w14:paraId="4DC40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01" w:hRule="atLeast"/>
          <w:jc w:val="right"/>
        </w:trPr>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B3C1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C24B6">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对城市公共交通企业的行政检查</w:t>
            </w:r>
          </w:p>
        </w:tc>
        <w:tc>
          <w:tcPr>
            <w:tcW w:w="6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105BB">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《城市公共交通条例》第三十七条　城市人民政府有关部门应当按照职责分工，加强对城市公共交通运营安全的监督管理，建立城市公共交通运营安全工作协作机制。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《城市公共汽车和电车客运管理规定》第三条第三款  城市人民政府交通运输主管部门或者城市人民政府指定的城市公共交通运营主管部门（以下简称城市公共交通主管部门）具体承担本行政区域内城市公共汽电车客运管理工作。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第五十五条 城市公共交通主管部门应当建立“双随机”抽查制度，并定期对城市公共汽电车客运进行监督检查，维护正常的运营秩序，保障运营服务质量。</w:t>
            </w:r>
          </w:p>
        </w:tc>
        <w:tc>
          <w:tcPr>
            <w:tcW w:w="1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7F802">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城市公共交通企业（含公共汽电车客运经营者）</w:t>
            </w:r>
          </w:p>
        </w:tc>
        <w:tc>
          <w:tcPr>
            <w:tcW w:w="4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F605F">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1.对未按规定报送从业人员信息行为的监管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2.对城市公共交通企业的监管</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2E33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4月-12月</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1A3D4">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现场检查、非现场检查相结合</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661C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一年一次</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51FE7">
            <w:pPr>
              <w:keepNext w:val="0"/>
              <w:keepLines w:val="0"/>
              <w:pageBreakBefore w:val="0"/>
              <w:widowControl/>
              <w:kinsoku/>
              <w:wordWrap/>
              <w:overflowPunct/>
              <w:topLinePunct w:val="0"/>
              <w:autoSpaceDE/>
              <w:autoSpaceDN/>
              <w:bidi w:val="0"/>
              <w:adjustRightInd/>
              <w:snapToGrid/>
              <w:spacing w:after="0" w:line="260" w:lineRule="exact"/>
              <w:jc w:val="center"/>
              <w:rPr>
                <w:rFonts w:hint="eastAsia" w:ascii="宋体" w:hAnsi="宋体" w:eastAsia="宋体" w:cs="宋体"/>
                <w:i w:val="0"/>
                <w:iCs w:val="0"/>
                <w:color w:val="000000"/>
                <w:sz w:val="22"/>
                <w:szCs w:val="22"/>
                <w:u w:val="none"/>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AC88F">
            <w:pPr>
              <w:keepNext w:val="0"/>
              <w:keepLines w:val="0"/>
              <w:pageBreakBefore w:val="0"/>
              <w:widowControl/>
              <w:kinsoku/>
              <w:wordWrap/>
              <w:overflowPunct/>
              <w:topLinePunct w:val="0"/>
              <w:autoSpaceDE/>
              <w:autoSpaceDN/>
              <w:bidi w:val="0"/>
              <w:adjustRightInd/>
              <w:snapToGrid/>
              <w:spacing w:after="0" w:line="260" w:lineRule="exact"/>
              <w:rPr>
                <w:rFonts w:hint="eastAsia" w:ascii="宋体" w:hAnsi="宋体" w:eastAsia="宋体" w:cs="宋体"/>
                <w:i w:val="0"/>
                <w:iCs w:val="0"/>
                <w:color w:val="000000"/>
                <w:sz w:val="22"/>
                <w:szCs w:val="22"/>
                <w:u w:val="none"/>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60E80">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一般检查</w:t>
            </w:r>
          </w:p>
        </w:tc>
      </w:tr>
      <w:tr w14:paraId="417E56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74" w:hRule="atLeast"/>
          <w:jc w:val="right"/>
        </w:trPr>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A41B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A2E97">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对涉路施工企业的行政检查</w:t>
            </w:r>
          </w:p>
        </w:tc>
        <w:tc>
          <w:tcPr>
            <w:tcW w:w="6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4F90B">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《中华人民共和国公路法》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第八条第二款  县级以上地方人民政府交通主管部门主管本行政区域内的公路工作；但是，县级以上地方人民政府交通主管部门对国道、省道的管理、监督职责，由省、自治区、直辖市人民政府确定。</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第四十五条　跨越、穿越公路修建桥梁、渡槽或者架设、埋设管线等设施的，以及在公路用地范围内架设、埋设管线、电缆等设施的，应当事先经有关交通主管部门同意，影响交通安全的，还须征得有关公安机关的同意；所修建、架设或者埋设的设施应当符合公路工程技术标准的要求。对公路造成损坏的，应当按照损坏程度给予补偿。</w:t>
            </w:r>
          </w:p>
        </w:tc>
        <w:tc>
          <w:tcPr>
            <w:tcW w:w="1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66FED">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涉路施工企业</w:t>
            </w:r>
          </w:p>
        </w:tc>
        <w:tc>
          <w:tcPr>
            <w:tcW w:w="4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46345">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1.设置非公路标志审批的监管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2.更新采伐护路林审批的监管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3.对跨越、穿越公路工程项目业主及施工单位跨越、穿越公路修建桥梁、渡槽或者架设、埋设管路等设施的行政检查</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76C0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4月-12月</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3A8CB">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现场检查、非现场检查相结合</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12F1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一年一次</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2454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湘乡市交通运输局</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E523D">
            <w:pPr>
              <w:keepNext w:val="0"/>
              <w:keepLines w:val="0"/>
              <w:pageBreakBefore w:val="0"/>
              <w:widowControl/>
              <w:kinsoku/>
              <w:wordWrap/>
              <w:overflowPunct/>
              <w:topLinePunct w:val="0"/>
              <w:autoSpaceDE/>
              <w:autoSpaceDN/>
              <w:bidi w:val="0"/>
              <w:adjustRightInd/>
              <w:snapToGrid/>
              <w:spacing w:after="0" w:line="260" w:lineRule="exact"/>
              <w:rPr>
                <w:rFonts w:hint="eastAsia" w:ascii="宋体" w:hAnsi="宋体" w:eastAsia="宋体" w:cs="宋体"/>
                <w:i w:val="0"/>
                <w:iCs w:val="0"/>
                <w:color w:val="000000"/>
                <w:sz w:val="22"/>
                <w:szCs w:val="22"/>
                <w:u w:val="none"/>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1DFEC">
            <w:pPr>
              <w:keepNext w:val="0"/>
              <w:keepLines w:val="0"/>
              <w:pageBreakBefore w:val="0"/>
              <w:widowControl/>
              <w:kinsoku/>
              <w:wordWrap/>
              <w:overflowPunct/>
              <w:topLinePunct w:val="0"/>
              <w:autoSpaceDE/>
              <w:autoSpaceDN/>
              <w:bidi w:val="0"/>
              <w:adjustRightInd/>
              <w:snapToGrid/>
              <w:spacing w:after="0" w:line="260" w:lineRule="exact"/>
              <w:rPr>
                <w:rFonts w:hint="eastAsia" w:ascii="宋体" w:hAnsi="宋体" w:eastAsia="宋体" w:cs="宋体"/>
                <w:i w:val="0"/>
                <w:iCs w:val="0"/>
                <w:color w:val="000000"/>
                <w:sz w:val="22"/>
                <w:szCs w:val="22"/>
                <w:u w:val="none"/>
                <w:lang w:eastAsia="zh-CN"/>
              </w:rPr>
            </w:pPr>
            <w:r>
              <w:rPr>
                <w:rFonts w:hint="eastAsia" w:ascii="宋体" w:hAnsi="宋体" w:eastAsia="宋体" w:cs="宋体"/>
                <w:i w:val="0"/>
                <w:iCs w:val="0"/>
                <w:color w:val="000000"/>
                <w:sz w:val="22"/>
                <w:szCs w:val="22"/>
                <w:u w:val="none"/>
                <w:lang w:eastAsia="zh-CN"/>
              </w:rPr>
              <w:t>一般检查</w:t>
            </w:r>
          </w:p>
        </w:tc>
      </w:tr>
      <w:tr w14:paraId="5A0124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0" w:hRule="atLeast"/>
          <w:jc w:val="right"/>
        </w:trPr>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6E66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A26D3">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对道路运输经营者的行政检查</w:t>
            </w:r>
          </w:p>
        </w:tc>
        <w:tc>
          <w:tcPr>
            <w:tcW w:w="6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0D784">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1.《中华人民共和国道路运输条例》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第七条  国务院交通运输主管部门主管全国道路运输管理工作。县级以上地方人民政府交通运输主管部门负责本行政区域的道路运输管理工作。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第五十八条第二款  县级以上人民政府交通运输主管部门的工作人员应当重点在道路运输及相关业务经营场所、客货集散地进行监督检查。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2.《超限运输车辆行驶公路管理规定》（交通运输部令2021年第12号）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第四条第二款  县级以上地方人民政府交通运输主管部门负责本行政区域内超限运输车辆行驶公路的管理工作。</w:t>
            </w:r>
          </w:p>
        </w:tc>
        <w:tc>
          <w:tcPr>
            <w:tcW w:w="1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F226A">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货运经营者（含普通货物运输经营者、危险货物运输经营者）</w:t>
            </w:r>
          </w:p>
        </w:tc>
        <w:tc>
          <w:tcPr>
            <w:tcW w:w="4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8D47E">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1.对在托运的普通货物中夹带危险货物，或者将危险货物谎报或者匿报为普通货物托运行为的监管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2.对危险货物道路运输从业人员资格的监管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3.对放射性物品道路运输从业人员资格证的监管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4.对放射性物品道路运输经营许可的监管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5.对道路货运经营的监管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6.对道路货物运输经营者超限运输行为的行政检查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7.对未制定事故应急救援预案，或未配备充足、有效的应急救援器材和设备行为的监管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8.对未按照国家标准、行业标准或者国家有关规定安装、使用安全设施、设备并进行经常性维护、保养和定期检测等行为的监管                                                   9.对未在作业场所和安全设施、设备上设置明显的安全警示标志，或者未在作业场所设置通信、报警装置行为的监管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11.对未按规定报送从业人员信息行为的监管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12.对主要安全管理人员未按照规定经考核合格行为的监管</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D925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4月-12月</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F9242">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现场检查、非现场检查相结合</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5A22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一年两次</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A3AB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湘乡市交通运输局</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D99AF">
            <w:pPr>
              <w:keepNext w:val="0"/>
              <w:keepLines w:val="0"/>
              <w:pageBreakBefore w:val="0"/>
              <w:widowControl/>
              <w:kinsoku/>
              <w:wordWrap/>
              <w:overflowPunct/>
              <w:topLinePunct w:val="0"/>
              <w:autoSpaceDE/>
              <w:autoSpaceDN/>
              <w:bidi w:val="0"/>
              <w:adjustRightInd/>
              <w:snapToGrid/>
              <w:spacing w:after="0" w:line="260" w:lineRule="exact"/>
              <w:rPr>
                <w:rFonts w:hint="eastAsia" w:ascii="宋体" w:hAnsi="宋体" w:eastAsia="宋体" w:cs="宋体"/>
                <w:i w:val="0"/>
                <w:iCs w:val="0"/>
                <w:color w:val="000000"/>
                <w:sz w:val="22"/>
                <w:szCs w:val="22"/>
                <w:u w:val="none"/>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7FFF2">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bookmarkStart w:id="0" w:name="_GoBack"/>
            <w:bookmarkEnd w:id="0"/>
            <w:r>
              <w:rPr>
                <w:rFonts w:hint="eastAsia" w:ascii="宋体" w:hAnsi="宋体" w:eastAsia="宋体" w:cs="宋体"/>
                <w:i w:val="0"/>
                <w:iCs w:val="0"/>
                <w:color w:val="000000"/>
                <w:kern w:val="0"/>
                <w:sz w:val="22"/>
                <w:szCs w:val="22"/>
                <w:u w:val="none"/>
                <w:lang w:val="en-US" w:eastAsia="zh-CN" w:bidi="ar"/>
              </w:rPr>
              <w:t>检查</w:t>
            </w:r>
          </w:p>
        </w:tc>
      </w:tr>
      <w:tr w14:paraId="6799A9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0" w:hRule="atLeast"/>
          <w:jc w:val="right"/>
        </w:trPr>
        <w:tc>
          <w:tcPr>
            <w:tcW w:w="510" w:type="dxa"/>
            <w:tcBorders>
              <w:top w:val="single" w:color="000000" w:sz="4" w:space="0"/>
              <w:left w:val="single" w:color="000000" w:sz="4" w:space="0"/>
              <w:bottom w:val="nil"/>
              <w:right w:val="single" w:color="000000" w:sz="4" w:space="0"/>
            </w:tcBorders>
            <w:shd w:val="clear" w:color="auto" w:fill="auto"/>
            <w:vAlign w:val="center"/>
          </w:tcPr>
          <w:p w14:paraId="4260567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33F9A">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对机动车维修经营者的行政检查</w:t>
            </w:r>
          </w:p>
        </w:tc>
        <w:tc>
          <w:tcPr>
            <w:tcW w:w="6919" w:type="dxa"/>
            <w:tcBorders>
              <w:top w:val="single" w:color="000000" w:sz="4" w:space="0"/>
              <w:left w:val="single" w:color="000000" w:sz="4" w:space="0"/>
              <w:bottom w:val="nil"/>
              <w:right w:val="single" w:color="000000" w:sz="4" w:space="0"/>
            </w:tcBorders>
            <w:shd w:val="clear" w:color="auto" w:fill="auto"/>
            <w:vAlign w:val="center"/>
          </w:tcPr>
          <w:p w14:paraId="4466D1A5">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《中华人民共和国道路运输条例》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第七条 国务院交通运输主管部门主管全国道路运输管理工作。县级以上地方人民政府交通运输主管部门负责本行政区域的道路运输管理工作。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第五十八条第二款  县级以上人民政府交通运输主管部门的工作人员应当重点在道路运输及相关业务经营场所、客货集散地进行监督检查。</w:t>
            </w:r>
          </w:p>
        </w:tc>
        <w:tc>
          <w:tcPr>
            <w:tcW w:w="1445" w:type="dxa"/>
            <w:tcBorders>
              <w:top w:val="single" w:color="000000" w:sz="4" w:space="0"/>
              <w:left w:val="single" w:color="000000" w:sz="4" w:space="0"/>
              <w:bottom w:val="nil"/>
              <w:right w:val="single" w:color="000000" w:sz="4" w:space="0"/>
            </w:tcBorders>
            <w:shd w:val="clear" w:color="auto" w:fill="auto"/>
            <w:vAlign w:val="center"/>
          </w:tcPr>
          <w:p w14:paraId="13BEEA4D">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对机动车维修经营的监管（市、县级）</w:t>
            </w:r>
          </w:p>
        </w:tc>
        <w:tc>
          <w:tcPr>
            <w:tcW w:w="4564" w:type="dxa"/>
            <w:tcBorders>
              <w:top w:val="single" w:color="000000" w:sz="4" w:space="0"/>
              <w:left w:val="single" w:color="000000" w:sz="4" w:space="0"/>
              <w:bottom w:val="nil"/>
              <w:right w:val="single" w:color="000000" w:sz="4" w:space="0"/>
            </w:tcBorders>
            <w:shd w:val="clear" w:color="auto" w:fill="auto"/>
            <w:vAlign w:val="center"/>
          </w:tcPr>
          <w:p w14:paraId="60F0800A">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对机动车维修经营的监管（市、县级）</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5781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4月-12月</w:t>
            </w:r>
          </w:p>
        </w:tc>
        <w:tc>
          <w:tcPr>
            <w:tcW w:w="1656" w:type="dxa"/>
            <w:tcBorders>
              <w:top w:val="single" w:color="000000" w:sz="4" w:space="0"/>
              <w:left w:val="single" w:color="000000" w:sz="4" w:space="0"/>
              <w:bottom w:val="nil"/>
              <w:right w:val="single" w:color="000000" w:sz="4" w:space="0"/>
            </w:tcBorders>
            <w:shd w:val="clear" w:color="auto" w:fill="auto"/>
            <w:vAlign w:val="center"/>
          </w:tcPr>
          <w:p w14:paraId="3C7F5431">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现场检查、非现场检查相结合</w:t>
            </w:r>
          </w:p>
        </w:tc>
        <w:tc>
          <w:tcPr>
            <w:tcW w:w="786" w:type="dxa"/>
            <w:tcBorders>
              <w:top w:val="single" w:color="000000" w:sz="4" w:space="0"/>
              <w:left w:val="single" w:color="000000" w:sz="4" w:space="0"/>
              <w:bottom w:val="nil"/>
              <w:right w:val="single" w:color="000000" w:sz="4" w:space="0"/>
            </w:tcBorders>
            <w:shd w:val="clear" w:color="auto" w:fill="auto"/>
            <w:vAlign w:val="center"/>
          </w:tcPr>
          <w:p w14:paraId="68AA7C4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一年一次</w:t>
            </w:r>
          </w:p>
        </w:tc>
        <w:tc>
          <w:tcPr>
            <w:tcW w:w="860" w:type="dxa"/>
            <w:tcBorders>
              <w:top w:val="single" w:color="000000" w:sz="4" w:space="0"/>
              <w:left w:val="single" w:color="000000" w:sz="4" w:space="0"/>
              <w:bottom w:val="nil"/>
              <w:right w:val="single" w:color="000000" w:sz="4" w:space="0"/>
            </w:tcBorders>
            <w:shd w:val="clear" w:color="auto" w:fill="auto"/>
            <w:vAlign w:val="center"/>
          </w:tcPr>
          <w:p w14:paraId="677E6AD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湘乡市交通运输局</w:t>
            </w:r>
          </w:p>
        </w:tc>
        <w:tc>
          <w:tcPr>
            <w:tcW w:w="1454" w:type="dxa"/>
            <w:tcBorders>
              <w:top w:val="single" w:color="000000" w:sz="4" w:space="0"/>
              <w:left w:val="single" w:color="000000" w:sz="4" w:space="0"/>
              <w:bottom w:val="nil"/>
              <w:right w:val="single" w:color="000000" w:sz="4" w:space="0"/>
            </w:tcBorders>
            <w:shd w:val="clear" w:color="auto" w:fill="auto"/>
            <w:vAlign w:val="center"/>
          </w:tcPr>
          <w:p w14:paraId="3F594C13">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牵头部门市交通运输局；配合部门市市场监督局</w:t>
            </w:r>
          </w:p>
        </w:tc>
        <w:tc>
          <w:tcPr>
            <w:tcW w:w="1198" w:type="dxa"/>
            <w:tcBorders>
              <w:top w:val="single" w:color="000000" w:sz="4" w:space="0"/>
              <w:left w:val="single" w:color="000000" w:sz="4" w:space="0"/>
              <w:bottom w:val="nil"/>
              <w:right w:val="single" w:color="000000" w:sz="4" w:space="0"/>
            </w:tcBorders>
            <w:shd w:val="clear" w:color="auto" w:fill="auto"/>
            <w:vAlign w:val="center"/>
          </w:tcPr>
          <w:p w14:paraId="5E3B4B47">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“双随机”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抽查</w:t>
            </w:r>
          </w:p>
        </w:tc>
      </w:tr>
      <w:tr w14:paraId="5E39B3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0" w:hRule="atLeast"/>
          <w:jc w:val="right"/>
        </w:trPr>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D012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184CC">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对机动车驾驶员培训机构的行政检查</w:t>
            </w:r>
          </w:p>
        </w:tc>
        <w:tc>
          <w:tcPr>
            <w:tcW w:w="6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6DB6D">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《中华人民共和国道路运输条例》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第七条 国务院交通运输主管部门主管全国道路运输管理工作。县级以上地方人民政府交通运输主管部门负责本行政区域的道路运输管理工作。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第五十八条第二款  县级以上人民政府交通运输主管部门的工作人员应当重点在道路运输及相关业务经营场所、客货集散地进行监督检查。</w:t>
            </w:r>
          </w:p>
        </w:tc>
        <w:tc>
          <w:tcPr>
            <w:tcW w:w="1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E3166">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机动车驾驶员培训机构</w:t>
            </w:r>
          </w:p>
        </w:tc>
        <w:tc>
          <w:tcPr>
            <w:tcW w:w="4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A0EEB">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1.对机动车驾驶员培训经营的监管（县级）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2.对未按规定报送从业人员信息行为的监管（省、市、县级）</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EC48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4月-12月</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28886">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现场检查、非现场检查相结合</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1550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一年一次</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063E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湘乡市交通运输局</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5770B">
            <w:pPr>
              <w:keepNext w:val="0"/>
              <w:keepLines w:val="0"/>
              <w:pageBreakBefore w:val="0"/>
              <w:widowControl/>
              <w:kinsoku/>
              <w:wordWrap/>
              <w:overflowPunct/>
              <w:topLinePunct w:val="0"/>
              <w:autoSpaceDE/>
              <w:autoSpaceDN/>
              <w:bidi w:val="0"/>
              <w:adjustRightInd/>
              <w:snapToGrid/>
              <w:spacing w:after="0" w:line="260" w:lineRule="exact"/>
              <w:rPr>
                <w:rFonts w:hint="eastAsia" w:ascii="宋体" w:hAnsi="宋体" w:eastAsia="宋体" w:cs="宋体"/>
                <w:i w:val="0"/>
                <w:iCs w:val="0"/>
                <w:color w:val="000000"/>
                <w:sz w:val="22"/>
                <w:szCs w:val="22"/>
                <w:u w:val="none"/>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F0FE8">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“双随机”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抽查</w:t>
            </w:r>
          </w:p>
        </w:tc>
      </w:tr>
      <w:tr w14:paraId="756A61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60" w:hRule="atLeast"/>
          <w:jc w:val="right"/>
        </w:trPr>
        <w:tc>
          <w:tcPr>
            <w:tcW w:w="5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E8D98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0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797F8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对交通运输工程领域的行政检查</w:t>
            </w:r>
          </w:p>
        </w:tc>
        <w:tc>
          <w:tcPr>
            <w:tcW w:w="69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CC99D7">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1.《建设工程质量管理条例》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第四条　县级以上人民政府建设行政主管部门和其他有关部门应当加强对建设工程质量的监督管理。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第四十三条第三款  县级以上地方人民政府建设行政主管部门对本行政区域内的建设工程质量实施监督管理。县级以上地方人民政府交通、水利等有关部门在各自的职责范围内，负责对本行政区域内的专业建设工程质量的监督管理。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第四十七条　县级以上地方人民政府建设行政主管部门和其他有关部门应当加强对有关建设工程质量的法律、法规和强制性标准执行情况的监督检查。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2.《建设工程勘察设计管理条例》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第五条　县级以上人民政府建设行政主管部门和交通、水利等有关部门应当依照本条例的规定，加强对建设工程勘察、设计活动的监督管理。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建设工程勘察、设计单位必须依法进行建设工程勘察、设计，严格执行工程建设强制性标准，并对建设工程勘察、设计的质量负责。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3.《建设工程安全生产管理条例》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第四十条第二款　县级以上地方人民政府建设行政主管部门对本行政区域内的建设工程安全生产实施监督管理。县级以上地方人民政府交通、水利等有关部门在各自的职责范围内，负责本行政区域内的专业建设工程安全生产的监督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第四十四条　建设行政主管部门或者其他有关部门可以将施工现场的监督检查委托给建设工程安全监督机构具体实施。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4.《公路水运工程质量监督管理规定》（交通运输部令2017年第28号）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第四条第二款  县级以上地方人民政府交通运输主管部门按照规定的职责负责本行政区域内的公路水运工程质量监督管理工作。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第二十条　公路水运工程实行质量监督管理制度。交通运输主管部门及其委托的建设工程质量监督机构应当依据法律、法规和强制性标准等，科学、规范、公正地开展公路水运工程质量监督管理工作。任何单位和个人不得非法干预或者阻挠质量监督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第二十五条　各级人民政府交通运输主管部门根据职责对监理企业实施监督检查，强化动态核查，原则上采取随机抽取检查对象、检查人员的方式，通过信息化手段加强事中事后监管，监督检查结果及时向社会公布。</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交通运输主管部门进行监督检查时，相关单位和个人应当配合。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5.《湖南省交通建设工程质量与安全生产条例》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第三条  省人民政府交通运输主管部门主管本省交通建设工程质量与安全生产工作，设区的市、自治州、县（市、区）人民政府交通运输主管部门按照职责权限主管本行政区域交通建设工程质量与安全生产工作，交通运输主管部门所属的交通建设工程质量安全监督管理机构（以下简称质安监管机构）负责交通建设工程质量与安全生产的具体监督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县级以上人民政府住房和城乡建设、应急管理、市场监督管理等部门在各自职责范围内，做好交通建设工程质量与安全生产监督管理的相关工作。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6.《公路水运工程监理企业资质管理规定》（交通运输部令2022年第12号）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第四条第二款  县级以上地方人民政府交通运输主管部门根据职责负责本行政区域内公路、水运工程监理企业资质监督管理工作。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第二十五条　各级人民政府交通运输主管部门根据职责对监理企业实施监督检查，强化动态核查，原则上采取随机抽取检查对象、检查人员的方式，通过信息化手段加强事中事后监管，监督检查结果及时向社会公布。</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交通运输主管部门进行监督检查时，相关单位和个人应当配合。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7.《公路水运工程质量检测管理办法》（交通运输部令2023年第9号）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第五条第二款  县级以上地方人民政府交通运输主管部门按照职责负责本行政区域内的公路水运工程质量检测活动的监督管理。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第四十一条　县级以上人民政府交通运输主管部门（以下简称交通运输主管部门）应当加强对质量检测工作的监督检查，及时纠正、查处违反本办法的行为。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第四十二条　交通运输主管部门开展监督检查工作，主要包括下列内容：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（一）检测机构资质证书使用的规范性，有无转包、违规分包、超许可范围承揽业务、涂改和租借资质证书等行为；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（二）检测机构能力的符合性，工地试验室设立和施工现场检测情况；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（三）原始记录、质量检测报告的真实性、规范性和完整性；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（四）采用的技术标准、规范和规程是否合法有效，样品的管理是否符合要求；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（五）仪器设备的运行、检定和校准情况；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（六）质量保证体系运行的有效性；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（七）检测机构和检测人员质量检测活动的规范性、合法性和真实性；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（八）依据职责应当监督检查的其他内容。</w:t>
            </w:r>
          </w:p>
        </w:tc>
        <w:tc>
          <w:tcPr>
            <w:tcW w:w="14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BB943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项目建设单位、施工单位、勘察设计单位、监理单位、试验检测机构</w:t>
            </w:r>
          </w:p>
        </w:tc>
        <w:tc>
          <w:tcPr>
            <w:tcW w:w="45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7E2CF9">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项目建设单位：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1.对项目建设单位的监管（省、市、县级）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2.对建设单位将工程业务发包给不具有相应资质等级的单位行为的监管（省、市、县级）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3.对公路建设工程概算、预算、决算的监管（省、市、县级）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勘察设计单位: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4.对公路水运工程建设项目设计文件的监管（省、市、县级）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5.对勘察设计单位勘察设计质量的行政检查（省、市、县级）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6.对未经注册擅自以注册人员名义从事建设工程勘察、设计活动行为的监管（省、市、县级）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7.对公路工程设计变更管理台帐的监督检查（省、市、县级）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施工单位: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8.对建设工程施工单位委托不具有相应资质的单位承担施工现场安装拆除施工起重机械和自升式架设设施等行为的监管（交通运输领域）（省、市、县级）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9.对建设工程从业单位不按照合同履行义务，情节较为严重行为的行政检查（省、市、县级）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10.对建设工程从业单位违法转分包行为的行政检查（省、市、县级）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11.对建设从业单位越级（无证）承揽工程行为的行政检查（省、市、县级）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12.对农民工工资支付的监管（省、市、县级）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监理企业:</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13.对监理企业及监理现场工作的行政检查（省、市、县级）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14..对公路工程监理企业资质的监管（省、市、县级）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15..对权限内公路水运工程监理企业以及监理现场工作的监管（省、市、县级）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16.对水运工程监理企业资质的监管（省、市、县级）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17.对公路水运工程监理企业利害关系人的举报进行调查核实的监管（省、市、县级）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试验检测机构: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18.对公路工程试验检测机构标准规范执行、工作规范性、内部运行管理等情况的行政检查（省、市、县级）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19.对公路水运工程试验检测机构的资格认定监管（省、市、县级）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20.对公路水运工程检测机构工地临时实验室的监管（省、市、县级）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21.对权限内公路水运工程检测机构的实验检测进行定期或不定期的监管（省、市、县级）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22.对权限内公路工程造价控制的监管（省、市、县级）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工程质量与信用管理（综合类）：</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23.对公路工程建设合同履约评价工作的监管（省、市、县级）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24.对勘察、设计、施工、监理等单位给予不良行为记录的行政检查（省、市、县级）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25.对使用政府投资的航道建设项目资金筹集、使用和管理工作的监管（省、市、县级）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26.对公路建设市场的监管（省、市、县级）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27.对建设工程从业单位不按照合同履行义务，情节较为严重行为的行政检查（省、市、县级）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28.对公路、航道、港口、地方铁路、铁路专用线（含专用铁路）等交通建设工程质量的监管（省、市、县级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30.对航道相关工程影响通航条件的监管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31.对违反航道通航评价规定未整改的监管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交通建设工程施工单位：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32.对公路建设工程安全生产的监督检查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33.对未进行安全生产教育培训的监管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34.对未提供标准劳动防护用品的监管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35.对危险作业未安排专人现场管理的监管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36.对未设安全警示标志或消防通道的监管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37.对公路水运工程安全生产的监管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38.对与航道有关的工程建设项目对航道通航条件影响的监管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交通建设工程监理单位：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39.对监理未审查安全技术措施、专项方案的监管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40.对监理未落实安全监理责任的监管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招标人：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41.对依法必须进行招标的项目，招标人违反规定，与投标人就实质内容进行谈判行为的行政检查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42.对建设工程项目不按照规定发布资格预审公告或者招标公告行为的监</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43.对建设工程项目依法应当公开招标而采用邀请招标行为的监管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44.对建设工程项目必须招标而不招标行为的监管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45.对建设工程项目招标人向他人透露可能影响公平竞争的有关招标投标情况或者泄露标的行为的监管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招标中介机构：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46.对建设工程项目招标中介机构与他人串通行为的监管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建设单位：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47.对建设工程建设单位将工程发包给不具备安全生产条件的单位的监管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其他：</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48.对收受建设工程项目投标人好处，或透露信息行为的监管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49.对泄露应当保密的与建设工程项目招标投标活动有关的情况和资料行为的监管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50.对公路工程建设合同履约评价工作的监管</w:t>
            </w:r>
          </w:p>
        </w:tc>
        <w:tc>
          <w:tcPr>
            <w:tcW w:w="9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E1D29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4月-12月</w:t>
            </w:r>
          </w:p>
        </w:tc>
        <w:tc>
          <w:tcPr>
            <w:tcW w:w="16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EB969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现场检查、非现场检查相结合</w:t>
            </w:r>
          </w:p>
        </w:tc>
        <w:tc>
          <w:tcPr>
            <w:tcW w:w="7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377F8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一年一次</w:t>
            </w:r>
          </w:p>
        </w:tc>
        <w:tc>
          <w:tcPr>
            <w:tcW w:w="8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08C6A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湘乡市交通运输局</w:t>
            </w:r>
          </w:p>
        </w:tc>
        <w:tc>
          <w:tcPr>
            <w:tcW w:w="14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F22D87">
            <w:pPr>
              <w:keepNext w:val="0"/>
              <w:keepLines w:val="0"/>
              <w:pageBreakBefore w:val="0"/>
              <w:widowControl/>
              <w:kinsoku/>
              <w:wordWrap/>
              <w:overflowPunct/>
              <w:topLinePunct w:val="0"/>
              <w:autoSpaceDE/>
              <w:autoSpaceDN/>
              <w:bidi w:val="0"/>
              <w:adjustRightInd/>
              <w:snapToGrid/>
              <w:spacing w:after="0" w:line="260" w:lineRule="exact"/>
              <w:jc w:val="center"/>
              <w:rPr>
                <w:rFonts w:hint="eastAsia" w:ascii="宋体" w:hAnsi="宋体" w:eastAsia="宋体" w:cs="宋体"/>
                <w:i w:val="0"/>
                <w:iCs w:val="0"/>
                <w:color w:val="000000"/>
                <w:sz w:val="22"/>
                <w:szCs w:val="22"/>
                <w:u w:val="none"/>
              </w:rPr>
            </w:pPr>
          </w:p>
        </w:tc>
        <w:tc>
          <w:tcPr>
            <w:tcW w:w="11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CCE15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一般检查</w:t>
            </w:r>
          </w:p>
        </w:tc>
      </w:tr>
      <w:tr w14:paraId="1CEA27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04" w:hRule="atLeast"/>
          <w:jc w:val="righ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9F2A78">
            <w:pPr>
              <w:keepNext w:val="0"/>
              <w:keepLines w:val="0"/>
              <w:pageBreakBefore w:val="0"/>
              <w:widowControl/>
              <w:kinsoku/>
              <w:wordWrap/>
              <w:overflowPunct/>
              <w:topLinePunct w:val="0"/>
              <w:autoSpaceDE/>
              <w:autoSpaceDN/>
              <w:bidi w:val="0"/>
              <w:adjustRightInd/>
              <w:snapToGrid/>
              <w:spacing w:after="0" w:line="260" w:lineRule="exact"/>
              <w:jc w:val="center"/>
              <w:rPr>
                <w:rFonts w:hint="eastAsia" w:ascii="宋体" w:hAnsi="宋体" w:eastAsia="宋体" w:cs="宋体"/>
                <w:i w:val="0"/>
                <w:iCs w:val="0"/>
                <w:color w:val="000000"/>
                <w:sz w:val="22"/>
                <w:szCs w:val="22"/>
                <w:u w:val="none"/>
              </w:rPr>
            </w:pPr>
          </w:p>
        </w:tc>
        <w:tc>
          <w:tcPr>
            <w:tcW w:w="10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9F3022">
            <w:pPr>
              <w:keepNext w:val="0"/>
              <w:keepLines w:val="0"/>
              <w:pageBreakBefore w:val="0"/>
              <w:widowControl/>
              <w:kinsoku/>
              <w:wordWrap/>
              <w:overflowPunct/>
              <w:topLinePunct w:val="0"/>
              <w:autoSpaceDE/>
              <w:autoSpaceDN/>
              <w:bidi w:val="0"/>
              <w:adjustRightInd/>
              <w:snapToGrid/>
              <w:spacing w:after="0" w:line="260" w:lineRule="exact"/>
              <w:jc w:val="center"/>
              <w:rPr>
                <w:rFonts w:hint="eastAsia" w:ascii="宋体" w:hAnsi="宋体" w:eastAsia="宋体" w:cs="宋体"/>
                <w:i w:val="0"/>
                <w:iCs w:val="0"/>
                <w:color w:val="000000"/>
                <w:sz w:val="22"/>
                <w:szCs w:val="22"/>
                <w:u w:val="none"/>
              </w:rPr>
            </w:pPr>
          </w:p>
        </w:tc>
        <w:tc>
          <w:tcPr>
            <w:tcW w:w="6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82C128">
            <w:pPr>
              <w:keepNext w:val="0"/>
              <w:keepLines w:val="0"/>
              <w:pageBreakBefore w:val="0"/>
              <w:widowControl/>
              <w:kinsoku/>
              <w:wordWrap/>
              <w:overflowPunct/>
              <w:topLinePunct w:val="0"/>
              <w:autoSpaceDE/>
              <w:autoSpaceDN/>
              <w:bidi w:val="0"/>
              <w:adjustRightInd/>
              <w:snapToGrid/>
              <w:spacing w:after="0" w:line="260" w:lineRule="exact"/>
              <w:jc w:val="both"/>
              <w:rPr>
                <w:rFonts w:hint="eastAsia" w:ascii="宋体" w:hAnsi="宋体" w:eastAsia="宋体" w:cs="宋体"/>
                <w:i w:val="0"/>
                <w:iCs w:val="0"/>
                <w:color w:val="000000"/>
                <w:sz w:val="22"/>
                <w:szCs w:val="22"/>
                <w:u w:val="none"/>
              </w:rPr>
            </w:pPr>
          </w:p>
        </w:tc>
        <w:tc>
          <w:tcPr>
            <w:tcW w:w="14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22EA96">
            <w:pPr>
              <w:keepNext w:val="0"/>
              <w:keepLines w:val="0"/>
              <w:pageBreakBefore w:val="0"/>
              <w:widowControl/>
              <w:kinsoku/>
              <w:wordWrap/>
              <w:overflowPunct/>
              <w:topLinePunct w:val="0"/>
              <w:autoSpaceDE/>
              <w:autoSpaceDN/>
              <w:bidi w:val="0"/>
              <w:adjustRightInd/>
              <w:snapToGrid/>
              <w:spacing w:after="0" w:line="260" w:lineRule="exact"/>
              <w:jc w:val="center"/>
              <w:rPr>
                <w:rFonts w:hint="eastAsia" w:ascii="宋体" w:hAnsi="宋体" w:eastAsia="宋体" w:cs="宋体"/>
                <w:i w:val="0"/>
                <w:iCs w:val="0"/>
                <w:color w:val="000000"/>
                <w:sz w:val="22"/>
                <w:szCs w:val="22"/>
                <w:u w:val="none"/>
              </w:rPr>
            </w:pPr>
          </w:p>
        </w:tc>
        <w:tc>
          <w:tcPr>
            <w:tcW w:w="45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1F55B4">
            <w:pPr>
              <w:keepNext w:val="0"/>
              <w:keepLines w:val="0"/>
              <w:pageBreakBefore w:val="0"/>
              <w:widowControl/>
              <w:kinsoku/>
              <w:wordWrap/>
              <w:overflowPunct/>
              <w:topLinePunct w:val="0"/>
              <w:autoSpaceDE/>
              <w:autoSpaceDN/>
              <w:bidi w:val="0"/>
              <w:adjustRightInd/>
              <w:snapToGrid/>
              <w:spacing w:after="0" w:line="260" w:lineRule="exact"/>
              <w:jc w:val="both"/>
              <w:rPr>
                <w:rFonts w:hint="eastAsia" w:ascii="宋体" w:hAnsi="宋体" w:eastAsia="宋体" w:cs="宋体"/>
                <w:i w:val="0"/>
                <w:iCs w:val="0"/>
                <w:color w:val="000000"/>
                <w:sz w:val="22"/>
                <w:szCs w:val="22"/>
                <w:u w:val="none"/>
              </w:rPr>
            </w:pPr>
          </w:p>
        </w:tc>
        <w:tc>
          <w:tcPr>
            <w:tcW w:w="9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3F70AF">
            <w:pPr>
              <w:keepNext w:val="0"/>
              <w:keepLines w:val="0"/>
              <w:pageBreakBefore w:val="0"/>
              <w:widowControl/>
              <w:kinsoku/>
              <w:wordWrap/>
              <w:overflowPunct/>
              <w:topLinePunct w:val="0"/>
              <w:autoSpaceDE/>
              <w:autoSpaceDN/>
              <w:bidi w:val="0"/>
              <w:adjustRightInd/>
              <w:snapToGrid/>
              <w:spacing w:after="0" w:line="260" w:lineRule="exact"/>
              <w:jc w:val="center"/>
              <w:rPr>
                <w:rFonts w:hint="eastAsia" w:ascii="宋体" w:hAnsi="宋体" w:eastAsia="宋体" w:cs="宋体"/>
                <w:i w:val="0"/>
                <w:iCs w:val="0"/>
                <w:color w:val="000000"/>
                <w:sz w:val="22"/>
                <w:szCs w:val="22"/>
                <w:u w:val="none"/>
              </w:rPr>
            </w:pPr>
          </w:p>
        </w:tc>
        <w:tc>
          <w:tcPr>
            <w:tcW w:w="16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124525">
            <w:pPr>
              <w:keepNext w:val="0"/>
              <w:keepLines w:val="0"/>
              <w:pageBreakBefore w:val="0"/>
              <w:widowControl/>
              <w:kinsoku/>
              <w:wordWrap/>
              <w:overflowPunct/>
              <w:topLinePunct w:val="0"/>
              <w:autoSpaceDE/>
              <w:autoSpaceDN/>
              <w:bidi w:val="0"/>
              <w:adjustRightInd/>
              <w:snapToGrid/>
              <w:spacing w:after="0" w:line="260" w:lineRule="exact"/>
              <w:jc w:val="center"/>
              <w:rPr>
                <w:rFonts w:hint="eastAsia" w:ascii="宋体" w:hAnsi="宋体" w:eastAsia="宋体" w:cs="宋体"/>
                <w:i w:val="0"/>
                <w:iCs w:val="0"/>
                <w:color w:val="000000"/>
                <w:sz w:val="22"/>
                <w:szCs w:val="22"/>
                <w:u w:val="none"/>
              </w:rPr>
            </w:pPr>
          </w:p>
        </w:tc>
        <w:tc>
          <w:tcPr>
            <w:tcW w:w="7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68EFC3">
            <w:pPr>
              <w:keepNext w:val="0"/>
              <w:keepLines w:val="0"/>
              <w:pageBreakBefore w:val="0"/>
              <w:widowControl/>
              <w:kinsoku/>
              <w:wordWrap/>
              <w:overflowPunct/>
              <w:topLinePunct w:val="0"/>
              <w:autoSpaceDE/>
              <w:autoSpaceDN/>
              <w:bidi w:val="0"/>
              <w:adjustRightInd/>
              <w:snapToGrid/>
              <w:spacing w:after="0" w:line="260" w:lineRule="exact"/>
              <w:jc w:val="center"/>
              <w:rPr>
                <w:rFonts w:hint="eastAsia" w:ascii="宋体" w:hAnsi="宋体" w:eastAsia="宋体" w:cs="宋体"/>
                <w:b/>
                <w:bCs/>
                <w:i w:val="0"/>
                <w:iCs w:val="0"/>
                <w:color w:val="000000"/>
                <w:sz w:val="22"/>
                <w:szCs w:val="22"/>
                <w:u w:val="none"/>
              </w:rPr>
            </w:pPr>
          </w:p>
        </w:tc>
        <w:tc>
          <w:tcPr>
            <w:tcW w:w="8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444EB2">
            <w:pPr>
              <w:keepNext w:val="0"/>
              <w:keepLines w:val="0"/>
              <w:pageBreakBefore w:val="0"/>
              <w:widowControl/>
              <w:kinsoku/>
              <w:wordWrap/>
              <w:overflowPunct/>
              <w:topLinePunct w:val="0"/>
              <w:autoSpaceDE/>
              <w:autoSpaceDN/>
              <w:bidi w:val="0"/>
              <w:adjustRightInd/>
              <w:snapToGrid/>
              <w:spacing w:after="0" w:line="260" w:lineRule="exact"/>
              <w:jc w:val="center"/>
              <w:rPr>
                <w:rFonts w:hint="eastAsia" w:ascii="宋体" w:hAnsi="宋体" w:eastAsia="宋体" w:cs="宋体"/>
                <w:i w:val="0"/>
                <w:iCs w:val="0"/>
                <w:color w:val="000000"/>
                <w:sz w:val="22"/>
                <w:szCs w:val="22"/>
                <w:u w:val="none"/>
              </w:rPr>
            </w:pPr>
          </w:p>
        </w:tc>
        <w:tc>
          <w:tcPr>
            <w:tcW w:w="14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CBE550">
            <w:pPr>
              <w:keepNext w:val="0"/>
              <w:keepLines w:val="0"/>
              <w:pageBreakBefore w:val="0"/>
              <w:widowControl/>
              <w:kinsoku/>
              <w:wordWrap/>
              <w:overflowPunct/>
              <w:topLinePunct w:val="0"/>
              <w:autoSpaceDE/>
              <w:autoSpaceDN/>
              <w:bidi w:val="0"/>
              <w:adjustRightInd/>
              <w:snapToGrid/>
              <w:spacing w:after="0" w:line="260" w:lineRule="exact"/>
              <w:jc w:val="center"/>
              <w:rPr>
                <w:rFonts w:hint="eastAsia" w:ascii="宋体" w:hAnsi="宋体" w:eastAsia="宋体" w:cs="宋体"/>
                <w:i w:val="0"/>
                <w:iCs w:val="0"/>
                <w:color w:val="000000"/>
                <w:sz w:val="22"/>
                <w:szCs w:val="22"/>
                <w:u w:val="none"/>
              </w:rPr>
            </w:pPr>
          </w:p>
        </w:tc>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F224C3">
            <w:pPr>
              <w:keepNext w:val="0"/>
              <w:keepLines w:val="0"/>
              <w:pageBreakBefore w:val="0"/>
              <w:widowControl/>
              <w:kinsoku/>
              <w:wordWrap/>
              <w:overflowPunct/>
              <w:topLinePunct w:val="0"/>
              <w:autoSpaceDE/>
              <w:autoSpaceDN/>
              <w:bidi w:val="0"/>
              <w:adjustRightInd/>
              <w:snapToGrid/>
              <w:spacing w:after="0" w:line="260" w:lineRule="exact"/>
              <w:jc w:val="center"/>
              <w:rPr>
                <w:rFonts w:hint="eastAsia" w:ascii="宋体" w:hAnsi="宋体" w:eastAsia="宋体" w:cs="宋体"/>
                <w:i w:val="0"/>
                <w:iCs w:val="0"/>
                <w:color w:val="000000"/>
                <w:sz w:val="22"/>
                <w:szCs w:val="22"/>
                <w:u w:val="none"/>
              </w:rPr>
            </w:pPr>
          </w:p>
        </w:tc>
      </w:tr>
      <w:tr w14:paraId="67B1F0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31" w:hRule="atLeast"/>
          <w:jc w:val="right"/>
        </w:trPr>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3C00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9</w:t>
            </w:r>
          </w:p>
        </w:tc>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D2173">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对水路运输经营者的行政检查</w:t>
            </w:r>
          </w:p>
        </w:tc>
        <w:tc>
          <w:tcPr>
            <w:tcW w:w="6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93366">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1.《中华人民共和国航道法》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第五条　国务院交通运输主管部门主管全国航道管理工作，并按照国务院的规定直接管理跨省、自治区、直辖市的重要干线航道和国际、国境河流航道等重要航道。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县级以上地方人民政府交通运输主管部门按照省、自治区、直辖市人民政府的规定主管所辖航道的管理工作。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国务院交通运输主管部门按照国务院规定设置的负责航道管理的机构和县级以上地方人民政府负责航道管理的部门或者机构（以下统称负责航道管理的部门），承担本法规定的航道管理工作。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2.《中华人民共和国水污染防治法》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第九条第二款  交通主管部门的海事管理机构对船舶污染水域的防治实施监督管理。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3.《国内水路运输管理条例》第四条　国务院交通运输主管部门主管全国水路运输管理工作。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县级以上地方人民政府交通运输主管部门主管本行政区域的水路运输管理工作。县级以上地方人民政府负责水路运输管理的部门或者机构(以下统称负责水路运输管理的部门)承担本条例规定的水路运输管理工作。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5.《中华人民共和国航标条例》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第三条第一款　国务院交通行政主管部门负责管理和保护除军用航标和渔业的航标以外的航标。国务院交通行政主管部门设立的流域航道管理机构、海区港务监督机构和县级以上地方人民政府交通行政主管部门，负责管理和保护本辖区内军用航标和渔业航标以外的航标。交通行政主管 部门和国务院交通行政主管部门设立的流域航道管理机构、海区港务监督机构统称航标管理机关。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6.《中华人民共和国船员条例》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第三条  国务院交通主管部门主管全国船员管理工作。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国家海事管理机构依照本条例负责统一实施船员管理工作。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负责管理中央管辖水域的海事管理机构和负责管理其他水域的地方海事管理机构(以下统称海事管理机构)，依照各自职责具体负责船员管理工作。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7.《中华人民共和国防治船舶污染内河水域环境管理规定》交通运输部令2022年第26号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第四条第三款  各级海事管理机构依照各自的职责权限，具体负责管辖区域内防治船舶及其作业活动污染内河水域环境的监督管理工作。</w:t>
            </w:r>
          </w:p>
        </w:tc>
        <w:tc>
          <w:tcPr>
            <w:tcW w:w="1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B7839">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客船运输经营者、危险品船运输经营者、普通货物运输经营者、危险货物运输企业（含常压液体危险货物从业单位）、水运“三资”企业（外商投资企业）</w:t>
            </w:r>
          </w:p>
        </w:tc>
        <w:tc>
          <w:tcPr>
            <w:tcW w:w="4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1AE32">
            <w:pPr>
              <w:keepNext w:val="0"/>
              <w:keepLines w:val="0"/>
              <w:pageBreakBefore w:val="0"/>
              <w:widowControl/>
              <w:suppressLineNumbers w:val="0"/>
              <w:kinsoku/>
              <w:wordWrap/>
              <w:overflowPunct/>
              <w:topLinePunct w:val="0"/>
              <w:autoSpaceDE/>
              <w:autoSpaceDN/>
              <w:bidi w:val="0"/>
              <w:adjustRightInd/>
              <w:snapToGrid/>
              <w:spacing w:afterAutospacing="0"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经营资质监管：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1.对省际旅客、危险品货物水路运输经营者经营资质情况的监管（省、市、县级）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2.对水路运输经营者经营资质保持情况的监管（市、县级）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3.对普通货船运输和省内水路运输经营者经营资质的监管（省、市、县级）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经营行为监管：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4.对普通货船运输和省内水路运输经营者经营行为的监管（县级）：                      5.对水路运输经营者经营行为的监管（市、县级）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6.对触碰航标不报告行为的监管（省、市、县级）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7.对危害航标及辅助设施或影响航标效能的监管（省、市、县级）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8.对危害航道通航安全行为的监管（省、市、县级）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9.对船舶、浮动设施、船员和通航安全环境的监督检查（省、市、县级）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88C6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4月-12月</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3BB29">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现场检查、非现场检查相结合</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209C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一年一次</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56A4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湘乡市交通运输局</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BF687">
            <w:pPr>
              <w:keepNext w:val="0"/>
              <w:keepLines w:val="0"/>
              <w:pageBreakBefore w:val="0"/>
              <w:widowControl/>
              <w:kinsoku/>
              <w:wordWrap/>
              <w:overflowPunct/>
              <w:topLinePunct w:val="0"/>
              <w:autoSpaceDE/>
              <w:autoSpaceDN/>
              <w:bidi w:val="0"/>
              <w:adjustRightInd/>
              <w:snapToGrid/>
              <w:spacing w:after="0" w:line="260" w:lineRule="exact"/>
              <w:rPr>
                <w:rFonts w:hint="eastAsia" w:ascii="宋体" w:hAnsi="宋体" w:eastAsia="宋体" w:cs="宋体"/>
                <w:i w:val="0"/>
                <w:iCs w:val="0"/>
                <w:color w:val="000000"/>
                <w:sz w:val="22"/>
                <w:szCs w:val="22"/>
                <w:u w:val="none"/>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7568F">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一般检查</w:t>
            </w:r>
          </w:p>
        </w:tc>
      </w:tr>
    </w:tbl>
    <w:p w14:paraId="0401FE4F">
      <w:pPr>
        <w:rPr>
          <w:rFonts w:hint="eastAsia" w:asciiTheme="minorEastAsia" w:hAnsiTheme="minorEastAsia" w:eastAsiaTheme="minorEastAsia" w:cstheme="minorEastAsia"/>
        </w:rPr>
      </w:pPr>
    </w:p>
    <w:sectPr>
      <w:pgSz w:w="23811" w:h="16838" w:orient="landscape"/>
      <w:pgMar w:top="1134" w:right="1440" w:bottom="1134"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7C2253"/>
    <w:rsid w:val="317C2253"/>
    <w:rsid w:val="77074F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41"/>
    <w:basedOn w:val="3"/>
    <w:qFormat/>
    <w:uiPriority w:val="0"/>
    <w:rPr>
      <w:rFonts w:hint="eastAsia" w:ascii="宋体" w:hAnsi="宋体" w:eastAsia="宋体" w:cs="宋体"/>
      <w:color w:val="000000"/>
      <w:sz w:val="22"/>
      <w:szCs w:val="22"/>
      <w:u w:val="none"/>
    </w:rPr>
  </w:style>
  <w:style w:type="character" w:customStyle="1" w:styleId="5">
    <w:name w:val="font01"/>
    <w:basedOn w:val="3"/>
    <w:qFormat/>
    <w:uiPriority w:val="0"/>
    <w:rPr>
      <w:rFonts w:hint="eastAsia" w:ascii="宋体" w:hAnsi="宋体" w:eastAsia="宋体" w:cs="宋体"/>
      <w:color w:val="000000"/>
      <w:sz w:val="22"/>
      <w:szCs w:val="22"/>
      <w:u w:val="none"/>
    </w:rPr>
  </w:style>
  <w:style w:type="character" w:customStyle="1" w:styleId="6">
    <w:name w:val="font61"/>
    <w:basedOn w:val="3"/>
    <w:qFormat/>
    <w:uiPriority w:val="0"/>
    <w:rPr>
      <w:rFonts w:hint="eastAsia" w:ascii="宋体" w:hAnsi="宋体" w:eastAsia="宋体" w:cs="宋体"/>
      <w:color w:val="000000"/>
      <w:sz w:val="22"/>
      <w:szCs w:val="22"/>
      <w:u w:val="none"/>
    </w:rPr>
  </w:style>
  <w:style w:type="character" w:customStyle="1" w:styleId="7">
    <w:name w:val="font91"/>
    <w:basedOn w:val="3"/>
    <w:qFormat/>
    <w:uiPriority w:val="0"/>
    <w:rPr>
      <w:rFonts w:hint="eastAsia" w:ascii="方正黑体_GBK" w:hAnsi="方正黑体_GBK" w:eastAsia="方正黑体_GBK" w:cs="方正黑体_GBK"/>
      <w:color w:val="000000"/>
      <w:sz w:val="20"/>
      <w:szCs w:val="20"/>
      <w:u w:val="none"/>
    </w:rPr>
  </w:style>
  <w:style w:type="character" w:customStyle="1" w:styleId="8">
    <w:name w:val="font111"/>
    <w:basedOn w:val="3"/>
    <w:qFormat/>
    <w:uiPriority w:val="0"/>
    <w:rPr>
      <w:rFonts w:hint="eastAsia" w:ascii="仿宋_GB2312" w:eastAsia="仿宋_GB2312" w:cs="仿宋_GB2312"/>
      <w:b/>
      <w:bCs/>
      <w:color w:val="000000"/>
      <w:sz w:val="20"/>
      <w:szCs w:val="20"/>
      <w:u w:val="none"/>
    </w:rPr>
  </w:style>
  <w:style w:type="character" w:customStyle="1" w:styleId="9">
    <w:name w:val="font121"/>
    <w:basedOn w:val="3"/>
    <w:qFormat/>
    <w:uiPriority w:val="0"/>
    <w:rPr>
      <w:rFonts w:hint="eastAsia" w:ascii="方正黑体_GBK" w:hAnsi="方正黑体_GBK" w:eastAsia="方正黑体_GBK" w:cs="方正黑体_GBK"/>
      <w:b/>
      <w:bCs/>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8243</Words>
  <Characters>8438</Characters>
  <Lines>0</Lines>
  <Paragraphs>0</Paragraphs>
  <TotalTime>17</TotalTime>
  <ScaleCrop>false</ScaleCrop>
  <LinksUpToDate>false</LinksUpToDate>
  <CharactersWithSpaces>8607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2025-03-28T01:33:00Z</dcterms:created>
  <dc:creator>友谊打印</dc:creator>
  <cp:lastModifiedBy>江城子</cp:lastModifiedBy>
  <dcterms:modified xsi:type="dcterms:W3CDTF">2025-04-11T09:03:56Z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3C36BE800EEF4A61A662BD3E642AFAB8_11</vt:lpwstr>
  </property>
  <property fmtid="{D5CDD505-2E9C-101B-9397-08002B2CF9AE}" pid="4" name="KSOTemplateDocerSaveRecord">
    <vt:lpwstr>eyJoZGlkIjoiNGY4ZTcxMTUzMzkyNzBiODM2NDBlZTg5YWRkNWExZTMiLCJ1c2VySWQiOiIzMjI0MzU2NjYifQ==</vt:lpwstr>
  </property>
</Properties>
</file>