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D4727">
      <w:pPr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08938624">
      <w:pPr>
        <w:widowControl/>
        <w:shd w:val="clear" w:color="auto" w:fill="FFFFFF"/>
        <w:spacing w:line="540" w:lineRule="exact"/>
        <w:jc w:val="center"/>
        <w:rPr>
          <w:rFonts w:hint="eastAsia" w:ascii="黑体" w:hAnsi="黑体" w:eastAsia="黑体" w:cs="黑体"/>
          <w:b/>
          <w:kern w:val="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bCs/>
          <w:kern w:val="0"/>
          <w:sz w:val="36"/>
          <w:szCs w:val="36"/>
          <w:shd w:val="clear" w:color="auto" w:fill="FFFFFF"/>
          <w:lang w:eastAsia="zh-CN"/>
        </w:rPr>
        <w:t>湘乡市民政局</w:t>
      </w:r>
      <w:r>
        <w:rPr>
          <w:rFonts w:hint="eastAsia" w:ascii="黑体" w:hAnsi="黑体" w:eastAsia="黑体" w:cs="黑体"/>
          <w:sz w:val="36"/>
          <w:szCs w:val="36"/>
        </w:rPr>
        <w:t>公开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C5157"/>
          <w:spacing w:val="0"/>
          <w:sz w:val="36"/>
          <w:szCs w:val="36"/>
          <w:u w:val="none"/>
          <w:shd w:val="clear" w:color="auto" w:fill="FFFFFF"/>
        </w:rPr>
        <w:t>遴选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社会</w:t>
      </w:r>
      <w:r>
        <w:rPr>
          <w:rFonts w:hint="eastAsia" w:ascii="黑体" w:hAnsi="黑体" w:eastAsia="黑体" w:cs="黑体"/>
          <w:sz w:val="36"/>
          <w:szCs w:val="36"/>
        </w:rPr>
        <w:t>服务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组织</w:t>
      </w:r>
      <w:r>
        <w:rPr>
          <w:rFonts w:hint="eastAsia" w:ascii="黑体" w:hAnsi="黑体" w:eastAsia="黑体" w:cs="黑体"/>
          <w:bCs/>
          <w:kern w:val="0"/>
          <w:sz w:val="36"/>
          <w:szCs w:val="36"/>
          <w:shd w:val="clear" w:color="auto" w:fill="FFFFFF"/>
          <w:lang w:eastAsia="zh-CN"/>
        </w:rPr>
        <w:t>购买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我市留守（困境）服务</w:t>
      </w:r>
      <w:r>
        <w:rPr>
          <w:rFonts w:hint="eastAsia" w:ascii="黑体" w:hAnsi="黑体" w:eastAsia="黑体" w:cs="黑体"/>
          <w:bCs/>
          <w:kern w:val="0"/>
          <w:sz w:val="36"/>
          <w:szCs w:val="36"/>
          <w:shd w:val="clear" w:color="auto" w:fill="FFFFFF"/>
          <w:lang w:eastAsia="zh-CN"/>
        </w:rPr>
        <w:t>项目承接</w:t>
      </w:r>
      <w:r>
        <w:rPr>
          <w:rFonts w:hint="eastAsia" w:ascii="黑体" w:hAnsi="黑体" w:eastAsia="黑体" w:cs="黑体"/>
          <w:bCs/>
          <w:kern w:val="0"/>
          <w:sz w:val="36"/>
          <w:szCs w:val="36"/>
          <w:shd w:val="clear" w:color="auto" w:fill="FFFFFF"/>
        </w:rPr>
        <w:t>报名表</w:t>
      </w:r>
    </w:p>
    <w:p w14:paraId="6378945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" w:lineRule="atLeast"/>
        <w:ind w:right="0" w:firstLine="480" w:firstLineChars="200"/>
        <w:jc w:val="left"/>
        <w:rPr>
          <w:rFonts w:hint="eastAsia"/>
        </w:rPr>
      </w:pPr>
      <w:r>
        <w:rPr>
          <w:rFonts w:hint="eastAsia"/>
        </w:rPr>
        <w:t>单位名称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盖章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：</w:t>
      </w:r>
    </w:p>
    <w:tbl>
      <w:tblPr>
        <w:tblStyle w:val="9"/>
        <w:tblpPr w:leftFromText="180" w:rightFromText="180" w:vertAnchor="text" w:horzAnchor="page" w:tblpX="2015" w:tblpY="5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482"/>
        <w:gridCol w:w="3147"/>
        <w:gridCol w:w="1413"/>
        <w:gridCol w:w="2134"/>
        <w:gridCol w:w="3560"/>
      </w:tblGrid>
      <w:tr w14:paraId="05DA0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63DB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2E6A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ABB0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24B1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545BE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3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C526A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手机号码</w:t>
            </w:r>
          </w:p>
        </w:tc>
      </w:tr>
      <w:tr w14:paraId="2CD46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44C6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DD71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72DB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5EB5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C408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F4E0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34678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6650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A9CA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F2AD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E721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AD18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57A7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1DE44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E081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7DED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2BFA3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CC01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2029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8166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0D236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D1E7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D725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DFCF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3610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6DEB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4BA0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 w14:paraId="3448E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C867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BA7B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D270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4FD7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FBC5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C045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 w14:paraId="6B51B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ACC1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0555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14E6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ED6B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9A9F4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B91C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7F10981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" w:lineRule="atLeast"/>
        <w:ind w:right="0" w:firstLine="480" w:firstLineChars="200"/>
        <w:jc w:val="left"/>
        <w:rPr>
          <w:rFonts w:hint="eastAsia"/>
          <w:lang w:val="en-US" w:eastAsia="zh-CN"/>
        </w:rPr>
      </w:pPr>
    </w:p>
    <w:p w14:paraId="3686ABE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/>
        <w:jc w:val="both"/>
        <w:rPr>
          <w:rFonts w:hint="default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 w14:paraId="0D0224D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840"/>
        <w:jc w:val="both"/>
        <w:rPr>
          <w:rFonts w:hint="default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 w14:paraId="4F67647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3840"/>
        <w:jc w:val="both"/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 w14:paraId="2A1D93AA">
      <w:pPr>
        <w:bidi w:val="0"/>
        <w:rPr>
          <w:rFonts w:hint="eastAsia"/>
          <w:lang w:val="en-US" w:eastAsia="zh-CN"/>
        </w:rPr>
      </w:pPr>
    </w:p>
    <w:p w14:paraId="341192DE">
      <w:pPr>
        <w:bidi w:val="0"/>
        <w:rPr>
          <w:rFonts w:hint="eastAsia"/>
          <w:lang w:val="en-US" w:eastAsia="zh-CN"/>
        </w:rPr>
      </w:pPr>
    </w:p>
    <w:p w14:paraId="68917C8E">
      <w:pPr>
        <w:bidi w:val="0"/>
        <w:rPr>
          <w:rFonts w:hint="eastAsia"/>
          <w:lang w:val="en-US" w:eastAsia="zh-CN"/>
        </w:rPr>
      </w:pPr>
    </w:p>
    <w:p w14:paraId="7BB0F9EF">
      <w:pPr>
        <w:bidi w:val="0"/>
        <w:rPr>
          <w:rFonts w:hint="eastAsia"/>
          <w:lang w:val="en-US" w:eastAsia="zh-CN"/>
        </w:rPr>
      </w:pPr>
    </w:p>
    <w:p w14:paraId="3ACA0FF7">
      <w:pPr>
        <w:bidi w:val="0"/>
        <w:rPr>
          <w:rFonts w:hint="eastAsia"/>
          <w:lang w:val="en-US" w:eastAsia="zh-CN"/>
        </w:rPr>
      </w:pPr>
    </w:p>
    <w:p w14:paraId="7CCF8C2F">
      <w:pPr>
        <w:bidi w:val="0"/>
        <w:rPr>
          <w:rFonts w:hint="eastAsia"/>
          <w:lang w:val="en-US" w:eastAsia="zh-CN"/>
        </w:rPr>
      </w:pPr>
    </w:p>
    <w:p w14:paraId="09323998">
      <w:pPr>
        <w:bidi w:val="0"/>
        <w:rPr>
          <w:rFonts w:hint="eastAsia"/>
          <w:lang w:val="en-US" w:eastAsia="zh-CN"/>
        </w:rPr>
      </w:pPr>
    </w:p>
    <w:p w14:paraId="6869078C">
      <w:pPr>
        <w:bidi w:val="0"/>
        <w:rPr>
          <w:rFonts w:hint="eastAsia"/>
          <w:lang w:val="en-US" w:eastAsia="zh-CN"/>
        </w:rPr>
      </w:pPr>
    </w:p>
    <w:p w14:paraId="409EF477">
      <w:pPr>
        <w:bidi w:val="0"/>
        <w:rPr>
          <w:rFonts w:hint="eastAsia"/>
          <w:lang w:val="en-US" w:eastAsia="zh-CN"/>
        </w:rPr>
      </w:pPr>
    </w:p>
    <w:p w14:paraId="7A36B8C9">
      <w:pPr>
        <w:tabs>
          <w:tab w:val="left" w:pos="8810"/>
        </w:tabs>
        <w:bidi w:val="0"/>
        <w:jc w:val="left"/>
        <w:rPr>
          <w:rFonts w:hint="eastAsia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ab/>
      </w:r>
    </w:p>
    <w:p w14:paraId="2B6CC277">
      <w:pPr>
        <w:outlineLvl w:val="0"/>
        <w:rPr>
          <w:rFonts w:hint="eastAsia" w:ascii="方正小标宋简体" w:hAnsi="方正小标宋简体" w:eastAsia="仿宋_GB2312" w:cs="方正小标宋简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67834023">
      <w:pPr>
        <w:snapToGrid w:val="0"/>
        <w:spacing w:line="50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湘乡市民政局</w:t>
      </w:r>
      <w:r>
        <w:rPr>
          <w:rFonts w:hint="eastAsia" w:ascii="黑体" w:hAnsi="黑体" w:eastAsia="黑体" w:cs="黑体"/>
          <w:sz w:val="32"/>
          <w:szCs w:val="32"/>
        </w:rPr>
        <w:t>公开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遴选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社会</w:t>
      </w:r>
      <w:r>
        <w:rPr>
          <w:rFonts w:hint="eastAsia" w:ascii="黑体" w:hAnsi="黑体" w:eastAsia="黑体" w:cs="黑体"/>
          <w:sz w:val="32"/>
          <w:szCs w:val="32"/>
        </w:rPr>
        <w:t>服务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组织</w:t>
      </w:r>
      <w:r>
        <w:rPr>
          <w:rFonts w:hint="eastAsia" w:ascii="黑体" w:hAnsi="黑体" w:eastAsia="黑体" w:cs="黑体"/>
          <w:bCs/>
          <w:kern w:val="0"/>
          <w:sz w:val="32"/>
          <w:szCs w:val="32"/>
          <w:shd w:val="clear" w:color="auto" w:fill="FFFFFF"/>
          <w:lang w:eastAsia="zh-CN"/>
        </w:rPr>
        <w:t>购买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我市</w:t>
      </w:r>
    </w:p>
    <w:p w14:paraId="22D96717">
      <w:pPr>
        <w:tabs>
          <w:tab w:val="center" w:pos="4213"/>
          <w:tab w:val="right" w:pos="8306"/>
        </w:tabs>
        <w:snapToGrid w:val="0"/>
        <w:spacing w:line="500" w:lineRule="exact"/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ab/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留守（困境）服务</w:t>
      </w:r>
      <w:r>
        <w:rPr>
          <w:rFonts w:hint="eastAsia" w:ascii="黑体" w:hAnsi="黑体" w:eastAsia="黑体" w:cs="黑体"/>
          <w:bCs/>
          <w:kern w:val="0"/>
          <w:sz w:val="32"/>
          <w:szCs w:val="32"/>
          <w:shd w:val="clear" w:color="auto" w:fill="FFFFFF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评审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标准评分表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ab/>
      </w:r>
    </w:p>
    <w:p w14:paraId="47C8267D">
      <w:pPr>
        <w:snapToGrid w:val="0"/>
        <w:spacing w:line="5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申报单位：</w:t>
      </w:r>
    </w:p>
    <w:tbl>
      <w:tblPr>
        <w:tblStyle w:val="9"/>
        <w:tblW w:w="1006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177"/>
        <w:gridCol w:w="490"/>
        <w:gridCol w:w="6301"/>
        <w:gridCol w:w="635"/>
        <w:gridCol w:w="639"/>
      </w:tblGrid>
      <w:tr w14:paraId="5A4ED5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tblHeader/>
          <w:jc w:val="center"/>
        </w:trPr>
        <w:tc>
          <w:tcPr>
            <w:tcW w:w="820" w:type="dxa"/>
            <w:vAlign w:val="center"/>
          </w:tcPr>
          <w:p w14:paraId="4FA42E02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77" w:type="dxa"/>
            <w:vAlign w:val="center"/>
          </w:tcPr>
          <w:p w14:paraId="47195DCC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二级</w:t>
            </w:r>
          </w:p>
          <w:p w14:paraId="23C46985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指标</w:t>
            </w:r>
          </w:p>
        </w:tc>
        <w:tc>
          <w:tcPr>
            <w:tcW w:w="490" w:type="dxa"/>
            <w:vAlign w:val="center"/>
          </w:tcPr>
          <w:p w14:paraId="21CBD1BF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编号</w:t>
            </w:r>
          </w:p>
        </w:tc>
        <w:tc>
          <w:tcPr>
            <w:tcW w:w="6301" w:type="dxa"/>
            <w:vAlign w:val="center"/>
          </w:tcPr>
          <w:p w14:paraId="10DF9DC0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指标</w:t>
            </w:r>
          </w:p>
        </w:tc>
        <w:tc>
          <w:tcPr>
            <w:tcW w:w="635" w:type="dxa"/>
            <w:vAlign w:val="center"/>
          </w:tcPr>
          <w:p w14:paraId="47A42EE7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分值</w:t>
            </w:r>
          </w:p>
        </w:tc>
        <w:tc>
          <w:tcPr>
            <w:tcW w:w="639" w:type="dxa"/>
            <w:vAlign w:val="center"/>
          </w:tcPr>
          <w:p w14:paraId="062EF26D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得分</w:t>
            </w:r>
          </w:p>
        </w:tc>
      </w:tr>
      <w:tr w14:paraId="5B9A11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820" w:type="dxa"/>
            <w:vMerge w:val="restart"/>
            <w:vAlign w:val="center"/>
          </w:tcPr>
          <w:p w14:paraId="6E78EACE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  <w:t>组织情况（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20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  <w:t>）</w:t>
            </w:r>
          </w:p>
        </w:tc>
        <w:tc>
          <w:tcPr>
            <w:tcW w:w="1177" w:type="dxa"/>
            <w:vAlign w:val="center"/>
          </w:tcPr>
          <w:p w14:paraId="245D49C0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  <w:t>年检结论（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  <w:t>分）</w:t>
            </w:r>
          </w:p>
        </w:tc>
        <w:tc>
          <w:tcPr>
            <w:tcW w:w="490" w:type="dxa"/>
            <w:vAlign w:val="center"/>
          </w:tcPr>
          <w:p w14:paraId="15CBD07C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6301" w:type="dxa"/>
            <w:vAlign w:val="center"/>
          </w:tcPr>
          <w:p w14:paraId="6CB88B38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  <w:t>申报单位近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  <w:t>年年检结论为合格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eastAsia="zh-CN"/>
              </w:rPr>
              <w:t>；财务状况良好。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两项均满足各得5分，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否则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  <w:t>不得分。</w:t>
            </w:r>
          </w:p>
        </w:tc>
        <w:tc>
          <w:tcPr>
            <w:tcW w:w="635" w:type="dxa"/>
            <w:vAlign w:val="center"/>
          </w:tcPr>
          <w:p w14:paraId="2333EC9A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639" w:type="dxa"/>
            <w:vAlign w:val="center"/>
          </w:tcPr>
          <w:p w14:paraId="6E1613A8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</w:pPr>
          </w:p>
        </w:tc>
      </w:tr>
      <w:tr w14:paraId="7165D8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820" w:type="dxa"/>
            <w:vMerge w:val="continue"/>
            <w:vAlign w:val="center"/>
          </w:tcPr>
          <w:p w14:paraId="60532AC0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77" w:type="dxa"/>
            <w:vAlign w:val="center"/>
          </w:tcPr>
          <w:p w14:paraId="60D9448C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eastAsia="zh-CN"/>
              </w:rPr>
              <w:t>征信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记录（10分）</w:t>
            </w:r>
          </w:p>
        </w:tc>
        <w:tc>
          <w:tcPr>
            <w:tcW w:w="490" w:type="dxa"/>
            <w:vAlign w:val="center"/>
          </w:tcPr>
          <w:p w14:paraId="68E28BD7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6301" w:type="dxa"/>
            <w:vAlign w:val="center"/>
          </w:tcPr>
          <w:p w14:paraId="00A4149A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申报单位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eastAsia="zh-CN"/>
              </w:rPr>
              <w:t>无征信负面问题；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无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违法失信行为记录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eastAsia="zh-CN"/>
              </w:rPr>
              <w:t>。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两项均满足各得5分，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否则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  <w:t>不得分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。</w:t>
            </w:r>
          </w:p>
        </w:tc>
        <w:tc>
          <w:tcPr>
            <w:tcW w:w="635" w:type="dxa"/>
            <w:vAlign w:val="center"/>
          </w:tcPr>
          <w:p w14:paraId="29A061D8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639" w:type="dxa"/>
            <w:vAlign w:val="center"/>
          </w:tcPr>
          <w:p w14:paraId="62627835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sz w:val="21"/>
                <w:szCs w:val="21"/>
                <w:shd w:val="clear" w:color="auto" w:fill="FFFFFF"/>
              </w:rPr>
            </w:pPr>
          </w:p>
        </w:tc>
      </w:tr>
      <w:tr w14:paraId="0EAD1A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3" w:hRule="atLeast"/>
          <w:jc w:val="center"/>
        </w:trPr>
        <w:tc>
          <w:tcPr>
            <w:tcW w:w="820" w:type="dxa"/>
            <w:tcBorders>
              <w:top w:val="single" w:color="auto" w:sz="4" w:space="0"/>
            </w:tcBorders>
            <w:vAlign w:val="center"/>
          </w:tcPr>
          <w:p w14:paraId="51FF49D9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实施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方案（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）</w:t>
            </w:r>
          </w:p>
        </w:tc>
        <w:tc>
          <w:tcPr>
            <w:tcW w:w="1177" w:type="dxa"/>
            <w:tcBorders>
              <w:top w:val="single" w:color="auto" w:sz="4" w:space="0"/>
            </w:tcBorders>
            <w:vAlign w:val="center"/>
          </w:tcPr>
          <w:p w14:paraId="6AE4E524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方案设计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与规划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490" w:type="dxa"/>
            <w:vAlign w:val="center"/>
          </w:tcPr>
          <w:p w14:paraId="1D69F62F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301" w:type="dxa"/>
            <w:vAlign w:val="center"/>
          </w:tcPr>
          <w:p w14:paraId="5CB372BF">
            <w:pPr>
              <w:pStyle w:val="3"/>
              <w:numPr>
                <w:ilvl w:val="0"/>
                <w:numId w:val="0"/>
              </w:numP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1、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项目方案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侧重于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2"/>
                <w:sz w:val="21"/>
                <w:szCs w:val="21"/>
                <w:lang w:val="en-US" w:eastAsia="zh-CN" w:bidi="ar-SA"/>
              </w:rPr>
              <w:t>加强全市留守（困境）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lang w:val="en-US" w:eastAsia="zh-CN"/>
              </w:rPr>
              <w:t>儿童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2"/>
                <w:sz w:val="21"/>
                <w:szCs w:val="21"/>
                <w:lang w:val="en-US" w:eastAsia="zh-CN" w:bidi="ar-SA"/>
              </w:rPr>
              <w:t>关爱保护工作，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全面涵盖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2"/>
                <w:sz w:val="21"/>
                <w:szCs w:val="21"/>
                <w:lang w:val="en-US" w:eastAsia="zh-CN" w:bidi="ar-SA"/>
              </w:rPr>
              <w:t>入户走访、个案服务、精神慰藉、心理疏导、主题宣传教育、假期研学，安全教育等活动，宣传防性侵、防溺水等“五防”安全教育，促进留守（困境）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lang w:val="en-US" w:eastAsia="zh-CN"/>
              </w:rPr>
              <w:t>儿童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2"/>
                <w:sz w:val="21"/>
                <w:szCs w:val="21"/>
                <w:lang w:val="en-US" w:eastAsia="zh-CN" w:bidi="ar-SA"/>
              </w:rPr>
              <w:t>身心健康成长。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此项得分为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12分。</w:t>
            </w:r>
          </w:p>
          <w:p w14:paraId="1518B9FF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2、方案内容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包括人员安排、工作职责、预算分配、服务规划、质量保障等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要素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，每项得分为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2分，共10分。</w:t>
            </w:r>
          </w:p>
          <w:p w14:paraId="2EFEA3BA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3、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  <w:t>方案设计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科学合理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  <w:t>，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可操作性强，兼具创新性，根据方案质量情况得1-8分。</w:t>
            </w:r>
          </w:p>
        </w:tc>
        <w:tc>
          <w:tcPr>
            <w:tcW w:w="635" w:type="dxa"/>
            <w:vAlign w:val="center"/>
          </w:tcPr>
          <w:p w14:paraId="79BEF437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30</w:t>
            </w:r>
          </w:p>
        </w:tc>
        <w:tc>
          <w:tcPr>
            <w:tcW w:w="639" w:type="dxa"/>
            <w:vAlign w:val="center"/>
          </w:tcPr>
          <w:p w14:paraId="0FF35E3E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</w:tc>
      </w:tr>
      <w:tr w14:paraId="52F0B0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820" w:type="dxa"/>
            <w:vAlign w:val="center"/>
          </w:tcPr>
          <w:p w14:paraId="65DF0579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执行</w:t>
            </w:r>
          </w:p>
          <w:p w14:paraId="2541B4AD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团队</w:t>
            </w:r>
          </w:p>
          <w:p w14:paraId="6D618CD6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）</w:t>
            </w:r>
          </w:p>
        </w:tc>
        <w:tc>
          <w:tcPr>
            <w:tcW w:w="1177" w:type="dxa"/>
            <w:vAlign w:val="center"/>
          </w:tcPr>
          <w:p w14:paraId="1B654539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专职人员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配备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490" w:type="dxa"/>
            <w:vAlign w:val="center"/>
          </w:tcPr>
          <w:p w14:paraId="1BB8E79F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301" w:type="dxa"/>
            <w:vAlign w:val="center"/>
          </w:tcPr>
          <w:p w14:paraId="39B1319E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项目承接机构需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拥有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稳定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且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专业的执行团队。每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配备1名持有社会工作者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eastAsia="zh-CN"/>
              </w:rPr>
              <w:t>职业水平证书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或心理咨询师证书的人员，得5分，最高得15分。申报时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  <w:t>需提供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在投标单位人员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  <w:t>近6个月缴纳社保记录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相应资格证书复印件、身份证复印件作为佐证材料。缺少任一材料对应人员不得分（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  <w:t>截止时间为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highlight w:val="none"/>
                <w:shd w:val="clear" w:color="auto" w:fill="FFFFFF"/>
              </w:rPr>
              <w:t>202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highlight w:val="none"/>
                <w:shd w:val="clear" w:color="auto" w:fill="FFFFFF"/>
              </w:rPr>
              <w:t>年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highlight w:val="none"/>
                <w:shd w:val="clear" w:color="auto" w:fill="FFFFFF"/>
              </w:rPr>
              <w:t>月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16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highlight w:val="none"/>
                <w:shd w:val="clear" w:color="auto" w:fill="FFFFFF"/>
              </w:rPr>
              <w:t>日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  <w:t>）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635" w:type="dxa"/>
            <w:vAlign w:val="center"/>
          </w:tcPr>
          <w:p w14:paraId="553F4619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639" w:type="dxa"/>
            <w:vAlign w:val="center"/>
          </w:tcPr>
          <w:p w14:paraId="28BE701C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</w:tc>
      </w:tr>
      <w:tr w14:paraId="7F2100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820" w:type="dxa"/>
            <w:vMerge w:val="restart"/>
            <w:vAlign w:val="center"/>
          </w:tcPr>
          <w:p w14:paraId="7A7E4FFE">
            <w:pPr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服务能力（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）</w:t>
            </w:r>
          </w:p>
        </w:tc>
        <w:tc>
          <w:tcPr>
            <w:tcW w:w="1177" w:type="dxa"/>
            <w:vAlign w:val="center"/>
          </w:tcPr>
          <w:p w14:paraId="7522D6CA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民政项目经验(15)</w:t>
            </w:r>
          </w:p>
        </w:tc>
        <w:tc>
          <w:tcPr>
            <w:tcW w:w="490" w:type="dxa"/>
            <w:vAlign w:val="center"/>
          </w:tcPr>
          <w:p w14:paraId="582B21B4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301" w:type="dxa"/>
            <w:vAlign w:val="center"/>
          </w:tcPr>
          <w:p w14:paraId="4B1CAB19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近三年来，申报单位每承接过1个民政领域相关服务项目，且能提供项目协议、合同等有效证明材料的，得5分，最高得15分。</w:t>
            </w:r>
          </w:p>
        </w:tc>
        <w:tc>
          <w:tcPr>
            <w:tcW w:w="635" w:type="dxa"/>
            <w:vAlign w:val="center"/>
          </w:tcPr>
          <w:p w14:paraId="36541F5E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639" w:type="dxa"/>
            <w:vAlign w:val="center"/>
          </w:tcPr>
          <w:p w14:paraId="514109CD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</w:tc>
      </w:tr>
      <w:tr w14:paraId="0FEBEC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5" w:hRule="atLeast"/>
          <w:jc w:val="center"/>
        </w:trPr>
        <w:tc>
          <w:tcPr>
            <w:tcW w:w="820" w:type="dxa"/>
            <w:vMerge w:val="continue"/>
            <w:vAlign w:val="center"/>
          </w:tcPr>
          <w:p w14:paraId="6E2B465C">
            <w:pPr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</w:p>
        </w:tc>
        <w:tc>
          <w:tcPr>
            <w:tcW w:w="1177" w:type="dxa"/>
            <w:vAlign w:val="center"/>
          </w:tcPr>
          <w:p w14:paraId="290EA9CC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服务满意度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（1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490" w:type="dxa"/>
            <w:vAlign w:val="center"/>
          </w:tcPr>
          <w:p w14:paraId="011F87D9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301" w:type="dxa"/>
            <w:vAlign w:val="center"/>
          </w:tcPr>
          <w:p w14:paraId="57019C81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  <w:t>申报单位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能提供近三年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2"/>
                <w:sz w:val="21"/>
                <w:szCs w:val="21"/>
                <w:lang w:val="en-US" w:eastAsia="zh-CN" w:bidi="ar-SA"/>
              </w:rPr>
              <w:t>留守（困境）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lang w:val="en-US" w:eastAsia="zh-CN"/>
              </w:rPr>
              <w:t>儿童服务项目的服务对象满意度调查资料，根据调查覆盖率（不低于80％得3分，每低10％扣1分）、满意度结果（满意度≥90％得4分，80％-89％得2分，＜80％不得分）及分析改进措施（合理得3分，不合理或无不得分）综合评分，最高得10分。</w:t>
            </w:r>
          </w:p>
        </w:tc>
        <w:tc>
          <w:tcPr>
            <w:tcW w:w="635" w:type="dxa"/>
            <w:vAlign w:val="center"/>
          </w:tcPr>
          <w:p w14:paraId="52E17638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0</w:t>
            </w:r>
          </w:p>
        </w:tc>
        <w:tc>
          <w:tcPr>
            <w:tcW w:w="639" w:type="dxa"/>
            <w:vAlign w:val="center"/>
          </w:tcPr>
          <w:p w14:paraId="3F6DEE69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</w:tc>
      </w:tr>
      <w:tr w14:paraId="6EC5FF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atLeast"/>
          <w:jc w:val="center"/>
        </w:trPr>
        <w:tc>
          <w:tcPr>
            <w:tcW w:w="820" w:type="dxa"/>
            <w:vMerge w:val="continue"/>
            <w:vAlign w:val="center"/>
          </w:tcPr>
          <w:p w14:paraId="2E0CDABE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77" w:type="dxa"/>
            <w:vAlign w:val="center"/>
          </w:tcPr>
          <w:p w14:paraId="782BAEA2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服务持续性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490" w:type="dxa"/>
            <w:vAlign w:val="center"/>
          </w:tcPr>
          <w:p w14:paraId="3FBCF824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6301" w:type="dxa"/>
            <w:vAlign w:val="center"/>
          </w:tcPr>
          <w:p w14:paraId="37C27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申报单位能够清晰规划项目后续服务跟进机制，如建立服务对象档案管理、定期回访等计划，根据内容完整性和可行性，得1-10分。</w:t>
            </w:r>
          </w:p>
        </w:tc>
        <w:tc>
          <w:tcPr>
            <w:tcW w:w="635" w:type="dxa"/>
            <w:vAlign w:val="center"/>
          </w:tcPr>
          <w:p w14:paraId="30CEFFFB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639" w:type="dxa"/>
            <w:vAlign w:val="center"/>
          </w:tcPr>
          <w:p w14:paraId="48988EA3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</w:tc>
      </w:tr>
      <w:tr w14:paraId="583385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exact"/>
          <w:jc w:val="center"/>
        </w:trPr>
        <w:tc>
          <w:tcPr>
            <w:tcW w:w="820" w:type="dxa"/>
            <w:vAlign w:val="center"/>
          </w:tcPr>
          <w:p w14:paraId="5436D166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总分值</w:t>
            </w:r>
          </w:p>
        </w:tc>
        <w:tc>
          <w:tcPr>
            <w:tcW w:w="1667" w:type="dxa"/>
            <w:gridSpan w:val="2"/>
            <w:vAlign w:val="center"/>
          </w:tcPr>
          <w:p w14:paraId="5DD76685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  <w:t>100分</w:t>
            </w:r>
          </w:p>
        </w:tc>
        <w:tc>
          <w:tcPr>
            <w:tcW w:w="6301" w:type="dxa"/>
            <w:vAlign w:val="center"/>
          </w:tcPr>
          <w:p w14:paraId="657445B2">
            <w:pPr>
              <w:snapToGrid w:val="0"/>
              <w:spacing w:line="240" w:lineRule="atLeast"/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shd w:val="clear" w:fill="FFFFFF"/>
              </w:rPr>
              <w:t>遴选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shd w:val="clear" w:fill="FFFFFF"/>
                <w:lang w:val="en-US" w:eastAsia="zh-CN"/>
              </w:rPr>
              <w:t>评审小组成员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21"/>
                <w:szCs w:val="21"/>
                <w:shd w:val="clear" w:color="auto" w:fill="FFFFFF"/>
              </w:rPr>
              <w:t>（签字）：</w:t>
            </w:r>
          </w:p>
          <w:p w14:paraId="53FF3774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  <w:p w14:paraId="43ECBE15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35" w:type="dxa"/>
            <w:vAlign w:val="center"/>
          </w:tcPr>
          <w:p w14:paraId="00BCFABE">
            <w:pPr>
              <w:snapToGrid w:val="0"/>
              <w:spacing w:line="240" w:lineRule="atLeas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 w14:paraId="69E4BA51"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1"/>
                <w:szCs w:val="21"/>
              </w:rPr>
            </w:pPr>
          </w:p>
        </w:tc>
      </w:tr>
    </w:tbl>
    <w:p w14:paraId="09337E8D">
      <w:pPr>
        <w:tabs>
          <w:tab w:val="left" w:pos="8810"/>
        </w:tabs>
        <w:bidi w:val="0"/>
        <w:jc w:val="left"/>
        <w:rPr>
          <w:rFonts w:hint="eastAsia"/>
          <w:lang w:val="en-US" w:eastAsia="zh-CN"/>
        </w:rPr>
      </w:pPr>
    </w:p>
    <w:p w14:paraId="58755709">
      <w:pPr>
        <w:tabs>
          <w:tab w:val="left" w:pos="8810"/>
        </w:tabs>
        <w:bidi w:val="0"/>
        <w:jc w:val="left"/>
        <w:rPr>
          <w:rFonts w:hint="eastAsia"/>
          <w:lang w:val="en-US" w:eastAsia="zh-CN"/>
        </w:rPr>
      </w:pPr>
    </w:p>
    <w:p w14:paraId="787F260F">
      <w:pPr>
        <w:outlineLvl w:val="0"/>
        <w:rPr>
          <w:rFonts w:hint="eastAsia" w:ascii="方正小标宋简体" w:hAnsi="方正小标宋简体" w:eastAsia="仿宋_GB2312" w:cs="方正小标宋简体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 w14:paraId="427370BE">
      <w:pPr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1A02B142">
      <w:pPr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湘乡市民政局</w:t>
      </w:r>
    </w:p>
    <w:p w14:paraId="45778AAC">
      <w:pPr>
        <w:snapToGrid w:val="0"/>
        <w:spacing w:line="500" w:lineRule="exact"/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关于成立</w:t>
      </w:r>
      <w:r>
        <w:rPr>
          <w:rFonts w:hint="eastAsia" w:ascii="黑体" w:hAnsi="黑体" w:eastAsia="黑体" w:cs="黑体"/>
          <w:sz w:val="36"/>
          <w:szCs w:val="36"/>
        </w:rPr>
        <w:t>公开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C5157"/>
          <w:spacing w:val="0"/>
          <w:sz w:val="36"/>
          <w:szCs w:val="36"/>
          <w:u w:val="none"/>
          <w:shd w:val="clear" w:fill="FFFFFF"/>
        </w:rPr>
        <w:t>遴选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社会</w:t>
      </w:r>
      <w:r>
        <w:rPr>
          <w:rFonts w:hint="eastAsia" w:ascii="黑体" w:hAnsi="黑体" w:eastAsia="黑体" w:cs="黑体"/>
          <w:sz w:val="36"/>
          <w:szCs w:val="36"/>
        </w:rPr>
        <w:t>服务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组织</w:t>
      </w:r>
      <w:r>
        <w:rPr>
          <w:rFonts w:hint="eastAsia" w:ascii="黑体" w:hAnsi="黑体" w:eastAsia="黑体" w:cs="黑体"/>
          <w:bCs/>
          <w:kern w:val="0"/>
          <w:sz w:val="36"/>
          <w:szCs w:val="36"/>
          <w:shd w:val="clear" w:color="auto" w:fill="FFFFFF"/>
          <w:lang w:eastAsia="zh-CN"/>
        </w:rPr>
        <w:t>购买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我市留守（困境）服务</w:t>
      </w:r>
      <w:r>
        <w:rPr>
          <w:rFonts w:hint="eastAsia" w:ascii="黑体" w:hAnsi="黑体" w:eastAsia="黑体" w:cs="黑体"/>
          <w:bCs/>
          <w:kern w:val="0"/>
          <w:sz w:val="36"/>
          <w:szCs w:val="36"/>
          <w:shd w:val="clear" w:color="auto" w:fill="FFFFFF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评审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小组的通告</w:t>
      </w:r>
    </w:p>
    <w:p w14:paraId="74108F9D">
      <w:pPr>
        <w:tabs>
          <w:tab w:val="left" w:pos="7673"/>
        </w:tabs>
        <w:bidi w:val="0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 w14:paraId="6BA7C6BF">
      <w:pPr>
        <w:bidi w:val="0"/>
        <w:rPr>
          <w:rFonts w:hint="default"/>
          <w:lang w:val="en-US" w:eastAsia="zh-CN"/>
        </w:rPr>
      </w:pPr>
    </w:p>
    <w:p w14:paraId="39E0133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根据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财政部、民政部关于支持和规范社会组织承接政府购买服务的通知(财综(2014)87号)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eastAsia="zh-CN"/>
        </w:rPr>
        <w:t>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  <w:t>等文件精神和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工作需要，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eastAsia="zh-CN"/>
        </w:rPr>
        <w:t>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湘乡市民政局党组研究同意，成立</w:t>
      </w:r>
      <w:r>
        <w:rPr>
          <w:rFonts w:hint="eastAsia" w:ascii="仿宋" w:hAnsi="仿宋" w:eastAsia="仿宋" w:cs="仿宋"/>
          <w:sz w:val="32"/>
          <w:szCs w:val="32"/>
        </w:rPr>
        <w:t>公开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遴选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社会</w:t>
      </w:r>
      <w:r>
        <w:rPr>
          <w:rFonts w:hint="eastAsia" w:ascii="仿宋" w:hAnsi="仿宋" w:eastAsia="仿宋" w:cs="仿宋"/>
          <w:sz w:val="32"/>
          <w:szCs w:val="32"/>
        </w:rPr>
        <w:t>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组织机构</w:t>
      </w:r>
      <w:r>
        <w:rPr>
          <w:rFonts w:hint="eastAsia" w:ascii="仿宋" w:hAnsi="仿宋" w:eastAsia="仿宋" w:cs="仿宋"/>
          <w:bCs/>
          <w:kern w:val="0"/>
          <w:sz w:val="32"/>
          <w:szCs w:val="32"/>
          <w:shd w:val="clear" w:color="auto" w:fill="FFFFFF"/>
          <w:lang w:eastAsia="zh-CN"/>
        </w:rPr>
        <w:t>购买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我市留守（困境）服务</w:t>
      </w:r>
      <w:r>
        <w:rPr>
          <w:rFonts w:hint="eastAsia" w:ascii="仿宋" w:hAnsi="仿宋" w:eastAsia="仿宋" w:cs="仿宋"/>
          <w:bCs/>
          <w:kern w:val="0"/>
          <w:sz w:val="32"/>
          <w:szCs w:val="32"/>
          <w:shd w:val="clear" w:color="auto" w:fill="FFFFFF"/>
          <w:lang w:eastAsia="zh-CN"/>
        </w:rPr>
        <w:t>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评审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小组，评审小组名单如下：</w:t>
      </w:r>
    </w:p>
    <w:p w14:paraId="04AE93B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湘乡市民政局党组成员、副局长：杨乔元</w:t>
      </w:r>
    </w:p>
    <w:p w14:paraId="538F44F2">
      <w:pPr>
        <w:bidi w:val="0"/>
        <w:ind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湘乡市民政局机关纪委、办公室、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规划财务股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社会组织管理股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负责人。</w:t>
      </w:r>
    </w:p>
    <w:p w14:paraId="2B6193A9">
      <w:pPr>
        <w:bidi w:val="0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特此通告。</w:t>
      </w:r>
    </w:p>
    <w:p w14:paraId="7204F2CF">
      <w:pPr>
        <w:bidi w:val="0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3733A057">
      <w:pPr>
        <w:bidi w:val="0"/>
        <w:ind w:firstLine="4480" w:firstLineChars="14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湘乡市民政局</w:t>
      </w:r>
    </w:p>
    <w:p w14:paraId="7E90C362">
      <w:pPr>
        <w:tabs>
          <w:tab w:val="right" w:pos="3826"/>
        </w:tabs>
        <w:bidi w:val="0"/>
        <w:ind w:firstLine="4480" w:firstLineChars="14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2025年5月 16日</w:t>
      </w:r>
    </w:p>
    <w:p w14:paraId="5613A07E">
      <w:pPr>
        <w:tabs>
          <w:tab w:val="left" w:pos="8810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永中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4427A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43CEEA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43CEEA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91295"/>
    <w:rsid w:val="00951FEE"/>
    <w:rsid w:val="00B55938"/>
    <w:rsid w:val="042F62B6"/>
    <w:rsid w:val="0A2D5046"/>
    <w:rsid w:val="0E430ED8"/>
    <w:rsid w:val="10EC5C5A"/>
    <w:rsid w:val="14AB1989"/>
    <w:rsid w:val="1E9D67E6"/>
    <w:rsid w:val="213A656E"/>
    <w:rsid w:val="23301B28"/>
    <w:rsid w:val="25557E53"/>
    <w:rsid w:val="27D668C5"/>
    <w:rsid w:val="28CB3F50"/>
    <w:rsid w:val="2E491295"/>
    <w:rsid w:val="35FA5E74"/>
    <w:rsid w:val="368B443C"/>
    <w:rsid w:val="3B497682"/>
    <w:rsid w:val="3DE418E4"/>
    <w:rsid w:val="3EAF3CA0"/>
    <w:rsid w:val="3F84512C"/>
    <w:rsid w:val="48AC1250"/>
    <w:rsid w:val="4F363F69"/>
    <w:rsid w:val="561C2113"/>
    <w:rsid w:val="5C9A78E6"/>
    <w:rsid w:val="5CE70651"/>
    <w:rsid w:val="5EB635F2"/>
    <w:rsid w:val="67EE31DB"/>
    <w:rsid w:val="6A3B3D8A"/>
    <w:rsid w:val="6AC41FD2"/>
    <w:rsid w:val="6F775864"/>
    <w:rsid w:val="75F60F13"/>
    <w:rsid w:val="78250553"/>
    <w:rsid w:val="7D7B29C4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1"/>
    <w:rPr>
      <w:rFonts w:ascii="仿宋" w:hAnsi="仿宋" w:eastAsia="仿宋" w:cs="仿宋"/>
      <w:sz w:val="28"/>
      <w:szCs w:val="28"/>
      <w:lang w:val="zh-CN" w:bidi="zh-CN"/>
    </w:rPr>
  </w:style>
  <w:style w:type="paragraph" w:styleId="4">
    <w:name w:val="Body Text First Indent"/>
    <w:basedOn w:val="3"/>
    <w:next w:val="5"/>
    <w:qFormat/>
    <w:uiPriority w:val="0"/>
    <w:pPr>
      <w:adjustRightInd/>
      <w:spacing w:after="120"/>
      <w:ind w:firstLine="420" w:firstLineChars="100"/>
      <w:jc w:val="both"/>
    </w:pPr>
    <w:rPr>
      <w:rFonts w:ascii="Tahoma"/>
      <w:sz w:val="21"/>
      <w:szCs w:val="24"/>
    </w:rPr>
  </w:style>
  <w:style w:type="paragraph" w:customStyle="1" w:styleId="5">
    <w:name w:val="样式 正文首行缩进 + 首行缩进:  1 字符"/>
    <w:basedOn w:val="1"/>
    <w:next w:val="1"/>
    <w:autoRedefine/>
    <w:qFormat/>
    <w:uiPriority w:val="0"/>
    <w:pPr>
      <w:spacing w:line="360" w:lineRule="auto"/>
      <w:ind w:firstLine="200" w:firstLineChars="200"/>
    </w:pPr>
    <w:rPr>
      <w:rFonts w:cs="宋体"/>
      <w:sz w:val="24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customStyle="1" w:styleId="12">
    <w:name w:val="正文1"/>
    <w:autoRedefine/>
    <w:qFormat/>
    <w:uiPriority w:val="0"/>
    <w:pPr>
      <w:jc w:val="both"/>
    </w:pPr>
    <w:rPr>
      <w:rFonts w:ascii="永中宋体" w:hAnsi="永中宋体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2729</Words>
  <Characters>2899</Characters>
  <Lines>0</Lines>
  <Paragraphs>0</Paragraphs>
  <TotalTime>1466</TotalTime>
  <ScaleCrop>false</ScaleCrop>
  <LinksUpToDate>false</LinksUpToDate>
  <CharactersWithSpaces>2926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2025-04-24T01:59:00Z</dcterms:created>
  <dc:creator>微信用户</dc:creator>
  <cp:lastModifiedBy>Administrator</cp:lastModifiedBy>
  <cp:lastPrinted>2025-05-08T07:26:00Z</cp:lastPrinted>
  <dcterms:modified xsi:type="dcterms:W3CDTF">2025-05-19T03:08:26Z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06F9663C035C487B9A573C87315B6123_13</vt:lpwstr>
  </property>
  <property fmtid="{D5CDD505-2E9C-101B-9397-08002B2CF9AE}" pid="4" name="KSOTemplateDocerSaveRecord">
    <vt:lpwstr>eyJoZGlkIjoiZTczYmRhYjliODZlNGMyZGFiNTk3NzY2OTE2NTA3ZmYifQ==</vt:lpwstr>
  </property>
</Properties>
</file>