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A8683">
      <w:pPr>
        <w:keepNext w:val="0"/>
        <w:keepLines w:val="0"/>
        <w:pageBreakBefore w:val="0"/>
        <w:kinsoku/>
        <w:wordWrap/>
        <w:overflowPunct/>
        <w:topLinePunct w:val="0"/>
        <w:autoSpaceDE/>
        <w:autoSpaceDN/>
        <w:bidi w:val="0"/>
        <w:spacing w:line="579" w:lineRule="exact"/>
        <w:jc w:val="center"/>
        <w:textAlignment w:val="auto"/>
        <w:rPr>
          <w:rStyle w:val="12"/>
          <w:rFonts w:hint="eastAsia" w:ascii="新宋体" w:hAnsi="新宋体" w:eastAsia="新宋体" w:cs="新宋体"/>
          <w:b/>
          <w:bCs/>
          <w:spacing w:val="0"/>
          <w:kern w:val="0"/>
          <w:sz w:val="44"/>
          <w:szCs w:val="44"/>
          <w:lang w:val="en-US" w:eastAsia="zh-CN"/>
        </w:rPr>
      </w:pPr>
      <w:r>
        <w:rPr>
          <w:rStyle w:val="12"/>
          <w:rFonts w:hint="eastAsia" w:ascii="新宋体" w:hAnsi="新宋体" w:eastAsia="新宋体" w:cs="新宋体"/>
          <w:b/>
          <w:bCs/>
          <w:spacing w:val="0"/>
          <w:kern w:val="0"/>
          <w:sz w:val="44"/>
          <w:szCs w:val="44"/>
          <w:lang w:val="en-US" w:eastAsia="zh-CN"/>
        </w:rPr>
        <w:t>金薮乡2024年财政预算执行情况和2025年财政预算的报告</w:t>
      </w:r>
    </w:p>
    <w:p w14:paraId="575FE61F">
      <w:pPr>
        <w:keepNext w:val="0"/>
        <w:keepLines w:val="0"/>
        <w:pageBreakBefore w:val="0"/>
        <w:shd w:val="clear"/>
        <w:kinsoku/>
        <w:wordWrap/>
        <w:overflowPunct/>
        <w:topLinePunct w:val="0"/>
        <w:autoSpaceDE/>
        <w:bidi w:val="0"/>
        <w:adjustRightInd/>
        <w:snapToGrid/>
        <w:spacing w:line="560" w:lineRule="exact"/>
        <w:ind w:firstLine="643" w:firstLineChars="200"/>
        <w:jc w:val="center"/>
        <w:textAlignment w:val="auto"/>
        <w:rPr>
          <w:rFonts w:hint="eastAsia" w:ascii="楷体" w:hAnsi="楷体" w:eastAsia="楷体" w:cs="楷体"/>
          <w:sz w:val="32"/>
          <w:szCs w:val="32"/>
        </w:rPr>
      </w:pPr>
      <w:r>
        <w:rPr>
          <w:rFonts w:hint="eastAsia" w:ascii="楷体" w:hAnsi="楷体" w:eastAsia="楷体" w:cs="楷体"/>
          <w:b/>
          <w:bCs w:val="0"/>
          <w:sz w:val="32"/>
          <w:szCs w:val="32"/>
          <w:lang w:val="zh-CN"/>
        </w:rPr>
        <w:t>——</w:t>
      </w:r>
      <w:r>
        <w:rPr>
          <w:rFonts w:hint="eastAsia" w:ascii="楷体" w:hAnsi="楷体" w:eastAsia="楷体" w:cs="楷体"/>
          <w:b/>
          <w:bCs w:val="0"/>
          <w:sz w:val="32"/>
          <w:szCs w:val="32"/>
        </w:rPr>
        <w:t>在金薮乡第七届人民代表大会第</w:t>
      </w:r>
      <w:r>
        <w:rPr>
          <w:rFonts w:hint="eastAsia" w:ascii="楷体" w:hAnsi="楷体" w:eastAsia="楷体" w:cs="楷体"/>
          <w:b/>
          <w:bCs w:val="0"/>
          <w:sz w:val="32"/>
          <w:szCs w:val="32"/>
          <w:lang w:val="en-US" w:eastAsia="zh-CN"/>
        </w:rPr>
        <w:t>八</w:t>
      </w:r>
      <w:r>
        <w:rPr>
          <w:rFonts w:hint="eastAsia" w:ascii="楷体" w:hAnsi="楷体" w:eastAsia="楷体" w:cs="楷体"/>
          <w:b/>
          <w:bCs w:val="0"/>
          <w:sz w:val="32"/>
          <w:szCs w:val="32"/>
        </w:rPr>
        <w:t>次会议上</w:t>
      </w:r>
    </w:p>
    <w:p w14:paraId="3321A6A2">
      <w:pPr>
        <w:keepNext w:val="0"/>
        <w:keepLines w:val="0"/>
        <w:pageBreakBefore w:val="0"/>
        <w:shd w:val="clear"/>
        <w:kinsoku/>
        <w:wordWrap/>
        <w:overflowPunct/>
        <w:topLinePunct w:val="0"/>
        <w:autoSpaceDE/>
        <w:bidi w:val="0"/>
        <w:adjustRightInd/>
        <w:snapToGrid/>
        <w:spacing w:line="560" w:lineRule="exact"/>
        <w:ind w:firstLine="643" w:firstLineChars="200"/>
        <w:jc w:val="center"/>
        <w:textAlignment w:val="auto"/>
        <w:rPr>
          <w:rFonts w:hint="eastAsia" w:ascii="楷体" w:hAnsi="楷体" w:eastAsia="楷体" w:cs="楷体"/>
          <w:b/>
          <w:bCs w:val="0"/>
          <w:sz w:val="32"/>
          <w:szCs w:val="32"/>
          <w:lang w:val="en-US" w:eastAsia="zh-CN"/>
        </w:rPr>
      </w:pPr>
      <w:r>
        <w:rPr>
          <w:rFonts w:hint="eastAsia" w:ascii="楷体" w:hAnsi="楷体" w:eastAsia="楷体" w:cs="楷体"/>
          <w:b/>
          <w:bCs w:val="0"/>
          <w:sz w:val="32"/>
          <w:szCs w:val="32"/>
          <w:lang w:val="en-US" w:eastAsia="zh-CN"/>
        </w:rPr>
        <w:t>（审议稿）</w:t>
      </w:r>
    </w:p>
    <w:p w14:paraId="084083D5">
      <w:pPr>
        <w:keepNext w:val="0"/>
        <w:keepLines w:val="0"/>
        <w:pageBreakBefore w:val="0"/>
        <w:shd w:val="clear"/>
        <w:kinsoku/>
        <w:wordWrap/>
        <w:overflowPunct/>
        <w:topLinePunct w:val="0"/>
        <w:autoSpaceDE/>
        <w:bidi w:val="0"/>
        <w:adjustRightInd/>
        <w:snapToGrid/>
        <w:spacing w:line="560" w:lineRule="exact"/>
        <w:ind w:firstLine="643" w:firstLineChars="20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eastAsia="zh-CN"/>
        </w:rPr>
        <w:t>金薮乡</w:t>
      </w:r>
      <w:r>
        <w:rPr>
          <w:rFonts w:hint="eastAsia" w:ascii="楷体" w:hAnsi="楷体" w:eastAsia="楷体" w:cs="楷体"/>
          <w:b/>
          <w:bCs/>
          <w:sz w:val="32"/>
          <w:szCs w:val="32"/>
        </w:rPr>
        <w:t>财政</w:t>
      </w:r>
      <w:r>
        <w:rPr>
          <w:rFonts w:hint="eastAsia" w:ascii="楷体" w:hAnsi="楷体" w:eastAsia="楷体" w:cs="楷体"/>
          <w:b/>
          <w:bCs/>
          <w:sz w:val="32"/>
          <w:szCs w:val="32"/>
          <w:lang w:val="en-US" w:eastAsia="zh-CN"/>
        </w:rPr>
        <w:t>办主任</w:t>
      </w:r>
      <w:r>
        <w:rPr>
          <w:rFonts w:hint="eastAsia" w:ascii="楷体" w:hAnsi="楷体" w:eastAsia="楷体" w:cs="楷体"/>
          <w:b/>
          <w:bCs/>
          <w:sz w:val="32"/>
          <w:szCs w:val="32"/>
        </w:rPr>
        <w:t xml:space="preserve">   </w:t>
      </w:r>
      <w:r>
        <w:rPr>
          <w:rFonts w:hint="eastAsia" w:ascii="楷体" w:hAnsi="楷体" w:eastAsia="楷体" w:cs="楷体"/>
          <w:b/>
          <w:bCs/>
          <w:sz w:val="32"/>
          <w:szCs w:val="32"/>
          <w:lang w:val="en-US" w:eastAsia="zh-CN"/>
        </w:rPr>
        <w:t>许  晓</w:t>
      </w:r>
    </w:p>
    <w:p w14:paraId="31F7F8FF">
      <w:pPr>
        <w:keepNext w:val="0"/>
        <w:keepLines w:val="0"/>
        <w:pageBreakBefore w:val="0"/>
        <w:shd w:val="clear"/>
        <w:kinsoku/>
        <w:wordWrap/>
        <w:overflowPunct/>
        <w:topLinePunct w:val="0"/>
        <w:autoSpaceDE/>
        <w:bidi w:val="0"/>
        <w:adjustRightInd/>
        <w:snapToGrid/>
        <w:spacing w:line="560" w:lineRule="exact"/>
        <w:ind w:firstLine="640" w:firstLineChars="200"/>
        <w:jc w:val="center"/>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val="en-US" w:eastAsia="zh-CN"/>
        </w:rPr>
        <w:t>2025年4月29日</w:t>
      </w:r>
    </w:p>
    <w:p w14:paraId="364ABB14">
      <w:pPr>
        <w:keepNext w:val="0"/>
        <w:keepLines w:val="0"/>
        <w:pageBreakBefore w:val="0"/>
        <w:widowControl/>
        <w:pBdr>
          <w:top w:val="none" w:color="000000" w:sz="0" w:space="0"/>
          <w:left w:val="none" w:color="000000" w:sz="0" w:space="0"/>
          <w:bottom w:val="none" w:color="000000" w:sz="0" w:space="0"/>
          <w:right w:val="none" w:color="000000" w:sz="0" w:space="0"/>
        </w:pBdr>
        <w:shd w:val="clear"/>
        <w:kinsoku/>
        <w:wordWrap/>
        <w:overflowPunct/>
        <w:topLinePunct w:val="0"/>
        <w:autoSpaceDE/>
        <w:autoSpaceDN w:val="0"/>
        <w:bidi w:val="0"/>
        <w:adjustRightInd/>
        <w:snapToGrid/>
        <w:spacing w:line="480" w:lineRule="exact"/>
        <w:ind w:firstLine="883" w:firstLineChars="200"/>
        <w:jc w:val="center"/>
        <w:textAlignment w:val="auto"/>
        <w:rPr>
          <w:rFonts w:hint="eastAsia" w:ascii="宋体" w:hAnsi="宋体"/>
          <w:sz w:val="30"/>
          <w:szCs w:val="30"/>
        </w:rPr>
      </w:pPr>
      <w:r>
        <w:rPr>
          <w:rFonts w:ascii="Cambria" w:hAnsi="Cambria" w:eastAsia="仿宋_GB2312"/>
          <w:b/>
          <w:sz w:val="44"/>
          <w:szCs w:val="44"/>
        </w:rPr>
        <w:t xml:space="preserve">                                                                                                                                                                                                                                                                                                                                                                                                                                                                                                                                                                                                                                                                                                                                                                                                                                                                                                                                                                                                                                                                                                                                                                                                                                                                                                                                                                                                                                                                      </w:t>
      </w:r>
    </w:p>
    <w:p w14:paraId="101A1A30">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各位代表：</w:t>
      </w:r>
    </w:p>
    <w:p w14:paraId="4E016AA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b/>
          <w:sz w:val="32"/>
          <w:szCs w:val="32"/>
        </w:rPr>
      </w:pPr>
      <w:r>
        <w:rPr>
          <w:rFonts w:hint="eastAsia" w:ascii="仿宋" w:hAnsi="仿宋" w:eastAsia="仿宋" w:cs="仿宋"/>
          <w:color w:val="auto"/>
          <w:kern w:val="0"/>
          <w:sz w:val="32"/>
          <w:szCs w:val="32"/>
        </w:rPr>
        <w:t>我受</w:t>
      </w:r>
      <w:r>
        <w:rPr>
          <w:rFonts w:hint="eastAsia" w:ascii="仿宋" w:hAnsi="仿宋" w:eastAsia="仿宋" w:cs="仿宋"/>
          <w:color w:val="auto"/>
          <w:kern w:val="0"/>
          <w:sz w:val="32"/>
          <w:szCs w:val="32"/>
          <w:lang w:val="en-US" w:eastAsia="zh-CN"/>
        </w:rPr>
        <w:t>金薮</w:t>
      </w:r>
      <w:r>
        <w:rPr>
          <w:rFonts w:hint="eastAsia" w:ascii="仿宋" w:hAnsi="仿宋" w:eastAsia="仿宋" w:cs="仿宋"/>
          <w:color w:val="auto"/>
          <w:kern w:val="0"/>
          <w:sz w:val="32"/>
          <w:szCs w:val="32"/>
        </w:rPr>
        <w:t>乡人民政府委托，向大会作20</w:t>
      </w:r>
      <w:r>
        <w:rPr>
          <w:rFonts w:hint="eastAsia" w:ascii="仿宋" w:hAnsi="仿宋" w:eastAsia="仿宋" w:cs="仿宋"/>
          <w:color w:val="auto"/>
          <w:kern w:val="0"/>
          <w:sz w:val="32"/>
          <w:szCs w:val="32"/>
          <w:lang w:val="en-US" w:eastAsia="zh-CN"/>
        </w:rPr>
        <w:t>24</w:t>
      </w:r>
      <w:r>
        <w:rPr>
          <w:rFonts w:hint="eastAsia" w:ascii="仿宋" w:hAnsi="仿宋" w:eastAsia="仿宋" w:cs="仿宋"/>
          <w:color w:val="auto"/>
          <w:kern w:val="0"/>
          <w:sz w:val="32"/>
          <w:szCs w:val="32"/>
        </w:rPr>
        <w:t>年财政预算执行情况</w:t>
      </w:r>
      <w:r>
        <w:rPr>
          <w:rFonts w:hint="eastAsia" w:ascii="仿宋" w:hAnsi="仿宋" w:eastAsia="仿宋" w:cs="仿宋"/>
          <w:color w:val="auto"/>
          <w:kern w:val="0"/>
          <w:sz w:val="32"/>
          <w:szCs w:val="32"/>
          <w:lang w:val="en-US" w:eastAsia="zh-CN"/>
        </w:rPr>
        <w:t>和2025年财政预算（审议稿）</w:t>
      </w:r>
      <w:r>
        <w:rPr>
          <w:rFonts w:hint="eastAsia" w:ascii="仿宋" w:hAnsi="仿宋" w:eastAsia="仿宋" w:cs="仿宋"/>
          <w:color w:val="auto"/>
          <w:kern w:val="0"/>
          <w:sz w:val="32"/>
          <w:szCs w:val="32"/>
        </w:rPr>
        <w:t>的报告，请与审议，并请列席人员提出意见。</w:t>
      </w:r>
      <w:r>
        <w:rPr>
          <w:rFonts w:hint="eastAsia" w:ascii="仿宋" w:hAnsi="仿宋" w:eastAsia="仿宋" w:cs="仿宋"/>
          <w:b/>
          <w:sz w:val="32"/>
          <w:szCs w:val="32"/>
        </w:rPr>
        <w:t xml:space="preserve">  </w:t>
      </w:r>
    </w:p>
    <w:p w14:paraId="73EDC18F">
      <w:pPr>
        <w:keepNext w:val="0"/>
        <w:keepLines w:val="0"/>
        <w:pageBreakBefore w:val="0"/>
        <w:kinsoku/>
        <w:wordWrap/>
        <w:overflowPunct/>
        <w:topLinePunct w:val="0"/>
        <w:autoSpaceDE/>
        <w:bidi w:val="0"/>
        <w:adjustRightInd/>
        <w:snapToGrid/>
        <w:spacing w:line="560" w:lineRule="exact"/>
        <w:ind w:firstLine="643" w:firstLineChars="200"/>
        <w:jc w:val="center"/>
        <w:textAlignment w:val="auto"/>
        <w:rPr>
          <w:rFonts w:hint="eastAsia" w:ascii="黑体" w:hAnsi="黑体" w:eastAsia="黑体" w:cs="黑体"/>
          <w:b/>
          <w:bCs/>
          <w:color w:val="auto"/>
          <w:kern w:val="0"/>
          <w:sz w:val="32"/>
          <w:szCs w:val="32"/>
        </w:rPr>
      </w:pPr>
      <w:r>
        <w:rPr>
          <w:rFonts w:hint="eastAsia" w:ascii="黑体" w:hAnsi="黑体" w:eastAsia="黑体" w:cs="黑体"/>
          <w:b/>
          <w:sz w:val="32"/>
          <w:szCs w:val="32"/>
        </w:rPr>
        <w:t>20</w:t>
      </w:r>
      <w:r>
        <w:rPr>
          <w:rFonts w:hint="eastAsia" w:ascii="黑体" w:hAnsi="黑体" w:eastAsia="黑体" w:cs="黑体"/>
          <w:b/>
          <w:sz w:val="32"/>
          <w:szCs w:val="32"/>
          <w:lang w:val="en-US" w:eastAsia="zh-CN"/>
        </w:rPr>
        <w:t>24</w:t>
      </w:r>
      <w:r>
        <w:rPr>
          <w:rFonts w:hint="eastAsia" w:ascii="黑体" w:hAnsi="黑体" w:eastAsia="黑体" w:cs="黑体"/>
          <w:b/>
          <w:sz w:val="32"/>
          <w:szCs w:val="32"/>
        </w:rPr>
        <w:t>年财政预算执行情况</w:t>
      </w:r>
    </w:p>
    <w:p w14:paraId="190B6810">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财政收入预算完成情况</w:t>
      </w:r>
    </w:p>
    <w:p w14:paraId="41B2D83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（一）公共财政预算执行情况</w:t>
      </w:r>
    </w:p>
    <w:p w14:paraId="047A2ABE">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val="en-US" w:eastAsia="zh-CN"/>
        </w:rPr>
        <w:t>第一.</w:t>
      </w:r>
      <w:r>
        <w:rPr>
          <w:rFonts w:hint="eastAsia" w:ascii="仿宋" w:hAnsi="仿宋" w:eastAsia="仿宋" w:cs="仿宋"/>
          <w:b/>
          <w:bCs/>
          <w:color w:val="auto"/>
          <w:kern w:val="0"/>
          <w:sz w:val="32"/>
          <w:szCs w:val="32"/>
          <w:lang w:eastAsia="zh-CN"/>
        </w:rPr>
        <w:t>2024</w:t>
      </w:r>
      <w:r>
        <w:rPr>
          <w:rFonts w:hint="eastAsia" w:ascii="仿宋" w:hAnsi="仿宋" w:eastAsia="仿宋" w:cs="仿宋"/>
          <w:b/>
          <w:bCs/>
          <w:color w:val="auto"/>
          <w:kern w:val="0"/>
          <w:sz w:val="32"/>
          <w:szCs w:val="32"/>
        </w:rPr>
        <w:t>年全乡完成财政总收入</w:t>
      </w:r>
      <w:r>
        <w:rPr>
          <w:rFonts w:hint="eastAsia" w:ascii="仿宋" w:hAnsi="仿宋" w:eastAsia="仿宋" w:cs="仿宋"/>
          <w:b/>
          <w:bCs/>
          <w:color w:val="auto"/>
          <w:kern w:val="0"/>
          <w:sz w:val="32"/>
          <w:szCs w:val="32"/>
          <w:lang w:val="en-US" w:eastAsia="zh-CN"/>
        </w:rPr>
        <w:t>2957.79</w:t>
      </w:r>
      <w:r>
        <w:rPr>
          <w:rFonts w:hint="eastAsia" w:ascii="仿宋" w:hAnsi="仿宋" w:eastAsia="仿宋" w:cs="仿宋"/>
          <w:b/>
          <w:bCs/>
          <w:color w:val="auto"/>
          <w:kern w:val="0"/>
          <w:sz w:val="32"/>
          <w:szCs w:val="32"/>
        </w:rPr>
        <w:t>万元，为年度预算</w:t>
      </w:r>
      <w:r>
        <w:rPr>
          <w:rFonts w:hint="eastAsia" w:ascii="仿宋" w:hAnsi="仿宋" w:eastAsia="仿宋" w:cs="仿宋"/>
          <w:b/>
          <w:bCs/>
          <w:color w:val="auto"/>
          <w:kern w:val="0"/>
          <w:sz w:val="32"/>
          <w:szCs w:val="32"/>
          <w:lang w:val="en-US" w:eastAsia="zh-CN"/>
        </w:rPr>
        <w:t>3000</w:t>
      </w:r>
      <w:r>
        <w:rPr>
          <w:rFonts w:hint="eastAsia" w:ascii="仿宋" w:hAnsi="仿宋" w:eastAsia="仿宋" w:cs="仿宋"/>
          <w:b/>
          <w:bCs/>
          <w:color w:val="auto"/>
          <w:kern w:val="0"/>
          <w:sz w:val="32"/>
          <w:szCs w:val="32"/>
        </w:rPr>
        <w:t>万元的</w:t>
      </w:r>
      <w:r>
        <w:rPr>
          <w:rFonts w:hint="eastAsia" w:ascii="仿宋" w:hAnsi="仿宋" w:eastAsia="仿宋" w:cs="仿宋"/>
          <w:b/>
          <w:bCs/>
          <w:color w:val="auto"/>
          <w:kern w:val="0"/>
          <w:sz w:val="32"/>
          <w:szCs w:val="32"/>
          <w:lang w:val="en-US" w:eastAsia="zh-CN"/>
        </w:rPr>
        <w:t>98.59</w:t>
      </w:r>
      <w:r>
        <w:rPr>
          <w:rFonts w:hint="eastAsia" w:ascii="仿宋" w:hAnsi="仿宋" w:eastAsia="仿宋" w:cs="仿宋"/>
          <w:b/>
          <w:bCs/>
          <w:color w:val="auto"/>
          <w:kern w:val="0"/>
          <w:sz w:val="32"/>
          <w:szCs w:val="32"/>
        </w:rPr>
        <w:t>%，其中：</w:t>
      </w:r>
    </w:p>
    <w:p w14:paraId="1ECFC44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（一）</w:t>
      </w:r>
      <w:r>
        <w:rPr>
          <w:rFonts w:hint="eastAsia" w:ascii="仿宋" w:hAnsi="仿宋" w:eastAsia="仿宋" w:cs="仿宋"/>
          <w:color w:val="auto"/>
          <w:kern w:val="0"/>
          <w:sz w:val="32"/>
          <w:szCs w:val="32"/>
        </w:rPr>
        <w:t>一般公共预算收入完成</w:t>
      </w:r>
      <w:r>
        <w:rPr>
          <w:rFonts w:hint="eastAsia" w:ascii="仿宋" w:hAnsi="仿宋" w:eastAsia="仿宋" w:cs="仿宋"/>
          <w:color w:val="auto"/>
          <w:kern w:val="0"/>
          <w:sz w:val="32"/>
          <w:szCs w:val="32"/>
          <w:lang w:val="en-US" w:eastAsia="zh-CN"/>
        </w:rPr>
        <w:t>2321.13</w:t>
      </w:r>
      <w:r>
        <w:rPr>
          <w:rFonts w:hint="eastAsia" w:ascii="仿宋" w:hAnsi="仿宋" w:eastAsia="仿宋" w:cs="仿宋"/>
          <w:color w:val="auto"/>
          <w:kern w:val="0"/>
          <w:sz w:val="32"/>
          <w:szCs w:val="32"/>
        </w:rPr>
        <w:t xml:space="preserve">万元，为年度预算 </w:t>
      </w:r>
      <w:r>
        <w:rPr>
          <w:rFonts w:hint="eastAsia" w:ascii="仿宋" w:hAnsi="仿宋" w:eastAsia="仿宋" w:cs="仿宋"/>
          <w:color w:val="auto"/>
          <w:kern w:val="0"/>
          <w:sz w:val="32"/>
          <w:szCs w:val="32"/>
          <w:lang w:val="en-US" w:eastAsia="zh-CN"/>
        </w:rPr>
        <w:t>2300</w:t>
      </w:r>
      <w:r>
        <w:rPr>
          <w:rFonts w:hint="eastAsia" w:ascii="仿宋" w:hAnsi="仿宋" w:eastAsia="仿宋" w:cs="仿宋"/>
          <w:color w:val="auto"/>
          <w:kern w:val="0"/>
          <w:sz w:val="32"/>
          <w:szCs w:val="32"/>
        </w:rPr>
        <w:t>万元的</w:t>
      </w:r>
      <w:r>
        <w:rPr>
          <w:rFonts w:hint="eastAsia" w:ascii="仿宋" w:hAnsi="仿宋" w:eastAsia="仿宋" w:cs="仿宋"/>
          <w:color w:val="auto"/>
          <w:kern w:val="0"/>
          <w:sz w:val="32"/>
          <w:szCs w:val="32"/>
          <w:lang w:val="en-US" w:eastAsia="zh-CN"/>
        </w:rPr>
        <w:t>100.92</w:t>
      </w:r>
      <w:r>
        <w:rPr>
          <w:rFonts w:hint="eastAsia" w:ascii="仿宋" w:hAnsi="仿宋" w:eastAsia="仿宋" w:cs="仿宋"/>
          <w:color w:val="auto"/>
          <w:kern w:val="0"/>
          <w:sz w:val="32"/>
          <w:szCs w:val="32"/>
        </w:rPr>
        <w:t>%；</w:t>
      </w:r>
    </w:p>
    <w:p w14:paraId="3286488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二</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代管资金专项收入完成</w:t>
      </w:r>
      <w:r>
        <w:rPr>
          <w:rFonts w:hint="eastAsia" w:ascii="仿宋" w:hAnsi="仿宋" w:eastAsia="仿宋" w:cs="仿宋"/>
          <w:color w:val="auto"/>
          <w:kern w:val="0"/>
          <w:sz w:val="32"/>
          <w:szCs w:val="32"/>
          <w:lang w:val="en-US" w:eastAsia="zh-CN"/>
        </w:rPr>
        <w:t>629.66</w:t>
      </w:r>
      <w:r>
        <w:rPr>
          <w:rFonts w:hint="eastAsia" w:ascii="仿宋" w:hAnsi="仿宋" w:eastAsia="仿宋" w:cs="仿宋"/>
          <w:color w:val="auto"/>
          <w:kern w:val="0"/>
          <w:sz w:val="32"/>
          <w:szCs w:val="32"/>
        </w:rPr>
        <w:t xml:space="preserve">万元, </w:t>
      </w:r>
      <w:r>
        <w:rPr>
          <w:rFonts w:hint="eastAsia" w:ascii="仿宋" w:hAnsi="仿宋" w:eastAsia="仿宋" w:cs="仿宋"/>
          <w:color w:val="auto"/>
          <w:kern w:val="0"/>
          <w:sz w:val="32"/>
          <w:szCs w:val="32"/>
          <w:lang w:val="en-US" w:eastAsia="zh-CN"/>
        </w:rPr>
        <w:t>为</w:t>
      </w:r>
      <w:r>
        <w:rPr>
          <w:rFonts w:hint="eastAsia" w:ascii="仿宋" w:hAnsi="仿宋" w:eastAsia="仿宋" w:cs="仿宋"/>
          <w:color w:val="auto"/>
          <w:kern w:val="0"/>
          <w:sz w:val="32"/>
          <w:szCs w:val="32"/>
        </w:rPr>
        <w:t>年度预算</w:t>
      </w:r>
      <w:r>
        <w:rPr>
          <w:rFonts w:hint="eastAsia" w:ascii="仿宋" w:hAnsi="仿宋" w:eastAsia="仿宋" w:cs="仿宋"/>
          <w:color w:val="auto"/>
          <w:kern w:val="0"/>
          <w:sz w:val="32"/>
          <w:szCs w:val="32"/>
          <w:lang w:val="en-US" w:eastAsia="zh-CN"/>
        </w:rPr>
        <w:t>700</w:t>
      </w:r>
      <w:r>
        <w:rPr>
          <w:rFonts w:hint="eastAsia" w:ascii="仿宋" w:hAnsi="仿宋" w:eastAsia="仿宋" w:cs="仿宋"/>
          <w:color w:val="auto"/>
          <w:kern w:val="0"/>
          <w:sz w:val="32"/>
          <w:szCs w:val="32"/>
        </w:rPr>
        <w:t>万元的</w:t>
      </w:r>
      <w:r>
        <w:rPr>
          <w:rFonts w:hint="eastAsia" w:ascii="仿宋" w:hAnsi="仿宋" w:eastAsia="仿宋" w:cs="仿宋"/>
          <w:color w:val="auto"/>
          <w:kern w:val="0"/>
          <w:sz w:val="32"/>
          <w:szCs w:val="32"/>
          <w:lang w:val="en-US" w:eastAsia="zh-CN"/>
        </w:rPr>
        <w:t xml:space="preserve">89.95 </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w:t>
      </w:r>
    </w:p>
    <w:p w14:paraId="2260A640">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（三）政府性基金预算收入完成7</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18AC8BEF">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第二.2024年全乡全口径</w:t>
      </w:r>
      <w:r>
        <w:rPr>
          <w:rFonts w:hint="eastAsia" w:ascii="仿宋" w:hAnsi="仿宋" w:eastAsia="仿宋" w:cs="仿宋"/>
          <w:b/>
          <w:bCs/>
          <w:color w:val="auto"/>
          <w:kern w:val="0"/>
          <w:sz w:val="32"/>
          <w:szCs w:val="32"/>
        </w:rPr>
        <w:t>税收</w:t>
      </w:r>
      <w:r>
        <w:rPr>
          <w:rFonts w:hint="eastAsia" w:ascii="仿宋" w:hAnsi="仿宋" w:eastAsia="仿宋" w:cs="仿宋"/>
          <w:b/>
          <w:bCs/>
          <w:color w:val="auto"/>
          <w:kern w:val="0"/>
          <w:sz w:val="32"/>
          <w:szCs w:val="32"/>
          <w:lang w:val="en-US" w:eastAsia="zh-CN"/>
        </w:rPr>
        <w:t>总量</w:t>
      </w:r>
      <w:r>
        <w:rPr>
          <w:rFonts w:hint="eastAsia" w:ascii="仿宋" w:hAnsi="仿宋" w:eastAsia="仿宋" w:cs="仿宋"/>
          <w:b/>
          <w:bCs/>
          <w:color w:val="auto"/>
          <w:kern w:val="0"/>
          <w:sz w:val="32"/>
          <w:szCs w:val="32"/>
          <w:lang w:eastAsia="zh-CN"/>
        </w:rPr>
        <w:t>完成</w:t>
      </w:r>
      <w:r>
        <w:rPr>
          <w:rFonts w:hint="eastAsia" w:ascii="仿宋" w:hAnsi="仿宋" w:eastAsia="仿宋" w:cs="仿宋"/>
          <w:b/>
          <w:bCs/>
          <w:color w:val="auto"/>
          <w:kern w:val="0"/>
          <w:sz w:val="32"/>
          <w:szCs w:val="32"/>
          <w:lang w:val="en-US" w:eastAsia="zh-CN"/>
        </w:rPr>
        <w:t>717.98</w:t>
      </w:r>
      <w:r>
        <w:rPr>
          <w:rFonts w:hint="eastAsia" w:ascii="仿宋" w:hAnsi="仿宋" w:eastAsia="仿宋" w:cs="仿宋"/>
          <w:b/>
          <w:bCs/>
          <w:color w:val="auto"/>
          <w:kern w:val="0"/>
          <w:sz w:val="32"/>
          <w:szCs w:val="32"/>
          <w:lang w:eastAsia="zh-CN"/>
        </w:rPr>
        <w:t>万元，</w:t>
      </w:r>
      <w:r>
        <w:rPr>
          <w:rFonts w:hint="eastAsia" w:ascii="仿宋" w:hAnsi="仿宋" w:eastAsia="仿宋" w:cs="仿宋"/>
          <w:b/>
          <w:bCs/>
          <w:color w:val="auto"/>
          <w:kern w:val="0"/>
          <w:sz w:val="32"/>
          <w:szCs w:val="32"/>
          <w:lang w:val="en-US" w:eastAsia="zh-CN"/>
        </w:rPr>
        <w:t>其中目录税收467.98万元，总部经济税收250万元。年初地方收入预期目标240万元，截至12月底，地方总收入260.64万元，完成预期目标的108.6</w:t>
      </w:r>
      <w:r>
        <w:rPr>
          <w:rFonts w:hint="eastAsia" w:ascii="仿宋" w:hAnsi="仿宋" w:eastAsia="仿宋" w:cs="仿宋"/>
          <w:b/>
          <w:bCs/>
          <w:color w:val="auto"/>
          <w:kern w:val="0"/>
          <w:sz w:val="32"/>
          <w:szCs w:val="32"/>
        </w:rPr>
        <w:t>%</w:t>
      </w:r>
      <w:r>
        <w:rPr>
          <w:rFonts w:hint="eastAsia" w:ascii="仿宋" w:hAnsi="仿宋" w:eastAsia="仿宋" w:cs="仿宋"/>
          <w:b/>
          <w:bCs/>
          <w:color w:val="auto"/>
          <w:kern w:val="0"/>
          <w:sz w:val="32"/>
          <w:szCs w:val="32"/>
          <w:lang w:eastAsia="zh-CN"/>
        </w:rPr>
        <w:t>。</w:t>
      </w:r>
    </w:p>
    <w:p w14:paraId="180BCF9C">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 xml:space="preserve"> </w:t>
      </w:r>
      <w:r>
        <w:rPr>
          <w:rFonts w:hint="eastAsia" w:ascii="楷体" w:hAnsi="楷体" w:eastAsia="楷体" w:cs="楷体"/>
          <w:b/>
          <w:bCs/>
          <w:sz w:val="32"/>
          <w:szCs w:val="32"/>
          <w:lang w:eastAsia="zh-CN"/>
        </w:rPr>
        <w:t>.</w:t>
      </w:r>
      <w:r>
        <w:rPr>
          <w:rFonts w:hint="eastAsia" w:ascii="楷体" w:hAnsi="楷体" w:eastAsia="楷体" w:cs="楷体"/>
          <w:b/>
          <w:bCs/>
          <w:sz w:val="32"/>
          <w:szCs w:val="32"/>
        </w:rPr>
        <w:t>财政支出预算执行情况</w:t>
      </w:r>
    </w:p>
    <w:p w14:paraId="08F11672">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default"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第一.</w:t>
      </w:r>
      <w:r>
        <w:rPr>
          <w:rFonts w:hint="eastAsia" w:ascii="仿宋" w:hAnsi="仿宋" w:eastAsia="仿宋" w:cs="仿宋"/>
          <w:b/>
          <w:bCs/>
          <w:color w:val="auto"/>
          <w:kern w:val="0"/>
          <w:sz w:val="32"/>
          <w:szCs w:val="32"/>
          <w:lang w:eastAsia="zh-CN"/>
        </w:rPr>
        <w:t>2024</w:t>
      </w:r>
      <w:r>
        <w:rPr>
          <w:rFonts w:hint="eastAsia" w:ascii="仿宋" w:hAnsi="仿宋" w:eastAsia="仿宋" w:cs="仿宋"/>
          <w:b/>
          <w:bCs/>
          <w:color w:val="auto"/>
          <w:kern w:val="0"/>
          <w:sz w:val="32"/>
          <w:szCs w:val="32"/>
        </w:rPr>
        <w:t>年全乡完成财政总支出</w:t>
      </w:r>
      <w:r>
        <w:rPr>
          <w:rFonts w:hint="eastAsia" w:ascii="仿宋" w:hAnsi="仿宋" w:eastAsia="仿宋" w:cs="仿宋"/>
          <w:b/>
          <w:bCs/>
          <w:color w:val="auto"/>
          <w:kern w:val="0"/>
          <w:sz w:val="32"/>
          <w:szCs w:val="32"/>
          <w:lang w:val="en-US" w:eastAsia="zh-CN"/>
        </w:rPr>
        <w:t>2957.79</w:t>
      </w:r>
      <w:r>
        <w:rPr>
          <w:rFonts w:hint="eastAsia" w:ascii="仿宋" w:hAnsi="仿宋" w:eastAsia="仿宋" w:cs="仿宋"/>
          <w:b/>
          <w:bCs/>
          <w:color w:val="auto"/>
          <w:kern w:val="0"/>
          <w:sz w:val="32"/>
          <w:szCs w:val="32"/>
        </w:rPr>
        <w:t>万元，为年度预算</w:t>
      </w:r>
      <w:r>
        <w:rPr>
          <w:rFonts w:hint="eastAsia" w:ascii="仿宋" w:hAnsi="仿宋" w:eastAsia="仿宋" w:cs="仿宋"/>
          <w:b/>
          <w:bCs/>
          <w:color w:val="auto"/>
          <w:kern w:val="0"/>
          <w:sz w:val="32"/>
          <w:szCs w:val="32"/>
          <w:lang w:val="en-US" w:eastAsia="zh-CN"/>
        </w:rPr>
        <w:t>3000</w:t>
      </w:r>
      <w:r>
        <w:rPr>
          <w:rFonts w:hint="eastAsia" w:ascii="仿宋" w:hAnsi="仿宋" w:eastAsia="仿宋" w:cs="仿宋"/>
          <w:b/>
          <w:bCs/>
          <w:color w:val="auto"/>
          <w:kern w:val="0"/>
          <w:sz w:val="32"/>
          <w:szCs w:val="32"/>
        </w:rPr>
        <w:t>万元的</w:t>
      </w:r>
      <w:r>
        <w:rPr>
          <w:rFonts w:hint="eastAsia" w:ascii="仿宋" w:hAnsi="仿宋" w:eastAsia="仿宋" w:cs="仿宋"/>
          <w:b/>
          <w:bCs/>
          <w:color w:val="auto"/>
          <w:kern w:val="0"/>
          <w:sz w:val="32"/>
          <w:szCs w:val="32"/>
          <w:lang w:val="en-US" w:eastAsia="zh-CN"/>
        </w:rPr>
        <w:t>98.59%，其中：</w:t>
      </w:r>
    </w:p>
    <w:p w14:paraId="58DD343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（一）</w:t>
      </w:r>
      <w:r>
        <w:rPr>
          <w:rFonts w:hint="eastAsia" w:ascii="仿宋" w:hAnsi="仿宋" w:eastAsia="仿宋" w:cs="仿宋"/>
          <w:color w:val="auto"/>
          <w:kern w:val="0"/>
          <w:sz w:val="32"/>
          <w:szCs w:val="32"/>
        </w:rPr>
        <w:t>一般</w:t>
      </w:r>
      <w:r>
        <w:rPr>
          <w:rFonts w:hint="eastAsia" w:ascii="仿宋" w:hAnsi="仿宋" w:eastAsia="仿宋" w:cs="仿宋"/>
          <w:color w:val="auto"/>
          <w:kern w:val="0"/>
          <w:sz w:val="32"/>
          <w:szCs w:val="32"/>
          <w:lang w:eastAsia="zh-CN"/>
        </w:rPr>
        <w:t>公共</w:t>
      </w:r>
      <w:r>
        <w:rPr>
          <w:rFonts w:hint="eastAsia" w:ascii="仿宋" w:hAnsi="仿宋" w:eastAsia="仿宋" w:cs="仿宋"/>
          <w:color w:val="auto"/>
          <w:kern w:val="0"/>
          <w:sz w:val="32"/>
          <w:szCs w:val="32"/>
        </w:rPr>
        <w:t>预算支出</w:t>
      </w:r>
      <w:r>
        <w:rPr>
          <w:rFonts w:hint="eastAsia" w:ascii="仿宋" w:hAnsi="仿宋" w:eastAsia="仿宋" w:cs="仿宋"/>
          <w:color w:val="auto"/>
          <w:kern w:val="0"/>
          <w:sz w:val="32"/>
          <w:szCs w:val="32"/>
          <w:lang w:eastAsia="zh-CN"/>
        </w:rPr>
        <w:t>完成</w:t>
      </w:r>
      <w:r>
        <w:rPr>
          <w:rFonts w:hint="eastAsia" w:ascii="仿宋" w:hAnsi="仿宋" w:eastAsia="仿宋" w:cs="仿宋"/>
          <w:color w:val="auto"/>
          <w:kern w:val="0"/>
          <w:sz w:val="32"/>
          <w:szCs w:val="32"/>
          <w:lang w:val="en-US" w:eastAsia="zh-CN"/>
        </w:rPr>
        <w:t>2321.13</w:t>
      </w:r>
      <w:r>
        <w:rPr>
          <w:rFonts w:hint="eastAsia" w:ascii="仿宋" w:hAnsi="仿宋" w:eastAsia="仿宋" w:cs="仿宋"/>
          <w:color w:val="auto"/>
          <w:kern w:val="0"/>
          <w:sz w:val="32"/>
          <w:szCs w:val="32"/>
        </w:rPr>
        <w:t>万元，为年度预算</w:t>
      </w:r>
      <w:r>
        <w:rPr>
          <w:rFonts w:hint="eastAsia" w:ascii="仿宋" w:hAnsi="仿宋" w:eastAsia="仿宋" w:cs="仿宋"/>
          <w:color w:val="auto"/>
          <w:kern w:val="0"/>
          <w:sz w:val="32"/>
          <w:szCs w:val="32"/>
          <w:lang w:val="en-US" w:eastAsia="zh-CN"/>
        </w:rPr>
        <w:t>2300</w:t>
      </w:r>
      <w:r>
        <w:rPr>
          <w:rFonts w:hint="eastAsia" w:ascii="仿宋" w:hAnsi="仿宋" w:eastAsia="仿宋" w:cs="仿宋"/>
          <w:color w:val="auto"/>
          <w:kern w:val="0"/>
          <w:sz w:val="32"/>
          <w:szCs w:val="32"/>
        </w:rPr>
        <w:t>万元的</w:t>
      </w:r>
      <w:r>
        <w:rPr>
          <w:rFonts w:hint="eastAsia" w:ascii="仿宋" w:hAnsi="仿宋" w:eastAsia="仿宋" w:cs="仿宋"/>
          <w:color w:val="auto"/>
          <w:kern w:val="0"/>
          <w:sz w:val="32"/>
          <w:szCs w:val="32"/>
          <w:lang w:val="en-US" w:eastAsia="zh-CN"/>
        </w:rPr>
        <w:t>100.92</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其中：</w:t>
      </w:r>
    </w:p>
    <w:p w14:paraId="12C806A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1.社会保障和就业支出115.37万元。其中事业单位离退休干部补贴14.66万元，机关事业单位基本养老保险缴费支出95.21万元，其他支出5.5万元。</w:t>
      </w:r>
    </w:p>
    <w:p w14:paraId="6B854BEC">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2.卫生健康支出53.04万元，其中行政事业单位医疗保险53.04万元。</w:t>
      </w:r>
    </w:p>
    <w:p w14:paraId="5245613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3.农林水事务支出2060.45万元。其中：农业农村支出1175.11万元，巩固脱贫攻坚成功乡村振兴衔接资金297.18万元，对村党支部和村民委员会的补助219.58万元，对村集体经济组织的补助368.58万元。</w:t>
      </w:r>
    </w:p>
    <w:p w14:paraId="0677FD43">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4.住房保障支出92.27万元，其中住房公积金92.27万元。</w:t>
      </w:r>
    </w:p>
    <w:p w14:paraId="6439D61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（二）政府性基金预算支出完成7</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00F48C3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（三）</w:t>
      </w:r>
      <w:r>
        <w:rPr>
          <w:rFonts w:hint="eastAsia" w:ascii="仿宋" w:hAnsi="仿宋" w:eastAsia="仿宋" w:cs="仿宋"/>
          <w:color w:val="auto"/>
          <w:kern w:val="0"/>
          <w:sz w:val="32"/>
          <w:szCs w:val="32"/>
        </w:rPr>
        <w:t xml:space="preserve">代管资金专项支出 </w:t>
      </w:r>
      <w:r>
        <w:rPr>
          <w:rFonts w:hint="eastAsia" w:ascii="仿宋" w:hAnsi="仿宋" w:eastAsia="仿宋" w:cs="仿宋"/>
          <w:color w:val="auto"/>
          <w:kern w:val="0"/>
          <w:sz w:val="32"/>
          <w:szCs w:val="32"/>
          <w:lang w:val="en-US" w:eastAsia="zh-CN"/>
        </w:rPr>
        <w:t>629.66</w:t>
      </w:r>
      <w:r>
        <w:rPr>
          <w:rFonts w:hint="eastAsia" w:ascii="仿宋" w:hAnsi="仿宋" w:eastAsia="仿宋" w:cs="仿宋"/>
          <w:color w:val="auto"/>
          <w:kern w:val="0"/>
          <w:sz w:val="32"/>
          <w:szCs w:val="32"/>
        </w:rPr>
        <w:t>万元，为年度预算</w:t>
      </w:r>
      <w:r>
        <w:rPr>
          <w:rFonts w:hint="eastAsia" w:ascii="仿宋" w:hAnsi="仿宋" w:eastAsia="仿宋" w:cs="仿宋"/>
          <w:color w:val="auto"/>
          <w:kern w:val="0"/>
          <w:sz w:val="32"/>
          <w:szCs w:val="32"/>
          <w:lang w:val="en-US" w:eastAsia="zh-CN"/>
        </w:rPr>
        <w:t>700万</w:t>
      </w:r>
      <w:r>
        <w:rPr>
          <w:rFonts w:hint="eastAsia" w:ascii="仿宋" w:hAnsi="仿宋" w:eastAsia="仿宋" w:cs="仿宋"/>
          <w:color w:val="auto"/>
          <w:kern w:val="0"/>
          <w:sz w:val="32"/>
          <w:szCs w:val="32"/>
        </w:rPr>
        <w:t>元的</w:t>
      </w:r>
      <w:r>
        <w:rPr>
          <w:rFonts w:hint="eastAsia" w:ascii="仿宋" w:hAnsi="仿宋" w:eastAsia="仿宋" w:cs="仿宋"/>
          <w:color w:val="auto"/>
          <w:kern w:val="0"/>
          <w:sz w:val="32"/>
          <w:szCs w:val="32"/>
          <w:lang w:val="en-US" w:eastAsia="zh-CN"/>
        </w:rPr>
        <w:t>89.95</w:t>
      </w:r>
      <w:r>
        <w:rPr>
          <w:rFonts w:hint="eastAsia" w:ascii="仿宋" w:hAnsi="仿宋" w:eastAsia="仿宋" w:cs="仿宋"/>
          <w:color w:val="auto"/>
          <w:kern w:val="0"/>
          <w:sz w:val="32"/>
          <w:szCs w:val="32"/>
        </w:rPr>
        <w:t>%。</w:t>
      </w:r>
    </w:p>
    <w:p w14:paraId="0EDA04F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1.一般</w:t>
      </w:r>
      <w:r>
        <w:rPr>
          <w:rFonts w:hint="eastAsia" w:ascii="仿宋" w:hAnsi="仿宋" w:eastAsia="仿宋" w:cs="仿宋"/>
          <w:color w:val="auto"/>
          <w:kern w:val="0"/>
          <w:sz w:val="32"/>
          <w:szCs w:val="32"/>
        </w:rPr>
        <w:t>公共</w:t>
      </w:r>
      <w:r>
        <w:rPr>
          <w:rFonts w:hint="eastAsia" w:ascii="仿宋" w:hAnsi="仿宋" w:eastAsia="仿宋" w:cs="仿宋"/>
          <w:color w:val="auto"/>
          <w:kern w:val="0"/>
          <w:sz w:val="32"/>
          <w:szCs w:val="32"/>
          <w:lang w:val="en-US" w:eastAsia="zh-CN"/>
        </w:rPr>
        <w:t>服务</w:t>
      </w:r>
      <w:r>
        <w:rPr>
          <w:rFonts w:hint="eastAsia" w:ascii="仿宋" w:hAnsi="仿宋" w:eastAsia="仿宋" w:cs="仿宋"/>
          <w:color w:val="auto"/>
          <w:kern w:val="0"/>
          <w:sz w:val="32"/>
          <w:szCs w:val="32"/>
        </w:rPr>
        <w:t>支出</w:t>
      </w:r>
      <w:r>
        <w:rPr>
          <w:rFonts w:hint="eastAsia" w:ascii="仿宋" w:hAnsi="仿宋" w:eastAsia="仿宋" w:cs="仿宋"/>
          <w:color w:val="auto"/>
          <w:kern w:val="0"/>
          <w:sz w:val="32"/>
          <w:szCs w:val="32"/>
          <w:lang w:val="en-US" w:eastAsia="zh-CN"/>
        </w:rPr>
        <w:t>32.96万元。</w:t>
      </w:r>
    </w:p>
    <w:p w14:paraId="71BD0AE6">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2.国防支出1.83万元。</w:t>
      </w:r>
    </w:p>
    <w:p w14:paraId="7A9C082A">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3.一般</w:t>
      </w:r>
      <w:r>
        <w:rPr>
          <w:rFonts w:hint="eastAsia" w:ascii="仿宋" w:hAnsi="仿宋" w:eastAsia="仿宋" w:cs="仿宋"/>
          <w:color w:val="auto"/>
          <w:kern w:val="0"/>
          <w:sz w:val="32"/>
          <w:szCs w:val="32"/>
        </w:rPr>
        <w:t>公共安全支出</w:t>
      </w:r>
      <w:r>
        <w:rPr>
          <w:rFonts w:hint="eastAsia" w:ascii="仿宋" w:hAnsi="仿宋" w:eastAsia="仿宋" w:cs="仿宋"/>
          <w:color w:val="auto"/>
          <w:kern w:val="0"/>
          <w:sz w:val="32"/>
          <w:szCs w:val="32"/>
          <w:lang w:val="en-US" w:eastAsia="zh-CN"/>
        </w:rPr>
        <w:t>33.78万元。</w:t>
      </w:r>
    </w:p>
    <w:p w14:paraId="1597E2A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4.教育支出3.10万元。</w:t>
      </w:r>
    </w:p>
    <w:p w14:paraId="62C3F19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文化体育与传媒支出</w:t>
      </w:r>
      <w:r>
        <w:rPr>
          <w:rFonts w:hint="eastAsia" w:ascii="仿宋" w:hAnsi="仿宋" w:eastAsia="仿宋" w:cs="仿宋"/>
          <w:color w:val="auto"/>
          <w:kern w:val="0"/>
          <w:sz w:val="32"/>
          <w:szCs w:val="32"/>
          <w:lang w:val="en-US" w:eastAsia="zh-CN"/>
        </w:rPr>
        <w:t>1.03</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29CA3AD2">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6.</w:t>
      </w:r>
      <w:r>
        <w:rPr>
          <w:rFonts w:hint="eastAsia" w:ascii="仿宋" w:hAnsi="仿宋" w:eastAsia="仿宋" w:cs="仿宋"/>
          <w:color w:val="auto"/>
          <w:kern w:val="0"/>
          <w:sz w:val="32"/>
          <w:szCs w:val="32"/>
        </w:rPr>
        <w:t xml:space="preserve">社会保障和就业支出 </w:t>
      </w:r>
      <w:r>
        <w:rPr>
          <w:rFonts w:hint="eastAsia" w:ascii="仿宋" w:hAnsi="仿宋" w:eastAsia="仿宋" w:cs="仿宋"/>
          <w:color w:val="auto"/>
          <w:kern w:val="0"/>
          <w:sz w:val="32"/>
          <w:szCs w:val="32"/>
          <w:lang w:val="en-US" w:eastAsia="zh-CN"/>
        </w:rPr>
        <w:t>75.43</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4C12D5D6">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7.卫生健康支出28.49万元。</w:t>
      </w:r>
    </w:p>
    <w:p w14:paraId="30E13562">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8</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节能环保支出</w:t>
      </w:r>
      <w:r>
        <w:rPr>
          <w:rFonts w:hint="eastAsia" w:ascii="仿宋" w:hAnsi="仿宋" w:eastAsia="仿宋" w:cs="仿宋"/>
          <w:color w:val="auto"/>
          <w:kern w:val="0"/>
          <w:sz w:val="32"/>
          <w:szCs w:val="32"/>
          <w:lang w:val="en-US" w:eastAsia="zh-CN"/>
        </w:rPr>
        <w:t>68.71</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39CE739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9</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城乡社区公共设施支出</w:t>
      </w:r>
      <w:r>
        <w:rPr>
          <w:rFonts w:hint="eastAsia" w:ascii="仿宋" w:hAnsi="仿宋" w:eastAsia="仿宋" w:cs="仿宋"/>
          <w:color w:val="auto"/>
          <w:kern w:val="0"/>
          <w:sz w:val="32"/>
          <w:szCs w:val="32"/>
          <w:lang w:val="en-US" w:eastAsia="zh-CN"/>
        </w:rPr>
        <w:t>68.85</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252E66B9">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10</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农林水事务支出</w:t>
      </w:r>
      <w:r>
        <w:rPr>
          <w:rFonts w:hint="eastAsia" w:ascii="仿宋" w:hAnsi="仿宋" w:eastAsia="仿宋" w:cs="仿宋"/>
          <w:color w:val="auto"/>
          <w:kern w:val="0"/>
          <w:sz w:val="32"/>
          <w:szCs w:val="32"/>
          <w:lang w:val="en-US" w:eastAsia="zh-CN"/>
        </w:rPr>
        <w:t>127.71</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7C85706D">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11.</w:t>
      </w:r>
      <w:r>
        <w:rPr>
          <w:rFonts w:hint="eastAsia" w:ascii="仿宋" w:hAnsi="仿宋" w:eastAsia="仿宋" w:cs="仿宋"/>
          <w:color w:val="auto"/>
          <w:kern w:val="0"/>
          <w:sz w:val="32"/>
          <w:szCs w:val="32"/>
        </w:rPr>
        <w:t>交通运输支出</w:t>
      </w:r>
      <w:r>
        <w:rPr>
          <w:rFonts w:hint="eastAsia" w:ascii="仿宋" w:hAnsi="仿宋" w:eastAsia="仿宋" w:cs="仿宋"/>
          <w:color w:val="auto"/>
          <w:kern w:val="0"/>
          <w:sz w:val="32"/>
          <w:szCs w:val="32"/>
          <w:lang w:val="en-US" w:eastAsia="zh-CN"/>
        </w:rPr>
        <w:t>4.30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27CEC43E">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12.</w:t>
      </w:r>
      <w:r>
        <w:rPr>
          <w:rFonts w:hint="eastAsia" w:ascii="仿宋" w:hAnsi="仿宋" w:eastAsia="仿宋" w:cs="仿宋"/>
          <w:color w:val="auto"/>
          <w:kern w:val="0"/>
          <w:sz w:val="32"/>
          <w:szCs w:val="32"/>
          <w:lang w:eastAsia="zh-CN"/>
        </w:rPr>
        <w:t>自然资源事务支出</w:t>
      </w:r>
      <w:r>
        <w:rPr>
          <w:rFonts w:hint="eastAsia" w:ascii="仿宋" w:hAnsi="仿宋" w:eastAsia="仿宋" w:cs="仿宋"/>
          <w:color w:val="auto"/>
          <w:kern w:val="0"/>
          <w:sz w:val="32"/>
          <w:szCs w:val="32"/>
          <w:lang w:val="en-US" w:eastAsia="zh-CN"/>
        </w:rPr>
        <w:t>71.43</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7A6DDF0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13.住房保障支出19.74万元。</w:t>
      </w:r>
    </w:p>
    <w:p w14:paraId="5758DC7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14.灾害防治及应急管理支出12.66万元。</w:t>
      </w:r>
    </w:p>
    <w:p w14:paraId="57F6A80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15.特困人员救助供养支出79.64万元。</w:t>
      </w:r>
    </w:p>
    <w:p w14:paraId="08CCB6CD">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default"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第二.税收上解支出260.64万元</w:t>
      </w:r>
    </w:p>
    <w:p w14:paraId="7DEE79B7">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收支平衡情况</w:t>
      </w:r>
    </w:p>
    <w:p w14:paraId="74796DA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财政补助收入上年结余1186.48万元，2024年财政补助预算收入2110.21万元，财政拨款合计2328.13万元，收支结余968.56万元，其中政府财力结余340.24万元，村级项目专户结余302万元，村级运转经费结余326.32万元。</w:t>
      </w:r>
    </w:p>
    <w:p w14:paraId="70ADA68D">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四.上级专项追加执行情况</w:t>
      </w:r>
    </w:p>
    <w:p w14:paraId="750F3D6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年指标追加</w:t>
      </w:r>
      <w:r>
        <w:rPr>
          <w:rFonts w:hint="eastAsia" w:ascii="仿宋" w:hAnsi="仿宋" w:eastAsia="仿宋" w:cs="仿宋"/>
          <w:color w:val="auto"/>
          <w:kern w:val="0"/>
          <w:sz w:val="32"/>
          <w:szCs w:val="32"/>
          <w:lang w:val="en-US" w:eastAsia="zh-CN"/>
        </w:rPr>
        <w:t>228.81万元。</w:t>
      </w:r>
    </w:p>
    <w:p w14:paraId="483F7996">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五.财政代管资金收支情况</w:t>
      </w:r>
    </w:p>
    <w:p w14:paraId="5EB496A6">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财政代管资金和财政专户管理资金2023年</w:t>
      </w:r>
      <w:r>
        <w:rPr>
          <w:rFonts w:hint="eastAsia" w:ascii="仿宋" w:hAnsi="仿宋" w:eastAsia="仿宋" w:cs="仿宋"/>
          <w:color w:val="auto"/>
          <w:kern w:val="0"/>
          <w:sz w:val="32"/>
          <w:szCs w:val="32"/>
        </w:rPr>
        <w:t>结余</w:t>
      </w:r>
      <w:r>
        <w:rPr>
          <w:rFonts w:hint="eastAsia" w:ascii="仿宋" w:hAnsi="仿宋" w:eastAsia="仿宋" w:cs="仿宋"/>
          <w:color w:val="auto"/>
          <w:kern w:val="0"/>
          <w:sz w:val="32"/>
          <w:szCs w:val="32"/>
          <w:lang w:val="en-US" w:eastAsia="zh-CN"/>
        </w:rPr>
        <w:t>99.72</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val="en-US" w:eastAsia="zh-CN"/>
        </w:rPr>
        <w:t>2024年</w:t>
      </w:r>
      <w:r>
        <w:rPr>
          <w:rFonts w:hint="eastAsia" w:ascii="仿宋" w:hAnsi="仿宋" w:eastAsia="仿宋" w:cs="仿宋"/>
          <w:color w:val="auto"/>
          <w:kern w:val="0"/>
          <w:sz w:val="32"/>
          <w:szCs w:val="32"/>
        </w:rPr>
        <w:t>财政代管资金收入</w:t>
      </w:r>
      <w:r>
        <w:rPr>
          <w:rFonts w:hint="eastAsia" w:ascii="仿宋" w:hAnsi="仿宋" w:eastAsia="仿宋" w:cs="仿宋"/>
          <w:color w:val="auto"/>
          <w:kern w:val="0"/>
          <w:sz w:val="32"/>
          <w:szCs w:val="32"/>
          <w:lang w:val="en-US" w:eastAsia="zh-CN"/>
        </w:rPr>
        <w:t>639.20</w:t>
      </w:r>
      <w:r>
        <w:rPr>
          <w:rFonts w:hint="eastAsia" w:ascii="仿宋" w:hAnsi="仿宋" w:eastAsia="仿宋" w:cs="仿宋"/>
          <w:color w:val="auto"/>
          <w:kern w:val="0"/>
          <w:sz w:val="32"/>
          <w:szCs w:val="32"/>
        </w:rPr>
        <w:t>万元，财政代管资金支出</w:t>
      </w:r>
      <w:r>
        <w:rPr>
          <w:rFonts w:hint="eastAsia" w:ascii="仿宋" w:hAnsi="仿宋" w:eastAsia="仿宋" w:cs="仿宋"/>
          <w:color w:val="auto"/>
          <w:kern w:val="0"/>
          <w:sz w:val="32"/>
          <w:szCs w:val="32"/>
          <w:lang w:val="en-US" w:eastAsia="zh-CN"/>
        </w:rPr>
        <w:t>629.66</w:t>
      </w:r>
      <w:r>
        <w:rPr>
          <w:rFonts w:hint="eastAsia" w:ascii="仿宋" w:hAnsi="仿宋" w:eastAsia="仿宋" w:cs="仿宋"/>
          <w:color w:val="auto"/>
          <w:kern w:val="0"/>
          <w:sz w:val="32"/>
          <w:szCs w:val="32"/>
        </w:rPr>
        <w:t>万元，收支结余</w:t>
      </w:r>
      <w:r>
        <w:rPr>
          <w:rFonts w:hint="eastAsia" w:ascii="仿宋" w:hAnsi="仿宋" w:eastAsia="仿宋" w:cs="仿宋"/>
          <w:color w:val="auto"/>
          <w:kern w:val="0"/>
          <w:sz w:val="32"/>
          <w:szCs w:val="32"/>
          <w:lang w:val="en-US" w:eastAsia="zh-CN"/>
        </w:rPr>
        <w:t>109.26</w:t>
      </w:r>
      <w:r>
        <w:rPr>
          <w:rFonts w:hint="eastAsia" w:ascii="仿宋" w:hAnsi="仿宋" w:eastAsia="仿宋" w:cs="仿宋"/>
          <w:color w:val="auto"/>
          <w:kern w:val="0"/>
          <w:sz w:val="32"/>
          <w:szCs w:val="32"/>
        </w:rPr>
        <w:t>万元，结转入202</w:t>
      </w: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年。</w:t>
      </w:r>
    </w:p>
    <w:p w14:paraId="333DA80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总体而言，</w:t>
      </w:r>
      <w:r>
        <w:rPr>
          <w:rFonts w:hint="default" w:ascii="仿宋" w:hAnsi="仿宋" w:eastAsia="仿宋" w:cs="仿宋"/>
          <w:color w:val="auto"/>
          <w:kern w:val="0"/>
          <w:sz w:val="32"/>
          <w:szCs w:val="32"/>
          <w:lang w:val="en-US" w:eastAsia="zh-CN"/>
        </w:rPr>
        <w:t>202</w:t>
      </w:r>
      <w:r>
        <w:rPr>
          <w:rFonts w:hint="eastAsia" w:ascii="仿宋" w:hAnsi="仿宋" w:eastAsia="仿宋" w:cs="仿宋"/>
          <w:color w:val="auto"/>
          <w:kern w:val="0"/>
          <w:sz w:val="32"/>
          <w:szCs w:val="32"/>
          <w:lang w:val="en-US" w:eastAsia="zh-CN"/>
        </w:rPr>
        <w:t>4</w:t>
      </w:r>
      <w:r>
        <w:rPr>
          <w:rFonts w:hint="default" w:ascii="仿宋" w:hAnsi="仿宋" w:eastAsia="仿宋" w:cs="仿宋"/>
          <w:color w:val="auto"/>
          <w:kern w:val="0"/>
          <w:sz w:val="32"/>
          <w:szCs w:val="32"/>
          <w:lang w:val="en-US" w:eastAsia="zh-CN"/>
        </w:rPr>
        <w:t>年，更加注重财政支出的精准性</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效益性，强化财政资源统筹，调整优化支出结构，持续提高财政管理水平，有效防控运行风险，推动全</w:t>
      </w:r>
      <w:r>
        <w:rPr>
          <w:rFonts w:hint="eastAsia" w:ascii="仿宋" w:hAnsi="仿宋" w:eastAsia="仿宋" w:cs="仿宋"/>
          <w:color w:val="auto"/>
          <w:kern w:val="0"/>
          <w:sz w:val="32"/>
          <w:szCs w:val="32"/>
          <w:lang w:val="en-US" w:eastAsia="zh-CN"/>
        </w:rPr>
        <w:t>乡</w:t>
      </w:r>
      <w:r>
        <w:rPr>
          <w:rFonts w:hint="default" w:ascii="仿宋" w:hAnsi="仿宋" w:eastAsia="仿宋" w:cs="仿宋"/>
          <w:color w:val="auto"/>
          <w:kern w:val="0"/>
          <w:sz w:val="32"/>
          <w:szCs w:val="32"/>
          <w:lang w:val="en-US" w:eastAsia="zh-CN"/>
        </w:rPr>
        <w:t>财政工作在极为严峻的局面下实现了基本平稳运行，为全</w:t>
      </w:r>
      <w:r>
        <w:rPr>
          <w:rFonts w:hint="eastAsia" w:ascii="仿宋" w:hAnsi="仿宋" w:eastAsia="仿宋" w:cs="仿宋"/>
          <w:color w:val="auto"/>
          <w:kern w:val="0"/>
          <w:sz w:val="32"/>
          <w:szCs w:val="32"/>
          <w:lang w:val="en-US" w:eastAsia="zh-CN"/>
        </w:rPr>
        <w:t>乡</w:t>
      </w:r>
      <w:r>
        <w:rPr>
          <w:rFonts w:hint="default" w:ascii="仿宋" w:hAnsi="仿宋" w:eastAsia="仿宋" w:cs="仿宋"/>
          <w:color w:val="auto"/>
          <w:kern w:val="0"/>
          <w:sz w:val="32"/>
          <w:szCs w:val="32"/>
          <w:lang w:val="en-US" w:eastAsia="zh-CN"/>
        </w:rPr>
        <w:t>经济社会高质量发展提供有力支撑。</w:t>
      </w:r>
    </w:p>
    <w:p w14:paraId="3677F235">
      <w:pPr>
        <w:keepNext w:val="0"/>
        <w:keepLines w:val="0"/>
        <w:pageBreakBefore w:val="0"/>
        <w:kinsoku/>
        <w:wordWrap/>
        <w:overflowPunct/>
        <w:topLinePunct w:val="0"/>
        <w:autoSpaceDE/>
        <w:bidi w:val="0"/>
        <w:adjustRightInd/>
        <w:snapToGrid/>
        <w:spacing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b/>
          <w:bCs/>
          <w:color w:val="auto"/>
          <w:kern w:val="0"/>
          <w:sz w:val="32"/>
          <w:szCs w:val="32"/>
          <w:lang w:eastAsia="zh-CN"/>
        </w:rPr>
        <w:t>2024</w:t>
      </w:r>
      <w:r>
        <w:rPr>
          <w:rFonts w:hint="eastAsia" w:ascii="黑体" w:hAnsi="黑体" w:eastAsia="黑体" w:cs="黑体"/>
          <w:b/>
          <w:bCs/>
          <w:color w:val="auto"/>
          <w:kern w:val="0"/>
          <w:sz w:val="32"/>
          <w:szCs w:val="32"/>
        </w:rPr>
        <w:t>年财政</w:t>
      </w:r>
      <w:r>
        <w:rPr>
          <w:rFonts w:hint="eastAsia" w:ascii="黑体" w:hAnsi="黑体" w:eastAsia="黑体" w:cs="黑体"/>
          <w:b/>
          <w:bCs/>
          <w:color w:val="auto"/>
          <w:kern w:val="0"/>
          <w:sz w:val="32"/>
          <w:szCs w:val="32"/>
          <w:lang w:eastAsia="zh-CN"/>
        </w:rPr>
        <w:t>工作回顾</w:t>
      </w:r>
    </w:p>
    <w:p w14:paraId="5174F4C2">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面</w:t>
      </w:r>
      <w:r>
        <w:rPr>
          <w:rFonts w:hint="eastAsia" w:ascii="仿宋" w:hAnsi="仿宋" w:eastAsia="仿宋" w:cs="仿宋"/>
          <w:color w:val="auto"/>
          <w:kern w:val="0"/>
          <w:sz w:val="32"/>
          <w:szCs w:val="32"/>
        </w:rPr>
        <w:t>对</w:t>
      </w:r>
      <w:r>
        <w:rPr>
          <w:rFonts w:hint="eastAsia" w:ascii="仿宋" w:hAnsi="仿宋" w:eastAsia="仿宋" w:cs="仿宋"/>
          <w:color w:val="auto"/>
          <w:kern w:val="0"/>
          <w:sz w:val="32"/>
          <w:szCs w:val="32"/>
          <w:lang w:val="en-US" w:eastAsia="zh-CN"/>
        </w:rPr>
        <w:t>2024年</w:t>
      </w:r>
      <w:r>
        <w:rPr>
          <w:rFonts w:hint="eastAsia" w:ascii="仿宋" w:hAnsi="仿宋" w:eastAsia="仿宋" w:cs="仿宋"/>
          <w:color w:val="auto"/>
          <w:kern w:val="0"/>
          <w:sz w:val="32"/>
          <w:szCs w:val="32"/>
        </w:rPr>
        <w:t>经济下行压力</w:t>
      </w:r>
      <w:r>
        <w:rPr>
          <w:rFonts w:hint="eastAsia" w:ascii="仿宋" w:hAnsi="仿宋" w:eastAsia="仿宋" w:cs="仿宋"/>
          <w:color w:val="auto"/>
          <w:kern w:val="0"/>
          <w:sz w:val="32"/>
          <w:szCs w:val="32"/>
          <w:lang w:val="en-US" w:eastAsia="zh-CN"/>
        </w:rPr>
        <w:t>大、</w:t>
      </w:r>
      <w:r>
        <w:rPr>
          <w:rFonts w:hint="eastAsia" w:ascii="仿宋" w:hAnsi="仿宋" w:eastAsia="仿宋" w:cs="仿宋"/>
          <w:color w:val="auto"/>
          <w:kern w:val="0"/>
          <w:sz w:val="32"/>
          <w:szCs w:val="32"/>
        </w:rPr>
        <w:t>收支矛盾尖锐</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风险交织叠加的严峻形势。我</w:t>
      </w:r>
      <w:r>
        <w:rPr>
          <w:rFonts w:hint="eastAsia" w:ascii="仿宋" w:hAnsi="仿宋" w:eastAsia="仿宋" w:cs="仿宋"/>
          <w:color w:val="auto"/>
          <w:kern w:val="0"/>
          <w:sz w:val="32"/>
          <w:szCs w:val="32"/>
          <w:lang w:val="en-US" w:eastAsia="zh-CN"/>
        </w:rPr>
        <w:t>乡</w:t>
      </w:r>
      <w:r>
        <w:rPr>
          <w:rFonts w:hint="eastAsia" w:ascii="仿宋" w:hAnsi="仿宋" w:eastAsia="仿宋" w:cs="仿宋"/>
          <w:color w:val="auto"/>
          <w:kern w:val="0"/>
          <w:sz w:val="32"/>
          <w:szCs w:val="32"/>
        </w:rPr>
        <w:t>财政工作在</w:t>
      </w:r>
      <w:r>
        <w:rPr>
          <w:rFonts w:hint="eastAsia" w:ascii="仿宋" w:hAnsi="仿宋" w:eastAsia="仿宋" w:cs="仿宋"/>
          <w:color w:val="auto"/>
          <w:kern w:val="0"/>
          <w:sz w:val="32"/>
          <w:szCs w:val="32"/>
          <w:lang w:val="en-US" w:eastAsia="zh-CN"/>
        </w:rPr>
        <w:t>乡</w:t>
      </w:r>
      <w:r>
        <w:rPr>
          <w:rFonts w:hint="eastAsia" w:ascii="仿宋" w:hAnsi="仿宋" w:eastAsia="仿宋" w:cs="仿宋"/>
          <w:color w:val="auto"/>
          <w:kern w:val="0"/>
          <w:sz w:val="32"/>
          <w:szCs w:val="32"/>
        </w:rPr>
        <w:t>党委</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政府和市财政局的坚强领导下，在</w:t>
      </w:r>
      <w:r>
        <w:rPr>
          <w:rFonts w:hint="eastAsia" w:ascii="仿宋" w:hAnsi="仿宋" w:eastAsia="仿宋" w:cs="仿宋"/>
          <w:color w:val="auto"/>
          <w:kern w:val="0"/>
          <w:sz w:val="32"/>
          <w:szCs w:val="32"/>
          <w:lang w:val="en-US" w:eastAsia="zh-CN"/>
        </w:rPr>
        <w:t>乡</w:t>
      </w:r>
      <w:r>
        <w:rPr>
          <w:rFonts w:hint="eastAsia" w:ascii="仿宋" w:hAnsi="仿宋" w:eastAsia="仿宋" w:cs="仿宋"/>
          <w:color w:val="auto"/>
          <w:kern w:val="0"/>
          <w:sz w:val="32"/>
          <w:szCs w:val="32"/>
        </w:rPr>
        <w:t>人大</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政协的监督指导下，围绕年初工作，坚持稳中求进，迎难而上，积极作为。主要做了以下几个方面工作：</w:t>
      </w:r>
    </w:p>
    <w:p w14:paraId="0D9B89D7">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default" w:ascii="楷体" w:hAnsi="楷体" w:eastAsia="楷体" w:cs="楷体"/>
          <w:b/>
          <w:bCs/>
          <w:sz w:val="32"/>
          <w:szCs w:val="32"/>
          <w:lang w:val="en-US" w:eastAsia="zh-CN"/>
        </w:rPr>
        <w:t>一</w:t>
      </w:r>
      <w:r>
        <w:rPr>
          <w:rFonts w:hint="eastAsia" w:ascii="楷体" w:hAnsi="楷体" w:eastAsia="楷体" w:cs="楷体"/>
          <w:b/>
          <w:bCs/>
          <w:sz w:val="32"/>
          <w:szCs w:val="32"/>
          <w:lang w:val="en-US" w:eastAsia="zh-CN"/>
        </w:rPr>
        <w:t>.</w:t>
      </w:r>
      <w:r>
        <w:rPr>
          <w:rFonts w:hint="default" w:ascii="楷体" w:hAnsi="楷体" w:eastAsia="楷体" w:cs="楷体"/>
          <w:b/>
          <w:bCs/>
          <w:sz w:val="32"/>
          <w:szCs w:val="32"/>
          <w:lang w:val="en-US" w:eastAsia="zh-CN"/>
        </w:rPr>
        <w:t>优化人员结构，强化团队建设</w:t>
      </w:r>
    </w:p>
    <w:p w14:paraId="3046CAC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default" w:ascii="仿宋" w:hAnsi="仿宋" w:eastAsia="仿宋" w:cs="仿宋"/>
          <w:color w:val="auto"/>
          <w:kern w:val="0"/>
          <w:sz w:val="32"/>
          <w:szCs w:val="32"/>
          <w:lang w:val="en-US" w:eastAsia="zh-CN"/>
        </w:rPr>
        <w:t>本年度，金薮乡</w:t>
      </w:r>
      <w:r>
        <w:rPr>
          <w:rFonts w:hint="eastAsia" w:ascii="仿宋" w:hAnsi="仿宋" w:eastAsia="仿宋" w:cs="仿宋"/>
          <w:color w:val="auto"/>
          <w:kern w:val="0"/>
          <w:sz w:val="32"/>
          <w:szCs w:val="32"/>
          <w:lang w:val="en-US" w:eastAsia="zh-CN"/>
        </w:rPr>
        <w:t>财政办公室</w:t>
      </w:r>
      <w:r>
        <w:rPr>
          <w:rFonts w:hint="default" w:ascii="仿宋" w:hAnsi="仿宋" w:eastAsia="仿宋" w:cs="仿宋"/>
          <w:color w:val="auto"/>
          <w:kern w:val="0"/>
          <w:sz w:val="32"/>
          <w:szCs w:val="32"/>
          <w:lang w:val="en-US" w:eastAsia="zh-CN"/>
        </w:rPr>
        <w:t>持续优化人员配置，</w:t>
      </w:r>
      <w:r>
        <w:rPr>
          <w:rFonts w:hint="eastAsia" w:ascii="仿宋" w:hAnsi="仿宋" w:eastAsia="仿宋" w:cs="仿宋"/>
          <w:color w:val="auto"/>
          <w:kern w:val="0"/>
          <w:sz w:val="32"/>
          <w:szCs w:val="32"/>
          <w:lang w:val="en-US" w:eastAsia="zh-CN"/>
        </w:rPr>
        <w:t>2024年11月，根据组织安排进行了人员调整，</w:t>
      </w:r>
      <w:r>
        <w:rPr>
          <w:rFonts w:hint="default" w:ascii="仿宋" w:hAnsi="仿宋" w:eastAsia="仿宋" w:cs="仿宋"/>
          <w:color w:val="auto"/>
          <w:kern w:val="0"/>
          <w:sz w:val="32"/>
          <w:szCs w:val="32"/>
          <w:lang w:val="en-US" w:eastAsia="zh-CN"/>
        </w:rPr>
        <w:t>形成了一支学历层次高</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年龄结构合理</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业务能力强的专业队伍。面对人员更替的挑战，我们积极实施“传帮带”机制，确保业务知识与工作经验的有效传承。同时，通过定期举办业务培训</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政策解读会等活动，不断提升团队的专业素养和服务能力，为财政工作的顺利开展奠定了坚实基础。</w:t>
      </w:r>
    </w:p>
    <w:p w14:paraId="29251F70">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二.抓实预算管理，保证资金效益</w:t>
      </w:r>
    </w:p>
    <w:p w14:paraId="3F26A029">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default" w:ascii="仿宋" w:hAnsi="仿宋" w:eastAsia="仿宋" w:cs="仿宋"/>
          <w:color w:val="auto"/>
          <w:kern w:val="0"/>
          <w:sz w:val="32"/>
          <w:szCs w:val="32"/>
          <w:lang w:val="en-US" w:eastAsia="zh-CN"/>
        </w:rPr>
        <w:t>预算管理是财政工作的核心。我们坚持“量入为出</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收支平衡”的原则，科学编制预算，严格预算执行，确保每一分钱都用在刀刃上。通过加强预算执行的监控和考核，我们有效提升了资金使用效率，</w:t>
      </w:r>
      <w:r>
        <w:rPr>
          <w:rFonts w:hint="eastAsia" w:ascii="仿宋" w:hAnsi="仿宋" w:eastAsia="仿宋" w:cs="仿宋"/>
          <w:color w:val="auto"/>
          <w:kern w:val="0"/>
          <w:sz w:val="32"/>
          <w:szCs w:val="32"/>
          <w:lang w:val="en-US" w:eastAsia="zh-CN"/>
        </w:rPr>
        <w:t>把“保工资、保运转、保基本民生”放在财政支出的优先位置，确保既定的工资、民生等政策落实到位。</w:t>
      </w:r>
    </w:p>
    <w:p w14:paraId="576C197C">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三.加强税源培植，夯实财源基础</w:t>
      </w:r>
    </w:p>
    <w:p w14:paraId="4895AB3A">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default" w:ascii="仿宋" w:hAnsi="仿宋" w:eastAsia="仿宋" w:cs="仿宋"/>
          <w:color w:val="auto"/>
          <w:kern w:val="0"/>
          <w:sz w:val="32"/>
          <w:szCs w:val="32"/>
          <w:lang w:val="en-US" w:eastAsia="zh-CN"/>
        </w:rPr>
        <w:t>在税收征管方面，我们紧密围绕年度目标，精准施策，实现了税收总量的稳步增长</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特别是总部经济本地税收收入的显著提升，</w:t>
      </w:r>
      <w:r>
        <w:rPr>
          <w:rFonts w:hint="eastAsia" w:ascii="仿宋" w:hAnsi="仿宋" w:eastAsia="仿宋" w:cs="仿宋"/>
          <w:color w:val="auto"/>
          <w:kern w:val="0"/>
          <w:sz w:val="32"/>
          <w:szCs w:val="32"/>
          <w:lang w:val="en-US" w:eastAsia="zh-CN"/>
        </w:rPr>
        <w:t>截至2024年12月，我乡全口径税收总量完成717.98万元，地方总收入260.64万元，其中总部经济地方税收168.59万元，地方税收92.05万元。完成年度预期目标的108.60%，在全市排名第六。</w:t>
      </w:r>
      <w:r>
        <w:rPr>
          <w:rFonts w:hint="default" w:ascii="仿宋" w:hAnsi="仿宋" w:eastAsia="仿宋" w:cs="仿宋"/>
          <w:color w:val="auto"/>
          <w:kern w:val="0"/>
          <w:sz w:val="32"/>
          <w:szCs w:val="32"/>
          <w:lang w:val="en-US" w:eastAsia="zh-CN"/>
        </w:rPr>
        <w:t>这一成绩的取得，得益于我们</w:t>
      </w:r>
      <w:r>
        <w:rPr>
          <w:rFonts w:hint="eastAsia" w:ascii="仿宋" w:hAnsi="仿宋" w:eastAsia="仿宋" w:cs="仿宋"/>
          <w:color w:val="auto"/>
          <w:kern w:val="0"/>
          <w:sz w:val="32"/>
          <w:szCs w:val="32"/>
          <w:lang w:val="en-US" w:eastAsia="zh-CN"/>
        </w:rPr>
        <w:t>紧紧围绕年初财政目标任务，按照“抓早、抓紧、抓实、抓出成效”的工作思路，成立财税工作领导小组，建立税收管理制度，积极协调税收征管部门，服务重点企业，为企业排忧解难，尽显财务担当。</w:t>
      </w:r>
    </w:p>
    <w:p w14:paraId="310BC509">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四.盘活资产资源，激发财政活力</w:t>
      </w:r>
    </w:p>
    <w:p w14:paraId="0E5DCCD0">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按照湘潭市.</w:t>
      </w:r>
      <w:r>
        <w:rPr>
          <w:rFonts w:hint="eastAsia" w:ascii="仿宋" w:hAnsi="仿宋" w:eastAsia="仿宋" w:cs="仿宋"/>
          <w:color w:val="auto"/>
          <w:kern w:val="0"/>
          <w:sz w:val="32"/>
          <w:szCs w:val="32"/>
          <w:lang w:val="zh-CN"/>
        </w:rPr>
        <w:t>湘乡市</w:t>
      </w:r>
      <w:r>
        <w:rPr>
          <w:rFonts w:hint="eastAsia" w:ascii="仿宋" w:hAnsi="仿宋" w:eastAsia="仿宋" w:cs="仿宋"/>
          <w:color w:val="auto"/>
          <w:kern w:val="0"/>
          <w:sz w:val="32"/>
          <w:szCs w:val="32"/>
          <w:lang w:val="en-US" w:eastAsia="zh-CN"/>
        </w:rPr>
        <w:t>人民政府及有关部门</w:t>
      </w:r>
      <w:r>
        <w:rPr>
          <w:rFonts w:hint="eastAsia" w:ascii="仿宋" w:hAnsi="仿宋" w:eastAsia="仿宋" w:cs="仿宋"/>
          <w:color w:val="auto"/>
          <w:kern w:val="0"/>
          <w:sz w:val="32"/>
          <w:szCs w:val="32"/>
          <w:lang w:val="zh-CN"/>
        </w:rPr>
        <w:t>的要求，</w:t>
      </w:r>
      <w:r>
        <w:rPr>
          <w:rFonts w:hint="eastAsia" w:ascii="仿宋" w:hAnsi="仿宋" w:eastAsia="仿宋" w:cs="仿宋"/>
          <w:color w:val="auto"/>
          <w:kern w:val="0"/>
          <w:sz w:val="32"/>
          <w:szCs w:val="32"/>
          <w:lang w:val="en-US" w:eastAsia="zh-CN"/>
        </w:rPr>
        <w:t>2024年</w:t>
      </w:r>
      <w:r>
        <w:rPr>
          <w:rFonts w:hint="eastAsia" w:ascii="仿宋" w:hAnsi="仿宋" w:eastAsia="仿宋" w:cs="仿宋"/>
          <w:color w:val="auto"/>
          <w:kern w:val="0"/>
          <w:sz w:val="32"/>
          <w:szCs w:val="32"/>
          <w:lang w:val="zh-CN"/>
        </w:rPr>
        <w:t>我乡对闲置的国有资产进行分类处置。按照“能用先用、不用可售、不售可租、能融则融”的优先顺序，盘活存量资产，杜绝国有资产流失，让资产变资金。</w:t>
      </w:r>
      <w:r>
        <w:rPr>
          <w:rFonts w:hint="eastAsia" w:ascii="仿宋" w:hAnsi="仿宋" w:eastAsia="仿宋" w:cs="仿宋"/>
          <w:color w:val="auto"/>
          <w:kern w:val="0"/>
          <w:sz w:val="32"/>
          <w:szCs w:val="32"/>
          <w:lang w:val="en-US" w:eastAsia="zh-CN"/>
        </w:rPr>
        <w:t>一是将坐落在金薮镇区权属是市交通运输局的养路工班办公楼进行资产权属转移归人民政府所有，同时整合资金对其进行改造。解决了图书馆建设.标准化站房建设.部分干部住房问题及乡贤会办公场地等一系列问题。二是将闲置的东陵小学、江家小学、龙门小学出租办企业。这些举措不仅解决了多项民生问题，还拉动了当地经济增长，促进了就业，实现了经济效益和社会效益的双赢。</w:t>
      </w:r>
    </w:p>
    <w:p w14:paraId="18F538AA">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五.保障村级运作，规范村级财务</w:t>
      </w:r>
    </w:p>
    <w:p w14:paraId="3D44AAB0">
      <w:pPr>
        <w:spacing w:line="64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2024年已拨付村级运转经费377.32万元，拨付率76.76%，保障了村级组织正常运作，推动了村级工作的发展，</w:t>
      </w:r>
      <w:r>
        <w:rPr>
          <w:rFonts w:hint="default" w:ascii="仿宋" w:hAnsi="仿宋" w:eastAsia="仿宋" w:cs="仿宋"/>
          <w:color w:val="auto"/>
          <w:kern w:val="0"/>
          <w:sz w:val="32"/>
          <w:szCs w:val="32"/>
          <w:lang w:val="en-US" w:eastAsia="zh-CN"/>
        </w:rPr>
        <w:t>有效提升了基层治理能力。在村级财务管理方面，我们坚持从严从紧的原则，通过加强制度建设</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业务培训</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监督检查等措施，不断提升村级财务管理的规范化水平。</w:t>
      </w:r>
      <w:r>
        <w:rPr>
          <w:rFonts w:hint="eastAsia" w:ascii="仿宋" w:hAnsi="仿宋" w:eastAsia="仿宋" w:cs="仿宋"/>
          <w:color w:val="auto"/>
          <w:kern w:val="0"/>
          <w:sz w:val="32"/>
          <w:szCs w:val="32"/>
          <w:lang w:val="en-US" w:eastAsia="zh-CN"/>
        </w:rPr>
        <w:t>2024年我们对村干部特别是报账员进行了培训，同时又制订了培训计划，加大了培训和指导的力度，提高村干部的政策认知和业务水平。配合有关职能部门对特定的村进行清理审计和债务核查，对特定的项目进行情况核实，解决信访问题。</w:t>
      </w:r>
    </w:p>
    <w:p w14:paraId="3781FFF2">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六.落实惠农政策，保证农民实惠。</w:t>
      </w:r>
    </w:p>
    <w:p w14:paraId="0A54635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2024年度我乡通过</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一卡通”已发至各农户的补贴资金共2000余万元，涵盖农业、林业、水利、交通、退役军人事务、残联、民政、乡村振兴、教育、卫生、住房保障等行业部门。结合</w:t>
      </w:r>
      <w:r>
        <w:rPr>
          <w:rFonts w:hint="eastAsia" w:ascii="仿宋" w:hAnsi="仿宋" w:eastAsia="仿宋" w:cs="仿宋"/>
          <w:color w:val="auto"/>
          <w:kern w:val="0"/>
          <w:sz w:val="32"/>
          <w:szCs w:val="32"/>
        </w:rPr>
        <w:t>“三湘护农”专项行动</w:t>
      </w:r>
      <w:r>
        <w:rPr>
          <w:rFonts w:hint="eastAsia" w:ascii="仿宋" w:hAnsi="仿宋" w:eastAsia="仿宋" w:cs="仿宋"/>
          <w:color w:val="auto"/>
          <w:kern w:val="0"/>
          <w:sz w:val="32"/>
          <w:szCs w:val="32"/>
          <w:lang w:eastAsia="zh-CN"/>
        </w:rPr>
        <w:t>，对历年的补助资金进行“回头看”，发现问题进行整改。同时</w:t>
      </w:r>
      <w:r>
        <w:rPr>
          <w:rFonts w:hint="eastAsia" w:ascii="仿宋" w:hAnsi="仿宋" w:eastAsia="仿宋" w:cs="仿宋"/>
          <w:color w:val="auto"/>
          <w:kern w:val="0"/>
          <w:sz w:val="32"/>
          <w:szCs w:val="32"/>
        </w:rPr>
        <w:t>采取入户访谈</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现场查看等方式</w:t>
      </w:r>
      <w:r>
        <w:rPr>
          <w:rFonts w:hint="eastAsia" w:ascii="仿宋" w:hAnsi="仿宋" w:eastAsia="仿宋" w:cs="仿宋"/>
          <w:color w:val="auto"/>
          <w:kern w:val="0"/>
          <w:sz w:val="32"/>
          <w:szCs w:val="32"/>
          <w:lang w:eastAsia="zh-CN"/>
        </w:rPr>
        <w:t>加强</w:t>
      </w:r>
      <w:r>
        <w:rPr>
          <w:rFonts w:hint="eastAsia" w:ascii="仿宋" w:hAnsi="仿宋" w:eastAsia="仿宋" w:cs="仿宋"/>
          <w:color w:val="auto"/>
          <w:kern w:val="0"/>
          <w:sz w:val="32"/>
          <w:szCs w:val="32"/>
        </w:rPr>
        <w:t>抽查巡查</w:t>
      </w:r>
      <w:r>
        <w:rPr>
          <w:rFonts w:hint="eastAsia" w:ascii="仿宋" w:hAnsi="仿宋" w:eastAsia="仿宋" w:cs="仿宋"/>
          <w:color w:val="auto"/>
          <w:kern w:val="0"/>
          <w:sz w:val="32"/>
          <w:szCs w:val="32"/>
          <w:lang w:eastAsia="zh-CN"/>
        </w:rPr>
        <w:t>工作，</w:t>
      </w:r>
      <w:r>
        <w:rPr>
          <w:rFonts w:hint="eastAsia" w:ascii="仿宋" w:hAnsi="仿宋" w:eastAsia="仿宋" w:cs="仿宋"/>
          <w:color w:val="auto"/>
          <w:kern w:val="0"/>
          <w:sz w:val="32"/>
          <w:szCs w:val="32"/>
        </w:rPr>
        <w:t>通过与群众面对面交流，查看惠民惠农“一卡通”明白折和明白条，认真核查各项惠民惠农补贴资金是否严格按照政策文件规定的范围</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标准发放</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发放人员是否符合</w:t>
      </w:r>
      <w:bookmarkStart w:id="0" w:name="_Hlk148325132"/>
      <w:r>
        <w:rPr>
          <w:rFonts w:hint="eastAsia" w:ascii="仿宋" w:hAnsi="仿宋" w:eastAsia="仿宋" w:cs="仿宋"/>
          <w:color w:val="auto"/>
          <w:kern w:val="0"/>
          <w:sz w:val="32"/>
          <w:szCs w:val="32"/>
        </w:rPr>
        <w:t>政策要求</w:t>
      </w:r>
      <w:bookmarkEnd w:id="0"/>
      <w:r>
        <w:rPr>
          <w:rFonts w:hint="eastAsia" w:ascii="仿宋" w:hAnsi="仿宋" w:eastAsia="仿宋" w:cs="仿宋"/>
          <w:color w:val="auto"/>
          <w:kern w:val="0"/>
          <w:sz w:val="32"/>
          <w:szCs w:val="32"/>
        </w:rPr>
        <w:t>，是否存在不采用“一卡通”发放</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政策宣传不到位</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补贴对象身份信息更新不及时等问题。确保群众对享受的惠农补贴项目心中有数，</w:t>
      </w:r>
      <w:r>
        <w:rPr>
          <w:rFonts w:hint="eastAsia" w:ascii="仿宋" w:hAnsi="仿宋" w:eastAsia="仿宋" w:cs="仿宋"/>
          <w:color w:val="auto"/>
          <w:kern w:val="0"/>
          <w:sz w:val="32"/>
          <w:szCs w:val="32"/>
          <w:lang w:eastAsia="zh-CN"/>
        </w:rPr>
        <w:t>确保惠农资金落到实处。</w:t>
      </w:r>
    </w:p>
    <w:p w14:paraId="429AFC01">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七.</w:t>
      </w:r>
      <w:r>
        <w:rPr>
          <w:rFonts w:hint="default" w:ascii="楷体" w:hAnsi="楷体" w:eastAsia="楷体" w:cs="楷体"/>
          <w:b/>
          <w:bCs/>
          <w:sz w:val="32"/>
          <w:szCs w:val="32"/>
          <w:lang w:val="en-US" w:eastAsia="zh-CN"/>
        </w:rPr>
        <w:t>建设清廉财政，</w:t>
      </w:r>
      <w:r>
        <w:rPr>
          <w:rFonts w:hint="eastAsia" w:ascii="楷体" w:hAnsi="楷体" w:eastAsia="楷体" w:cs="楷体"/>
          <w:b/>
          <w:bCs/>
          <w:sz w:val="32"/>
          <w:szCs w:val="32"/>
          <w:lang w:val="en-US" w:eastAsia="zh-CN"/>
        </w:rPr>
        <w:t>铸牢守廉底线</w:t>
      </w:r>
    </w:p>
    <w:p w14:paraId="4E5A4BE2">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default" w:ascii="仿宋" w:hAnsi="仿宋" w:eastAsia="仿宋" w:cs="仿宋"/>
          <w:color w:val="auto"/>
          <w:kern w:val="0"/>
          <w:sz w:val="32"/>
          <w:szCs w:val="32"/>
          <w:lang w:val="en-US" w:eastAsia="zh-CN"/>
        </w:rPr>
        <w:t>我们深知，清廉是财政工作的生命线。因此，我们始终将党风廉政建设放在首位，通过组织学习</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观看警示教育片</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打造清廉财政文化长廊等方式，不断筑牢拒腐防变的思想防线。这些举措的实施，不仅提升了全体财政干部的政治素养和廉洁自律意识，还营造了风清气正的良好政治生态。</w:t>
      </w:r>
    </w:p>
    <w:p w14:paraId="153D6FB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各位代表：总体来看，我乡</w:t>
      </w:r>
      <w:r>
        <w:rPr>
          <w:rFonts w:hint="eastAsia" w:ascii="仿宋" w:hAnsi="仿宋" w:eastAsia="仿宋" w:cs="仿宋"/>
          <w:color w:val="auto"/>
          <w:kern w:val="0"/>
          <w:sz w:val="32"/>
          <w:szCs w:val="32"/>
          <w:lang w:val="en-US" w:eastAsia="zh-CN"/>
        </w:rPr>
        <w:t>2024</w:t>
      </w:r>
      <w:r>
        <w:rPr>
          <w:rFonts w:hint="eastAsia" w:ascii="仿宋" w:hAnsi="仿宋" w:eastAsia="仿宋" w:cs="仿宋"/>
          <w:color w:val="auto"/>
          <w:kern w:val="0"/>
          <w:sz w:val="32"/>
          <w:szCs w:val="32"/>
        </w:rPr>
        <w:t>年财政预算执行情况较好，财政收支</w:t>
      </w:r>
      <w:r>
        <w:rPr>
          <w:rFonts w:hint="eastAsia" w:ascii="仿宋" w:hAnsi="仿宋" w:eastAsia="仿宋" w:cs="仿宋"/>
          <w:color w:val="auto"/>
          <w:kern w:val="0"/>
          <w:sz w:val="32"/>
          <w:szCs w:val="32"/>
          <w:lang w:val="en-US" w:eastAsia="zh-CN"/>
        </w:rPr>
        <w:t>基本</w:t>
      </w:r>
      <w:r>
        <w:rPr>
          <w:rFonts w:hint="eastAsia" w:ascii="仿宋" w:hAnsi="仿宋" w:eastAsia="仿宋" w:cs="仿宋"/>
          <w:color w:val="auto"/>
          <w:kern w:val="0"/>
          <w:sz w:val="32"/>
          <w:szCs w:val="32"/>
        </w:rPr>
        <w:t>持平</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但是在</w:t>
      </w:r>
      <w:r>
        <w:rPr>
          <w:rFonts w:hint="eastAsia" w:ascii="仿宋" w:hAnsi="仿宋" w:eastAsia="仿宋" w:cs="仿宋"/>
          <w:color w:val="auto"/>
          <w:kern w:val="0"/>
          <w:sz w:val="32"/>
          <w:szCs w:val="32"/>
          <w:lang w:eastAsia="zh-CN"/>
        </w:rPr>
        <w:t>具体的</w:t>
      </w:r>
      <w:r>
        <w:rPr>
          <w:rFonts w:hint="eastAsia" w:ascii="仿宋" w:hAnsi="仿宋" w:eastAsia="仿宋" w:cs="仿宋"/>
          <w:color w:val="auto"/>
          <w:kern w:val="0"/>
          <w:sz w:val="32"/>
          <w:szCs w:val="32"/>
        </w:rPr>
        <w:t>工作中还存在一些问题，主要是：</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争取资金</w:t>
      </w:r>
      <w:r>
        <w:rPr>
          <w:rFonts w:hint="eastAsia" w:ascii="仿宋" w:hAnsi="仿宋" w:eastAsia="仿宋" w:cs="仿宋"/>
          <w:color w:val="auto"/>
          <w:kern w:val="0"/>
          <w:sz w:val="32"/>
          <w:szCs w:val="32"/>
          <w:lang w:val="en-US" w:eastAsia="zh-CN"/>
        </w:rPr>
        <w:t>很</w:t>
      </w:r>
      <w:r>
        <w:rPr>
          <w:rFonts w:hint="eastAsia" w:ascii="仿宋" w:hAnsi="仿宋" w:eastAsia="仿宋" w:cs="仿宋"/>
          <w:color w:val="auto"/>
          <w:kern w:val="0"/>
          <w:sz w:val="32"/>
          <w:szCs w:val="32"/>
        </w:rPr>
        <w:t>困难</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乡镇的预算指标、往来资金及代理中心各村争取资金同比大幅减少。2.</w:t>
      </w:r>
      <w:r>
        <w:rPr>
          <w:rFonts w:hint="eastAsia" w:ascii="仿宋" w:hAnsi="仿宋" w:eastAsia="仿宋" w:cs="仿宋"/>
          <w:color w:val="auto"/>
          <w:kern w:val="0"/>
          <w:sz w:val="32"/>
          <w:szCs w:val="32"/>
          <w:lang w:eastAsia="zh-CN"/>
        </w:rPr>
        <w:t>调度资金很难，</w:t>
      </w:r>
      <w:r>
        <w:rPr>
          <w:rFonts w:hint="eastAsia" w:ascii="仿宋" w:hAnsi="仿宋" w:eastAsia="仿宋" w:cs="仿宋"/>
          <w:color w:val="auto"/>
          <w:kern w:val="0"/>
          <w:sz w:val="32"/>
          <w:szCs w:val="32"/>
          <w:lang w:val="en-US" w:eastAsia="zh-CN"/>
        </w:rPr>
        <w:t>市财政公用经费预算低，年终安排资金及其有限，导致当</w:t>
      </w:r>
      <w:r>
        <w:rPr>
          <w:rFonts w:hint="eastAsia" w:ascii="仿宋" w:hAnsi="仿宋" w:eastAsia="仿宋" w:cs="仿宋"/>
          <w:color w:val="auto"/>
          <w:kern w:val="0"/>
          <w:sz w:val="32"/>
          <w:szCs w:val="32"/>
          <w:lang w:eastAsia="zh-CN"/>
        </w:rPr>
        <w:t>前应付未付的资金存量很大，既包括村级</w:t>
      </w:r>
      <w:r>
        <w:rPr>
          <w:rFonts w:hint="eastAsia" w:ascii="仿宋" w:hAnsi="仿宋" w:eastAsia="仿宋" w:cs="仿宋"/>
          <w:color w:val="auto"/>
          <w:kern w:val="0"/>
          <w:sz w:val="32"/>
          <w:szCs w:val="32"/>
          <w:lang w:val="en-US" w:eastAsia="zh-CN"/>
        </w:rPr>
        <w:t>运转经费和</w:t>
      </w:r>
      <w:r>
        <w:rPr>
          <w:rFonts w:hint="eastAsia" w:ascii="仿宋" w:hAnsi="仿宋" w:eastAsia="仿宋" w:cs="仿宋"/>
          <w:color w:val="auto"/>
          <w:kern w:val="0"/>
          <w:sz w:val="32"/>
          <w:szCs w:val="32"/>
          <w:lang w:eastAsia="zh-CN"/>
        </w:rPr>
        <w:t>项目资金，又包括</w:t>
      </w:r>
      <w:r>
        <w:rPr>
          <w:rFonts w:hint="eastAsia" w:ascii="仿宋" w:hAnsi="仿宋" w:eastAsia="仿宋" w:cs="仿宋"/>
          <w:color w:val="auto"/>
          <w:kern w:val="0"/>
          <w:sz w:val="32"/>
          <w:szCs w:val="32"/>
          <w:lang w:val="en-US" w:eastAsia="zh-CN"/>
        </w:rPr>
        <w:t>乡镇各站办及干部的应付款</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eastAsia="zh-CN"/>
        </w:rPr>
        <w:t>收支矛盾突出，刚性支出增幅较大，</w:t>
      </w:r>
      <w:r>
        <w:rPr>
          <w:rFonts w:hint="eastAsia" w:ascii="仿宋" w:hAnsi="仿宋" w:eastAsia="仿宋" w:cs="仿宋"/>
          <w:color w:val="auto"/>
          <w:kern w:val="0"/>
          <w:sz w:val="32"/>
          <w:szCs w:val="32"/>
        </w:rPr>
        <w:t>可用财力</w:t>
      </w:r>
      <w:r>
        <w:rPr>
          <w:rFonts w:hint="eastAsia" w:ascii="仿宋" w:hAnsi="仿宋" w:eastAsia="仿宋" w:cs="仿宋"/>
          <w:color w:val="auto"/>
          <w:kern w:val="0"/>
          <w:sz w:val="32"/>
          <w:szCs w:val="32"/>
          <w:lang w:eastAsia="zh-CN"/>
        </w:rPr>
        <w:t>严重不足。针对这些问题，</w:t>
      </w:r>
      <w:r>
        <w:rPr>
          <w:rFonts w:hint="eastAsia" w:ascii="仿宋" w:hAnsi="仿宋" w:eastAsia="仿宋" w:cs="仿宋"/>
          <w:color w:val="auto"/>
          <w:kern w:val="0"/>
          <w:sz w:val="32"/>
          <w:szCs w:val="32"/>
        </w:rPr>
        <w:t>我们将采取</w:t>
      </w:r>
      <w:r>
        <w:rPr>
          <w:rFonts w:hint="eastAsia" w:ascii="仿宋" w:hAnsi="仿宋" w:eastAsia="仿宋" w:cs="仿宋"/>
          <w:color w:val="auto"/>
          <w:kern w:val="0"/>
          <w:sz w:val="32"/>
          <w:szCs w:val="32"/>
          <w:lang w:eastAsia="zh-CN"/>
        </w:rPr>
        <w:t>必要的</w:t>
      </w:r>
      <w:r>
        <w:rPr>
          <w:rFonts w:hint="eastAsia" w:ascii="仿宋" w:hAnsi="仿宋" w:eastAsia="仿宋" w:cs="仿宋"/>
          <w:color w:val="auto"/>
          <w:kern w:val="0"/>
          <w:sz w:val="32"/>
          <w:szCs w:val="32"/>
        </w:rPr>
        <w:t>措施，</w:t>
      </w:r>
      <w:r>
        <w:rPr>
          <w:rFonts w:hint="eastAsia" w:ascii="仿宋" w:hAnsi="仿宋" w:eastAsia="仿宋" w:cs="仿宋"/>
          <w:color w:val="auto"/>
          <w:kern w:val="0"/>
          <w:sz w:val="32"/>
          <w:szCs w:val="32"/>
          <w:lang w:eastAsia="zh-CN"/>
        </w:rPr>
        <w:t>不断提高财务管理水平，突破瓶颈，在解决问题中求稳定和发展。</w:t>
      </w:r>
    </w:p>
    <w:p w14:paraId="0821D5C8">
      <w:pPr>
        <w:keepNext w:val="0"/>
        <w:keepLines w:val="0"/>
        <w:pageBreakBefore w:val="0"/>
        <w:kinsoku/>
        <w:wordWrap/>
        <w:overflowPunct/>
        <w:topLinePunct w:val="0"/>
        <w:autoSpaceDE/>
        <w:bidi w:val="0"/>
        <w:adjustRightInd/>
        <w:snapToGrid/>
        <w:spacing w:line="560" w:lineRule="exact"/>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b/>
          <w:bCs/>
          <w:color w:val="auto"/>
          <w:kern w:val="0"/>
          <w:sz w:val="32"/>
          <w:szCs w:val="32"/>
          <w:lang w:val="zh-CN"/>
        </w:rPr>
        <w:t>20</w:t>
      </w:r>
      <w:r>
        <w:rPr>
          <w:rFonts w:hint="eastAsia" w:ascii="黑体" w:hAnsi="黑体" w:eastAsia="黑体" w:cs="黑体"/>
          <w:b/>
          <w:bCs/>
          <w:color w:val="auto"/>
          <w:kern w:val="0"/>
          <w:sz w:val="32"/>
          <w:szCs w:val="32"/>
          <w:lang w:val="en-US" w:eastAsia="zh-CN"/>
        </w:rPr>
        <w:t>25</w:t>
      </w:r>
      <w:r>
        <w:rPr>
          <w:rFonts w:hint="eastAsia" w:ascii="黑体" w:hAnsi="黑体" w:eastAsia="黑体" w:cs="黑体"/>
          <w:b/>
          <w:bCs/>
          <w:color w:val="auto"/>
          <w:kern w:val="0"/>
          <w:sz w:val="32"/>
          <w:szCs w:val="32"/>
          <w:lang w:val="zh-CN"/>
        </w:rPr>
        <w:t>年财政预算（</w:t>
      </w:r>
      <w:r>
        <w:rPr>
          <w:rFonts w:hint="eastAsia" w:ascii="黑体" w:hAnsi="黑体" w:eastAsia="黑体" w:cs="黑体"/>
          <w:b/>
          <w:bCs/>
          <w:color w:val="auto"/>
          <w:kern w:val="0"/>
          <w:sz w:val="32"/>
          <w:szCs w:val="32"/>
          <w:lang w:val="zh-CN" w:eastAsia="zh-CN"/>
        </w:rPr>
        <w:t>草案）</w:t>
      </w:r>
    </w:p>
    <w:p w14:paraId="31F1BD05">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面对当前财政形势和经济发展的需要，我</w:t>
      </w:r>
      <w:r>
        <w:rPr>
          <w:rFonts w:hint="eastAsia" w:ascii="仿宋" w:hAnsi="仿宋" w:eastAsia="仿宋" w:cs="仿宋"/>
          <w:color w:val="auto"/>
          <w:kern w:val="0"/>
          <w:sz w:val="32"/>
          <w:szCs w:val="32"/>
          <w:lang w:val="en-US" w:eastAsia="zh-CN"/>
        </w:rPr>
        <w:t>乡</w:t>
      </w:r>
      <w:r>
        <w:rPr>
          <w:rFonts w:hint="eastAsia" w:ascii="仿宋" w:hAnsi="仿宋" w:eastAsia="仿宋" w:cs="仿宋"/>
          <w:color w:val="auto"/>
          <w:kern w:val="0"/>
          <w:sz w:val="32"/>
          <w:szCs w:val="32"/>
        </w:rPr>
        <w:t>在分析总结2024年收支执行情况的基础上，结合我</w:t>
      </w:r>
      <w:r>
        <w:rPr>
          <w:rFonts w:hint="eastAsia" w:ascii="仿宋" w:hAnsi="仿宋" w:eastAsia="仿宋" w:cs="仿宋"/>
          <w:color w:val="auto"/>
          <w:kern w:val="0"/>
          <w:sz w:val="32"/>
          <w:szCs w:val="32"/>
          <w:lang w:val="en-US" w:eastAsia="zh-CN"/>
        </w:rPr>
        <w:t>乡</w:t>
      </w:r>
      <w:r>
        <w:rPr>
          <w:rFonts w:hint="eastAsia" w:ascii="仿宋" w:hAnsi="仿宋" w:eastAsia="仿宋" w:cs="仿宋"/>
          <w:color w:val="auto"/>
          <w:kern w:val="0"/>
          <w:sz w:val="32"/>
          <w:szCs w:val="32"/>
        </w:rPr>
        <w:t>实际情况与目标任务，</w:t>
      </w:r>
      <w:r>
        <w:rPr>
          <w:rFonts w:hint="eastAsia" w:ascii="仿宋" w:hAnsi="仿宋" w:eastAsia="仿宋" w:cs="仿宋"/>
          <w:color w:val="000000"/>
          <w:kern w:val="0"/>
          <w:sz w:val="30"/>
          <w:szCs w:val="30"/>
          <w:lang w:val="en-US" w:eastAsia="zh-CN"/>
        </w:rPr>
        <w:t>按照零基预算、以收定支、厉行节约、突出重点、强化绩效、严格约束的原则</w:t>
      </w:r>
      <w:r>
        <w:rPr>
          <w:rFonts w:hint="default" w:ascii="仿宋" w:hAnsi="仿宋" w:eastAsia="仿宋" w:cs="仿宋"/>
          <w:color w:val="000000"/>
          <w:kern w:val="0"/>
          <w:sz w:val="30"/>
          <w:szCs w:val="30"/>
          <w:lang w:eastAsia="zh-CN"/>
        </w:rPr>
        <w:t>，</w:t>
      </w:r>
      <w:r>
        <w:rPr>
          <w:rFonts w:hint="eastAsia" w:ascii="仿宋" w:hAnsi="仿宋" w:eastAsia="仿宋" w:cs="仿宋"/>
          <w:color w:val="000000"/>
          <w:kern w:val="0"/>
          <w:sz w:val="30"/>
          <w:szCs w:val="30"/>
          <w:lang w:eastAsia="zh-CN"/>
        </w:rPr>
        <w:t>兜牢兜实基本民生支出、节约从紧安排机关单位运转支出、合理安排建设发展支出。</w:t>
      </w:r>
      <w:r>
        <w:rPr>
          <w:rFonts w:hint="eastAsia" w:ascii="仿宋" w:hAnsi="仿宋" w:eastAsia="仿宋" w:cs="仿宋"/>
          <w:color w:val="auto"/>
          <w:kern w:val="0"/>
          <w:sz w:val="32"/>
          <w:szCs w:val="32"/>
        </w:rPr>
        <w:t>现将2025年财政预算收支安排建议如下：</w:t>
      </w:r>
    </w:p>
    <w:p w14:paraId="7D3FE2E7">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一.财政收入情况</w:t>
      </w:r>
    </w:p>
    <w:p w14:paraId="23A61D83">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val="en-US" w:eastAsia="zh-CN"/>
        </w:rPr>
        <w:t>2025年财政总收入2921.40万元，其中：</w:t>
      </w:r>
    </w:p>
    <w:p w14:paraId="7DE0D2ED">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1.一般公共预算收入1881.40万元（第七轮体制下放财力：人员经费1059.38万元，公用类经费182.61万元，专项经费147.88万元，对村党支部和村民委员会的补助491.54万元。）；</w:t>
      </w:r>
    </w:p>
    <w:p w14:paraId="5FF199E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2.代管资金收入800万元；</w:t>
      </w:r>
    </w:p>
    <w:p w14:paraId="13D4EBB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地方</w:t>
      </w:r>
      <w:r>
        <w:rPr>
          <w:rFonts w:hint="eastAsia" w:ascii="仿宋" w:hAnsi="仿宋" w:eastAsia="仿宋" w:cs="仿宋"/>
          <w:color w:val="auto"/>
          <w:kern w:val="0"/>
          <w:sz w:val="32"/>
          <w:szCs w:val="32"/>
          <w:lang w:val="en-US" w:eastAsia="zh-CN"/>
        </w:rPr>
        <w:t>税收</w:t>
      </w:r>
      <w:r>
        <w:rPr>
          <w:rFonts w:hint="eastAsia" w:ascii="仿宋" w:hAnsi="仿宋" w:eastAsia="仿宋" w:cs="仿宋"/>
          <w:color w:val="auto"/>
          <w:kern w:val="0"/>
          <w:sz w:val="32"/>
          <w:szCs w:val="32"/>
        </w:rPr>
        <w:t>收入</w:t>
      </w:r>
      <w:r>
        <w:rPr>
          <w:rFonts w:hint="eastAsia" w:ascii="仿宋" w:hAnsi="仿宋" w:eastAsia="仿宋" w:cs="仿宋"/>
          <w:color w:val="auto"/>
          <w:kern w:val="0"/>
          <w:sz w:val="32"/>
          <w:szCs w:val="32"/>
          <w:lang w:val="en-US" w:eastAsia="zh-CN"/>
        </w:rPr>
        <w:t>24</w:t>
      </w:r>
      <w:r>
        <w:rPr>
          <w:rFonts w:hint="eastAsia" w:ascii="仿宋" w:hAnsi="仿宋" w:eastAsia="仿宋" w:cs="仿宋"/>
          <w:color w:val="auto"/>
          <w:kern w:val="0"/>
          <w:sz w:val="32"/>
          <w:szCs w:val="32"/>
        </w:rPr>
        <w:t>0万元。</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由于湘乡市财政局目标数暂未通知，该数字为2024年任务数）</w:t>
      </w:r>
    </w:p>
    <w:p w14:paraId="10747B91">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二.财政支出情况</w:t>
      </w:r>
    </w:p>
    <w:p w14:paraId="37BD2E01">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val="en-US" w:eastAsia="zh-CN"/>
        </w:rPr>
        <w:t>2025年财政总支出2921.40万元，其中：</w:t>
      </w:r>
    </w:p>
    <w:p w14:paraId="5B3BC58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（一）一般预算支出1881.40万元。</w:t>
      </w:r>
    </w:p>
    <w:p w14:paraId="1B795F6B">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一般公共服务支出</w:t>
      </w:r>
      <w:r>
        <w:rPr>
          <w:rFonts w:hint="eastAsia" w:ascii="仿宋" w:hAnsi="仿宋" w:eastAsia="仿宋" w:cs="仿宋"/>
          <w:color w:val="auto"/>
          <w:kern w:val="0"/>
          <w:sz w:val="32"/>
          <w:szCs w:val="32"/>
          <w:lang w:val="en-US" w:eastAsia="zh-CN"/>
        </w:rPr>
        <w:t>458.40</w:t>
      </w:r>
      <w:r>
        <w:rPr>
          <w:rFonts w:hint="eastAsia" w:ascii="仿宋" w:hAnsi="仿宋" w:eastAsia="仿宋" w:cs="仿宋"/>
          <w:color w:val="auto"/>
          <w:kern w:val="0"/>
          <w:sz w:val="32"/>
          <w:szCs w:val="32"/>
        </w:rPr>
        <w:t>万元，其中</w:t>
      </w:r>
      <w:r>
        <w:rPr>
          <w:rFonts w:hint="eastAsia" w:ascii="仿宋" w:hAnsi="仿宋" w:eastAsia="仿宋" w:cs="仿宋"/>
          <w:color w:val="auto"/>
          <w:kern w:val="0"/>
          <w:sz w:val="32"/>
          <w:szCs w:val="32"/>
          <w:lang w:val="en-US" w:eastAsia="zh-CN"/>
        </w:rPr>
        <w:t>人大事务支出25万元（包含人大代表工作室.人大代表小组经费5万元）；群众团体13万元（其中工会10万元、共青团经费1万元，妇女联合会1万元，老干及关工委经费1万元）；</w:t>
      </w:r>
      <w:r>
        <w:rPr>
          <w:rFonts w:hint="eastAsia" w:ascii="仿宋" w:hAnsi="仿宋" w:eastAsia="仿宋" w:cs="仿宋"/>
          <w:color w:val="auto"/>
          <w:kern w:val="0"/>
          <w:sz w:val="32"/>
          <w:szCs w:val="32"/>
        </w:rPr>
        <w:t>共产党事务</w:t>
      </w:r>
      <w:r>
        <w:rPr>
          <w:rFonts w:hint="eastAsia" w:ascii="仿宋" w:hAnsi="仿宋" w:eastAsia="仿宋" w:cs="仿宋"/>
          <w:color w:val="auto"/>
          <w:kern w:val="0"/>
          <w:sz w:val="32"/>
          <w:szCs w:val="32"/>
          <w:lang w:val="en-US" w:eastAsia="zh-CN"/>
        </w:rPr>
        <w:t>90</w:t>
      </w:r>
      <w:r>
        <w:rPr>
          <w:rFonts w:hint="eastAsia" w:ascii="仿宋" w:hAnsi="仿宋" w:eastAsia="仿宋" w:cs="仿宋"/>
          <w:color w:val="auto"/>
          <w:kern w:val="0"/>
          <w:sz w:val="32"/>
          <w:szCs w:val="32"/>
        </w:rPr>
        <w:t>万元，政府办公事务</w:t>
      </w:r>
      <w:r>
        <w:rPr>
          <w:rFonts w:hint="eastAsia" w:ascii="仿宋" w:hAnsi="仿宋" w:eastAsia="仿宋" w:cs="仿宋"/>
          <w:color w:val="auto"/>
          <w:kern w:val="0"/>
          <w:sz w:val="32"/>
          <w:szCs w:val="32"/>
          <w:lang w:val="en-US" w:eastAsia="zh-CN"/>
        </w:rPr>
        <w:t>180</w:t>
      </w:r>
      <w:r>
        <w:rPr>
          <w:rFonts w:hint="eastAsia" w:ascii="仿宋" w:hAnsi="仿宋" w:eastAsia="仿宋" w:cs="仿宋"/>
          <w:color w:val="auto"/>
          <w:kern w:val="0"/>
          <w:sz w:val="32"/>
          <w:szCs w:val="32"/>
        </w:rPr>
        <w:t>万元，政协事务</w:t>
      </w:r>
      <w:r>
        <w:rPr>
          <w:rFonts w:hint="eastAsia" w:ascii="仿宋" w:hAnsi="仿宋" w:eastAsia="仿宋" w:cs="仿宋"/>
          <w:color w:val="auto"/>
          <w:kern w:val="0"/>
          <w:sz w:val="32"/>
          <w:szCs w:val="32"/>
          <w:lang w:val="en-US" w:eastAsia="zh-CN"/>
        </w:rPr>
        <w:t>10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val="en-US" w:eastAsia="zh-CN"/>
        </w:rPr>
        <w:t>，纪检监察事务20万元，</w:t>
      </w:r>
      <w:r>
        <w:rPr>
          <w:rFonts w:hint="eastAsia" w:ascii="仿宋" w:hAnsi="仿宋" w:eastAsia="仿宋" w:cs="仿宋"/>
          <w:color w:val="auto"/>
          <w:kern w:val="0"/>
          <w:sz w:val="32"/>
          <w:szCs w:val="32"/>
        </w:rPr>
        <w:t>财政事务</w:t>
      </w:r>
      <w:r>
        <w:rPr>
          <w:rFonts w:hint="eastAsia" w:ascii="仿宋" w:hAnsi="仿宋" w:eastAsia="仿宋" w:cs="仿宋"/>
          <w:color w:val="auto"/>
          <w:kern w:val="0"/>
          <w:sz w:val="32"/>
          <w:szCs w:val="32"/>
          <w:lang w:val="en-US" w:eastAsia="zh-CN"/>
        </w:rPr>
        <w:t>90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其他事务30.40万元。</w:t>
      </w:r>
    </w:p>
    <w:p w14:paraId="24DA56DE">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2.一般公共安全支出100万元。</w:t>
      </w:r>
    </w:p>
    <w:p w14:paraId="000F550E">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3.文化体育与传媒支出20万元。</w:t>
      </w:r>
    </w:p>
    <w:p w14:paraId="64361D8E">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4.社会保障和就业支出140万元。</w:t>
      </w:r>
    </w:p>
    <w:p w14:paraId="4EC37875">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5.卫生健康支出60万元。</w:t>
      </w:r>
    </w:p>
    <w:p w14:paraId="6D60DA0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6.节能环保支出40万元。</w:t>
      </w:r>
    </w:p>
    <w:p w14:paraId="15675FD0">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7.农林水事务支出533万元。其中：农业支出313万元，林业支出40万元，水利支出50万元，农村综合改革支出130万元。</w:t>
      </w:r>
    </w:p>
    <w:p w14:paraId="60BE53D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8.对村民委员会和村党支部补助支出380万元。</w:t>
      </w:r>
    </w:p>
    <w:p w14:paraId="03B3BCC6">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9.交通运输支出20万元。</w:t>
      </w:r>
    </w:p>
    <w:p w14:paraId="5DC7E48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10.自然资源事务支出20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16F33B3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11.住房保障支出90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73C8C94E">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12.应急管理支出20万元。</w:t>
      </w:r>
    </w:p>
    <w:p w14:paraId="62AC00EB">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（二）代管资金专项支出80</w:t>
      </w:r>
      <w:r>
        <w:rPr>
          <w:rFonts w:hint="default" w:ascii="仿宋" w:hAnsi="仿宋" w:eastAsia="仿宋" w:cs="仿宋"/>
          <w:color w:val="auto"/>
          <w:kern w:val="0"/>
          <w:sz w:val="32"/>
          <w:szCs w:val="32"/>
          <w:lang w:eastAsia="zh-CN"/>
        </w:rPr>
        <w:t>0</w:t>
      </w:r>
      <w:r>
        <w:rPr>
          <w:rFonts w:hint="eastAsia" w:ascii="仿宋" w:hAnsi="仿宋" w:eastAsia="仿宋" w:cs="仿宋"/>
          <w:color w:val="auto"/>
          <w:kern w:val="0"/>
          <w:sz w:val="32"/>
          <w:szCs w:val="32"/>
          <w:lang w:val="en-US" w:eastAsia="zh-CN"/>
        </w:rPr>
        <w:t xml:space="preserve">万元。 </w:t>
      </w:r>
    </w:p>
    <w:p w14:paraId="7C90BFA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1.一般公共安全支出50万元。</w:t>
      </w:r>
    </w:p>
    <w:p w14:paraId="5FB05B0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2.文化体育与传媒支出20万元。</w:t>
      </w:r>
    </w:p>
    <w:p w14:paraId="268BFC6C">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3.社会保障和就业支出120万元。</w:t>
      </w:r>
    </w:p>
    <w:p w14:paraId="22431C60">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4.卫生健康支出40万元。</w:t>
      </w:r>
    </w:p>
    <w:p w14:paraId="16073015">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5.节能环保支出30万元。</w:t>
      </w:r>
    </w:p>
    <w:p w14:paraId="05DCC46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6.城乡社区公共设施支出20万元。</w:t>
      </w:r>
    </w:p>
    <w:p w14:paraId="73A290C4">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7.农林水事务支出260万元。</w:t>
      </w:r>
    </w:p>
    <w:p w14:paraId="655D73E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8.交通运输支出20万元。</w:t>
      </w:r>
    </w:p>
    <w:p w14:paraId="5CABFE09">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val="en-US" w:eastAsia="zh-CN"/>
        </w:rPr>
        <w:t>9.自然资源事务支出20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w:t>
      </w:r>
    </w:p>
    <w:p w14:paraId="41165171">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10.应急管理支出20万元。</w:t>
      </w:r>
    </w:p>
    <w:p w14:paraId="4AEC0629">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11.乡村振兴衔接资金200万元。</w:t>
      </w:r>
    </w:p>
    <w:p w14:paraId="1B78C0EB">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（三）税收上解支出240万元</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此数字参照2024年税收数）</w:t>
      </w:r>
    </w:p>
    <w:p w14:paraId="602ED32F">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注：因财政追加预算指标无法预计，故在此报告中不作说明，待可作预计时再作预算调整。</w:t>
      </w:r>
    </w:p>
    <w:p w14:paraId="599CEA40">
      <w:pPr>
        <w:keepNext w:val="0"/>
        <w:keepLines w:val="0"/>
        <w:pageBreakBefore w:val="0"/>
        <w:shd w:val="clear"/>
        <w:kinsoku/>
        <w:wordWrap/>
        <w:overflowPunct/>
        <w:topLinePunct w:val="0"/>
        <w:autoSpaceDE/>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三.收支平衡</w:t>
      </w:r>
    </w:p>
    <w:p w14:paraId="2B444BC5">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b/>
          <w:bCs/>
          <w:color w:val="auto"/>
          <w:kern w:val="0"/>
          <w:sz w:val="32"/>
          <w:szCs w:val="32"/>
          <w:lang w:val="en-US" w:eastAsia="zh-CN"/>
        </w:rPr>
      </w:pPr>
      <w:r>
        <w:rPr>
          <w:rFonts w:hint="eastAsia" w:ascii="仿宋" w:hAnsi="仿宋" w:eastAsia="仿宋" w:cs="仿宋"/>
          <w:color w:val="auto"/>
          <w:kern w:val="0"/>
          <w:sz w:val="32"/>
          <w:szCs w:val="32"/>
        </w:rPr>
        <w:t>一般公共预算收入</w:t>
      </w:r>
      <w:r>
        <w:rPr>
          <w:rFonts w:hint="eastAsia" w:ascii="仿宋" w:hAnsi="仿宋" w:eastAsia="仿宋" w:cs="仿宋"/>
          <w:color w:val="auto"/>
          <w:kern w:val="0"/>
          <w:sz w:val="32"/>
          <w:szCs w:val="32"/>
          <w:lang w:val="en-US" w:eastAsia="zh-CN"/>
        </w:rPr>
        <w:t>1881.40</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val="en-US" w:eastAsia="zh-CN"/>
        </w:rPr>
        <w:t>代管资金收入800万元，</w:t>
      </w:r>
      <w:r>
        <w:rPr>
          <w:rFonts w:hint="eastAsia" w:ascii="仿宋" w:hAnsi="仿宋" w:eastAsia="仿宋" w:cs="仿宋"/>
          <w:color w:val="auto"/>
          <w:kern w:val="0"/>
          <w:sz w:val="32"/>
          <w:szCs w:val="32"/>
        </w:rPr>
        <w:t>地方</w:t>
      </w:r>
      <w:r>
        <w:rPr>
          <w:rFonts w:hint="eastAsia" w:ascii="仿宋" w:hAnsi="仿宋" w:eastAsia="仿宋" w:cs="仿宋"/>
          <w:color w:val="auto"/>
          <w:kern w:val="0"/>
          <w:sz w:val="32"/>
          <w:szCs w:val="32"/>
          <w:lang w:val="en-US" w:eastAsia="zh-CN"/>
        </w:rPr>
        <w:t>税收</w:t>
      </w:r>
      <w:r>
        <w:rPr>
          <w:rFonts w:hint="eastAsia" w:ascii="仿宋" w:hAnsi="仿宋" w:eastAsia="仿宋" w:cs="仿宋"/>
          <w:color w:val="auto"/>
          <w:kern w:val="0"/>
          <w:sz w:val="32"/>
          <w:szCs w:val="32"/>
        </w:rPr>
        <w:t>收入</w:t>
      </w:r>
      <w:r>
        <w:rPr>
          <w:rFonts w:hint="eastAsia" w:ascii="仿宋" w:hAnsi="仿宋" w:eastAsia="仿宋" w:cs="仿宋"/>
          <w:color w:val="auto"/>
          <w:kern w:val="0"/>
          <w:sz w:val="32"/>
          <w:szCs w:val="32"/>
          <w:lang w:val="en-US" w:eastAsia="zh-CN"/>
        </w:rPr>
        <w:t>24</w:t>
      </w:r>
      <w:r>
        <w:rPr>
          <w:rFonts w:hint="eastAsia" w:ascii="仿宋" w:hAnsi="仿宋" w:eastAsia="仿宋" w:cs="仿宋"/>
          <w:color w:val="auto"/>
          <w:kern w:val="0"/>
          <w:sz w:val="32"/>
          <w:szCs w:val="32"/>
        </w:rPr>
        <w:t>0万元。</w:t>
      </w:r>
      <w:r>
        <w:rPr>
          <w:rFonts w:hint="eastAsia" w:ascii="仿宋" w:hAnsi="仿宋" w:eastAsia="仿宋" w:cs="仿宋"/>
          <w:color w:val="auto"/>
          <w:kern w:val="0"/>
          <w:sz w:val="32"/>
          <w:szCs w:val="32"/>
          <w:lang w:val="en-US" w:eastAsia="zh-CN"/>
        </w:rPr>
        <w:t>一般公共预算支出1881.40万元，代管资金专项支出80</w:t>
      </w:r>
      <w:r>
        <w:rPr>
          <w:rFonts w:hint="default" w:ascii="仿宋" w:hAnsi="仿宋" w:eastAsia="仿宋" w:cs="仿宋"/>
          <w:color w:val="auto"/>
          <w:kern w:val="0"/>
          <w:sz w:val="32"/>
          <w:szCs w:val="32"/>
          <w:lang w:eastAsia="zh-CN"/>
        </w:rPr>
        <w:t>0</w:t>
      </w:r>
      <w:r>
        <w:rPr>
          <w:rFonts w:hint="eastAsia" w:ascii="仿宋" w:hAnsi="仿宋" w:eastAsia="仿宋" w:cs="仿宋"/>
          <w:color w:val="auto"/>
          <w:kern w:val="0"/>
          <w:sz w:val="32"/>
          <w:szCs w:val="32"/>
          <w:lang w:val="en-US" w:eastAsia="zh-CN"/>
        </w:rPr>
        <w:t>万元，税收上解支出240万元，</w:t>
      </w:r>
      <w:r>
        <w:rPr>
          <w:rFonts w:hint="eastAsia" w:ascii="仿宋" w:hAnsi="仿宋" w:eastAsia="仿宋" w:cs="仿宋"/>
          <w:color w:val="auto"/>
          <w:kern w:val="0"/>
          <w:sz w:val="32"/>
          <w:szCs w:val="32"/>
        </w:rPr>
        <w:t>收支平衡。</w:t>
      </w:r>
    </w:p>
    <w:p w14:paraId="6365C2CD">
      <w:pPr>
        <w:keepNext w:val="0"/>
        <w:keepLines w:val="0"/>
        <w:pageBreakBefore w:val="0"/>
        <w:kinsoku/>
        <w:wordWrap/>
        <w:overflowPunct/>
        <w:topLinePunct w:val="0"/>
        <w:autoSpaceDE/>
        <w:bidi w:val="0"/>
        <w:adjustRightInd/>
        <w:snapToGrid/>
        <w:spacing w:line="560" w:lineRule="exact"/>
        <w:jc w:val="center"/>
        <w:textAlignment w:val="auto"/>
        <w:rPr>
          <w:rFonts w:hint="eastAsia"/>
          <w:sz w:val="32"/>
          <w:szCs w:val="32"/>
          <w:lang w:val="en-US" w:eastAsia="zh-CN"/>
        </w:rPr>
      </w:pPr>
      <w:r>
        <w:rPr>
          <w:rFonts w:hint="eastAsia" w:ascii="黑体" w:hAnsi="黑体" w:eastAsia="黑体" w:cs="黑体"/>
          <w:b/>
          <w:bCs/>
          <w:color w:val="auto"/>
          <w:kern w:val="0"/>
          <w:sz w:val="32"/>
          <w:szCs w:val="32"/>
          <w:lang w:val="en-US" w:eastAsia="zh-CN"/>
        </w:rPr>
        <w:t>2025年</w:t>
      </w:r>
      <w:r>
        <w:rPr>
          <w:rFonts w:hint="eastAsia" w:ascii="黑体" w:hAnsi="黑体" w:eastAsia="黑体" w:cs="黑体"/>
          <w:b/>
          <w:bCs/>
          <w:color w:val="auto"/>
          <w:kern w:val="0"/>
          <w:sz w:val="32"/>
          <w:szCs w:val="32"/>
          <w:lang w:val="zh-CN"/>
        </w:rPr>
        <w:t>工作</w:t>
      </w:r>
      <w:r>
        <w:rPr>
          <w:rFonts w:hint="eastAsia" w:ascii="黑体" w:hAnsi="黑体" w:eastAsia="黑体" w:cs="黑体"/>
          <w:b/>
          <w:bCs/>
          <w:color w:val="auto"/>
          <w:kern w:val="0"/>
          <w:sz w:val="32"/>
          <w:szCs w:val="32"/>
          <w:lang w:val="en-US" w:eastAsia="zh-CN"/>
        </w:rPr>
        <w:t>思路</w:t>
      </w:r>
    </w:p>
    <w:p w14:paraId="5CC5C6E9">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2025年是落实“十四五”规划的收官之年，也是“十五五”规划的谋划之年，我乡财政工作以习近平新时代中国特色社会主义思想为指导，按照乡党委、政府的工作部署以及乡人民代表大会确定的工作目标和工作重点，团结奋进，锐意进取，为我乡“稳增长、调结构、促改革、惠民生、防风险”作出积极贡献。为完成全年财政工作任务，将重点做好如下工作：</w:t>
      </w:r>
    </w:p>
    <w:p w14:paraId="56855778">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b/>
          <w:bCs/>
          <w:color w:val="auto"/>
          <w:kern w:val="0"/>
          <w:sz w:val="32"/>
          <w:szCs w:val="32"/>
          <w:lang w:val="zh-CN" w:eastAsia="zh-CN"/>
        </w:rPr>
      </w:pPr>
      <w:r>
        <w:rPr>
          <w:rFonts w:hint="eastAsia" w:ascii="楷体" w:hAnsi="楷体" w:eastAsia="楷体" w:cs="楷体"/>
          <w:b/>
          <w:bCs/>
          <w:sz w:val="32"/>
          <w:szCs w:val="32"/>
          <w:lang w:val="en-US" w:eastAsia="zh-CN"/>
        </w:rPr>
        <w:t>一.坚持“稳中奋进”理念，千方百计增强财力</w:t>
      </w:r>
    </w:p>
    <w:p w14:paraId="07174AC3">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进一步做好财政收入工作，确保完成全年收入任务；完善财政收入增长办法，调动各方面壮大财源、增加财政收入的积极性。</w:t>
      </w:r>
    </w:p>
    <w:p w14:paraId="5561907B">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一是</w:t>
      </w:r>
      <w:r>
        <w:rPr>
          <w:rFonts w:hint="eastAsia" w:ascii="仿宋" w:hAnsi="仿宋" w:eastAsia="仿宋" w:cs="仿宋"/>
          <w:color w:val="auto"/>
          <w:kern w:val="0"/>
          <w:sz w:val="32"/>
          <w:szCs w:val="32"/>
          <w:lang w:val="en-US" w:eastAsia="zh-CN"/>
        </w:rPr>
        <w:t>从乡情实际出发，发挥我乡的区位优势和资源优势，通过发展茶油、玉竹等相关特色产业项目，吸引客商投资兴业，壮大经济总量，兴旺基础性财源税源；</w:t>
      </w:r>
    </w:p>
    <w:p w14:paraId="14A35DD1">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二是</w:t>
      </w:r>
      <w:r>
        <w:rPr>
          <w:rFonts w:hint="eastAsia" w:ascii="仿宋" w:hAnsi="仿宋" w:eastAsia="仿宋" w:cs="仿宋"/>
          <w:color w:val="auto"/>
          <w:kern w:val="0"/>
          <w:sz w:val="32"/>
          <w:szCs w:val="32"/>
          <w:lang w:val="en-US" w:eastAsia="zh-CN"/>
        </w:rPr>
        <w:t>狠抓财政收入管理，协同税务部门加强对重点行业和企业的税源监控，加强收入分析，强化目标考核，确保财政收入任务的完成；</w:t>
      </w:r>
    </w:p>
    <w:p w14:paraId="7B5E1B73">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三是</w:t>
      </w:r>
      <w:r>
        <w:rPr>
          <w:rFonts w:hint="eastAsia" w:ascii="仿宋" w:hAnsi="仿宋" w:eastAsia="仿宋" w:cs="仿宋"/>
          <w:color w:val="auto"/>
          <w:kern w:val="0"/>
          <w:sz w:val="32"/>
          <w:szCs w:val="32"/>
          <w:lang w:val="en-US" w:eastAsia="zh-CN"/>
        </w:rPr>
        <w:t>积极向上争取资金，紧盯上级政策导向和专项资金信息，及时了解上级部门项目建设计划的动态信息，准确把握政策动向和资金投向，在增加市级财力的基础上增加本乡的可用财力。</w:t>
      </w:r>
    </w:p>
    <w:p w14:paraId="12EB3613">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zh-CN" w:eastAsia="zh-CN"/>
        </w:rPr>
      </w:pPr>
      <w:r>
        <w:rPr>
          <w:rFonts w:hint="eastAsia" w:ascii="仿宋" w:hAnsi="仿宋" w:eastAsia="仿宋" w:cs="仿宋"/>
          <w:b/>
          <w:bCs/>
          <w:color w:val="auto"/>
          <w:kern w:val="0"/>
          <w:sz w:val="32"/>
          <w:szCs w:val="32"/>
          <w:lang w:val="en-US" w:eastAsia="zh-CN"/>
        </w:rPr>
        <w:t>四是</w:t>
      </w:r>
      <w:r>
        <w:rPr>
          <w:rFonts w:hint="eastAsia" w:ascii="仿宋" w:hAnsi="仿宋" w:eastAsia="仿宋" w:cs="仿宋"/>
          <w:color w:val="auto"/>
          <w:kern w:val="0"/>
          <w:sz w:val="32"/>
          <w:szCs w:val="32"/>
          <w:lang w:val="en-US" w:eastAsia="zh-CN"/>
        </w:rPr>
        <w:t>盘活闲置国有资产，充分发挥国有资产资源效益，使“资产”变“资金”，增加财政收入。2025年</w:t>
      </w:r>
      <w:r>
        <w:rPr>
          <w:rFonts w:hint="eastAsia" w:ascii="仿宋" w:hAnsi="仿宋" w:eastAsia="仿宋" w:cs="仿宋"/>
          <w:color w:val="auto"/>
          <w:kern w:val="0"/>
          <w:sz w:val="32"/>
          <w:szCs w:val="32"/>
          <w:lang w:val="zh-CN" w:eastAsia="zh-CN"/>
        </w:rPr>
        <w:t>我乡将对</w:t>
      </w:r>
      <w:r>
        <w:rPr>
          <w:rFonts w:hint="eastAsia" w:ascii="仿宋" w:hAnsi="仿宋" w:eastAsia="仿宋" w:cs="仿宋"/>
          <w:color w:val="auto"/>
          <w:kern w:val="0"/>
          <w:sz w:val="32"/>
          <w:szCs w:val="32"/>
          <w:lang w:val="en-US" w:eastAsia="zh-CN"/>
        </w:rPr>
        <w:t>几处特定的</w:t>
      </w:r>
      <w:r>
        <w:rPr>
          <w:rFonts w:hint="eastAsia" w:ascii="仿宋" w:hAnsi="仿宋" w:eastAsia="仿宋" w:cs="仿宋"/>
          <w:color w:val="auto"/>
          <w:kern w:val="0"/>
          <w:sz w:val="32"/>
          <w:szCs w:val="32"/>
          <w:lang w:val="zh-CN" w:eastAsia="zh-CN"/>
        </w:rPr>
        <w:t>闲置国有资产进行处置。杜绝国有资产流失，让资产变资金，</w:t>
      </w:r>
      <w:r>
        <w:rPr>
          <w:rFonts w:hint="eastAsia" w:ascii="仿宋" w:hAnsi="仿宋" w:eastAsia="仿宋" w:cs="仿宋"/>
          <w:color w:val="auto"/>
          <w:kern w:val="0"/>
          <w:sz w:val="32"/>
          <w:szCs w:val="32"/>
          <w:lang w:val="en-US" w:eastAsia="zh-CN"/>
        </w:rPr>
        <w:t>做大收入总量</w:t>
      </w:r>
      <w:r>
        <w:rPr>
          <w:rFonts w:hint="eastAsia" w:ascii="仿宋" w:hAnsi="仿宋" w:eastAsia="仿宋" w:cs="仿宋"/>
          <w:color w:val="auto"/>
          <w:kern w:val="0"/>
          <w:sz w:val="32"/>
          <w:szCs w:val="32"/>
          <w:lang w:val="zh-CN" w:eastAsia="zh-CN"/>
        </w:rPr>
        <w:t>。同时探索特许经营权和资源收益，想办法增加可用财力。</w:t>
      </w:r>
    </w:p>
    <w:p w14:paraId="5A76B7DC">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二.坚持“三保底线”理念，优化财政支出结构</w:t>
      </w:r>
    </w:p>
    <w:p w14:paraId="22CFD627">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第一、健全资金精准调拨、预算编制事先审核机制，保证落实“三保”经费。一是坚持民生至上，确保不挤占不挪用，优先保障民生事业支出。二是坚持以人为本，确保不延时不拖欠，按时足额发放乡、村两级干部工资。三是坚持有保有压，持续压减非刚性支出，规范经费管理；加强财政统筹力度、优化财政支出结构，保障重点。</w:t>
      </w:r>
    </w:p>
    <w:p w14:paraId="7E828C92">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第二、进一步加大乡村振兴资金投入，扎实做好2025年农村公益事业财政奖补项目实施工作。加大对民生、社会保障、就业等方面的投入，积极拓宽社会事业投入渠道，充分发挥财政资金的导向作用，引导和带动更多的资金投入民生和社会建设，使涉及民生的事能办得更早、群众受益更快；继续为环保、水利、移民、民政等重点工作提供有力的资金保障，管好用好专项资金，确保专款专用，提升管理水平，做到惠民惠农，群众受益。</w:t>
      </w:r>
    </w:p>
    <w:p w14:paraId="28ACF9D8">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三.坚持“过紧日子”理念，提高资金使用绩效</w:t>
      </w:r>
    </w:p>
    <w:p w14:paraId="22EFB23E">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一是</w:t>
      </w:r>
      <w:r>
        <w:rPr>
          <w:rFonts w:hint="eastAsia" w:ascii="仿宋" w:hAnsi="仿宋" w:eastAsia="仿宋" w:cs="仿宋"/>
          <w:color w:val="auto"/>
          <w:kern w:val="0"/>
          <w:sz w:val="32"/>
          <w:szCs w:val="32"/>
          <w:lang w:val="en-US" w:eastAsia="zh-CN"/>
        </w:rPr>
        <w:t>严格预算执行管理，采取切实有效措施提高预算执行的时效性和均衡度，压缩一般消费性支出，确保上级各项专项支出，坚持做到拨款有预算，支出有计划；</w:t>
      </w:r>
    </w:p>
    <w:p w14:paraId="69B0E26F">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二是</w:t>
      </w:r>
      <w:r>
        <w:rPr>
          <w:rFonts w:hint="eastAsia" w:ascii="仿宋" w:hAnsi="仿宋" w:eastAsia="仿宋" w:cs="仿宋"/>
          <w:color w:val="auto"/>
          <w:kern w:val="0"/>
          <w:sz w:val="32"/>
          <w:szCs w:val="32"/>
          <w:lang w:val="en-US" w:eastAsia="zh-CN"/>
        </w:rPr>
        <w:t>实行资金使用绩效评价制度，努力做好预算编制有目标、预算执行有监控、预算完成有评价、评价结果有反馈、反馈结果有运用的预算绩效管理模式工作；</w:t>
      </w:r>
    </w:p>
    <w:p w14:paraId="724E6C84">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三是</w:t>
      </w:r>
      <w:r>
        <w:rPr>
          <w:rFonts w:hint="eastAsia" w:ascii="仿宋" w:hAnsi="仿宋" w:eastAsia="仿宋" w:cs="仿宋"/>
          <w:color w:val="auto"/>
          <w:kern w:val="0"/>
          <w:sz w:val="32"/>
          <w:szCs w:val="32"/>
          <w:lang w:val="en-US" w:eastAsia="zh-CN"/>
        </w:rPr>
        <w:t>稳步推进预算公开，增强财政管理的透明度，继续完善基本数据信息和预算支出标准体系，夯实预算管理基础工作，强化财政监督职能，确保各项政策有效落实。</w:t>
      </w:r>
    </w:p>
    <w:p w14:paraId="1B5D9159">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四．履行“监督管理”职责，提升财务监督效力</w:t>
      </w:r>
    </w:p>
    <w:p w14:paraId="569F8578">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eastAsia" w:ascii="仿宋" w:hAnsi="仿宋" w:eastAsia="仿宋" w:cs="仿宋"/>
          <w:b/>
          <w:bCs w:val="0"/>
          <w:sz w:val="32"/>
          <w:szCs w:val="32"/>
          <w:lang w:eastAsia="zh-CN"/>
        </w:rPr>
      </w:pPr>
      <w:r>
        <w:rPr>
          <w:rFonts w:hint="eastAsia" w:ascii="仿宋" w:hAnsi="仿宋" w:eastAsia="仿宋" w:cs="仿宋"/>
          <w:color w:val="auto"/>
          <w:kern w:val="0"/>
          <w:sz w:val="32"/>
          <w:szCs w:val="32"/>
          <w:lang w:val="en-US" w:eastAsia="zh-CN"/>
        </w:rPr>
        <w:t>财政部门作为财务监督的主责部门，将切实履行监督职责。健全财政监督体系，加强对财政资金的监督力度，将财务监督贯穿资金分配、使用、管理全过程。根据预算管理一体化的要求，财政部门将实现对党政机关开支、乡属各部门的支出、村级项目资金、其他专项资金等全流程的动态监控，确保资金用好用实用出效益；加大对重点领域、重点项目的监督力度，确保资金安全、发挥项目效益；同时财政部门会将绩效管理、投资评审、政府采购贯通，上下联动，并协同纪检监察、巡视巡察、审计等部门对各种违纪违法的人和事进行处理，提升监督履职尽责</w:t>
      </w:r>
      <w:r>
        <w:rPr>
          <w:rFonts w:hint="eastAsia" w:ascii="仿宋" w:hAnsi="仿宋" w:eastAsia="仿宋" w:cs="仿宋"/>
          <w:b/>
          <w:bCs w:val="0"/>
          <w:sz w:val="32"/>
          <w:szCs w:val="32"/>
          <w:lang w:eastAsia="zh-CN"/>
        </w:rPr>
        <w:t>。</w:t>
      </w:r>
    </w:p>
    <w:p w14:paraId="43B9C6B1">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五.坚持“以人为本”理念，加强财政干部队伍建设</w:t>
      </w:r>
    </w:p>
    <w:p w14:paraId="6CB5C5FC">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一是</w:t>
      </w:r>
      <w:r>
        <w:rPr>
          <w:rFonts w:hint="eastAsia" w:ascii="仿宋" w:hAnsi="仿宋" w:eastAsia="仿宋" w:cs="仿宋"/>
          <w:color w:val="auto"/>
          <w:kern w:val="0"/>
          <w:sz w:val="32"/>
          <w:szCs w:val="32"/>
          <w:lang w:val="en-US" w:eastAsia="zh-CN"/>
        </w:rPr>
        <w:t>深入学习领会党的二十大精神，提高干部思想认识，全面辩证看待当前经济形势，要始终保持清醒头脑、坚定信心、增强定力，高效服务全乡经济发展工作；</w:t>
      </w:r>
    </w:p>
    <w:p w14:paraId="20D59825">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二是</w:t>
      </w:r>
      <w:r>
        <w:rPr>
          <w:rFonts w:hint="eastAsia" w:ascii="仿宋" w:hAnsi="仿宋" w:eastAsia="仿宋" w:cs="仿宋"/>
          <w:color w:val="auto"/>
          <w:kern w:val="0"/>
          <w:sz w:val="32"/>
          <w:szCs w:val="32"/>
          <w:lang w:val="en-US" w:eastAsia="zh-CN"/>
        </w:rPr>
        <w:t>强化使命担当，要以坐不住的紧迫感.慢不得的危机感.等不起的责任感认真落实各项财政工作；</w:t>
      </w:r>
    </w:p>
    <w:p w14:paraId="1BDAB33E">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三是</w:t>
      </w:r>
      <w:r>
        <w:rPr>
          <w:rFonts w:hint="eastAsia" w:ascii="仿宋" w:hAnsi="仿宋" w:eastAsia="仿宋" w:cs="仿宋"/>
          <w:color w:val="auto"/>
          <w:kern w:val="0"/>
          <w:sz w:val="32"/>
          <w:szCs w:val="32"/>
          <w:lang w:val="en-US" w:eastAsia="zh-CN"/>
        </w:rPr>
        <w:t>牢固树立“事关群众无小事”的服务理念，对前来办事的群众，要热情接待、周到服务，多听取群众的诉求和意见，多向群众宣传惠民惠农政策和党的路线方针政策，增进干群关系，确实解决群众需求；</w:t>
      </w:r>
    </w:p>
    <w:p w14:paraId="233B1D49">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b/>
          <w:bCs/>
          <w:color w:val="auto"/>
          <w:kern w:val="0"/>
          <w:sz w:val="32"/>
          <w:szCs w:val="32"/>
          <w:lang w:val="en-US" w:eastAsia="zh-CN"/>
        </w:rPr>
        <w:t>四是</w:t>
      </w:r>
      <w:r>
        <w:rPr>
          <w:rFonts w:hint="eastAsia" w:ascii="仿宋" w:hAnsi="仿宋" w:eastAsia="仿宋" w:cs="仿宋"/>
          <w:color w:val="auto"/>
          <w:kern w:val="0"/>
          <w:sz w:val="32"/>
          <w:szCs w:val="32"/>
          <w:lang w:val="en-US" w:eastAsia="zh-CN"/>
        </w:rPr>
        <w:t>提升财政干部的精气神，发扬“冲冲冲”和“实干实效实在”的工作作风，推动财政工作抓在手上、落到实处、干出成效。</w:t>
      </w:r>
    </w:p>
    <w:p w14:paraId="5C8B36C6">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各位代表、同志们，越是艰难越向前。2025年财政形势会是艰难的一年，但不管多么艰难，我们都会主动抢抓机遇，积极作为。在乡党委的正确领导下，在乡人大、政协的监督支持下，攻坚克难，守正创新，奋力拼搏。</w:t>
      </w:r>
      <w:r>
        <w:rPr>
          <w:rFonts w:hint="default" w:ascii="仿宋" w:hAnsi="仿宋" w:eastAsia="仿宋" w:cs="仿宋"/>
          <w:color w:val="auto"/>
          <w:kern w:val="0"/>
          <w:sz w:val="32"/>
          <w:szCs w:val="32"/>
          <w:lang w:val="en-US" w:eastAsia="zh-CN"/>
        </w:rPr>
        <w:t>展望未来，我们将继续秉承“依法理财</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科学理财”的理念，不断优化财政管理机制，提升财政服务效能</w:t>
      </w:r>
      <w:r>
        <w:rPr>
          <w:rFonts w:hint="eastAsia" w:ascii="仿宋" w:hAnsi="仿宋" w:eastAsia="仿宋" w:cs="仿宋"/>
          <w:color w:val="auto"/>
          <w:kern w:val="0"/>
          <w:sz w:val="32"/>
          <w:szCs w:val="32"/>
          <w:lang w:val="en-US" w:eastAsia="zh-CN"/>
        </w:rPr>
        <w:t>，</w:t>
      </w:r>
      <w:r>
        <w:rPr>
          <w:rFonts w:hint="default" w:ascii="仿宋" w:hAnsi="仿宋" w:eastAsia="仿宋" w:cs="仿宋"/>
          <w:color w:val="auto"/>
          <w:kern w:val="0"/>
          <w:sz w:val="32"/>
          <w:szCs w:val="32"/>
          <w:lang w:val="en-US" w:eastAsia="zh-CN"/>
        </w:rPr>
        <w:t>为金薮乡的经济社会发展提供更加坚实的财政支撑。</w:t>
      </w:r>
      <w:bookmarkStart w:id="1" w:name="_GoBack"/>
      <w:bookmarkEnd w:id="1"/>
    </w:p>
    <w:p w14:paraId="4192EE23">
      <w:pPr>
        <w:keepNext w:val="0"/>
        <w:keepLines w:val="0"/>
        <w:pageBreakBefore w:val="0"/>
        <w:kinsoku/>
        <w:wordWrap/>
        <w:overflowPunct/>
        <w:topLinePunct w:val="0"/>
        <w:autoSpaceDE/>
        <w:bidi w:val="0"/>
        <w:adjustRightInd/>
        <w:snapToGrid/>
        <w:spacing w:line="560" w:lineRule="exact"/>
        <w:ind w:firstLine="640" w:firstLineChars="200"/>
        <w:jc w:val="left"/>
        <w:textAlignment w:val="auto"/>
        <w:rPr>
          <w:rFonts w:hint="default" w:ascii="仿宋" w:hAnsi="仿宋" w:eastAsia="仿宋" w:cs="仿宋"/>
          <w:color w:val="auto"/>
          <w:kern w:val="0"/>
          <w:sz w:val="32"/>
          <w:szCs w:val="32"/>
          <w:lang w:val="en-US" w:eastAsia="zh-CN"/>
        </w:rPr>
      </w:pPr>
    </w:p>
    <w:p w14:paraId="28F0A8DE">
      <w:pPr>
        <w:keepNext w:val="0"/>
        <w:keepLines w:val="0"/>
        <w:pageBreakBefore w:val="0"/>
        <w:shd w:val="clear"/>
        <w:kinsoku/>
        <w:wordWrap/>
        <w:overflowPunct/>
        <w:topLinePunct w:val="0"/>
        <w:autoSpaceDE/>
        <w:bidi w:val="0"/>
        <w:adjustRightInd/>
        <w:snapToGrid/>
        <w:ind w:firstLine="640" w:firstLineChars="200"/>
        <w:textAlignment w:val="auto"/>
        <w:rPr>
          <w:rFonts w:hint="eastAsia" w:ascii="仿宋" w:hAnsi="仿宋" w:eastAsia="仿宋" w:cs="仿宋"/>
          <w:color w:val="000000"/>
          <w:kern w:val="2"/>
          <w:sz w:val="32"/>
          <w:szCs w:val="32"/>
          <w:lang w:val="en-US" w:eastAsia="zh-CN" w:bidi="ar-SA"/>
        </w:rPr>
      </w:pPr>
    </w:p>
    <w:sectPr>
      <w:headerReference r:id="rId3" w:type="default"/>
      <w:footerReference r:id="rId4" w:type="default"/>
      <w:footerReference r:id="rId5" w:type="even"/>
      <w:pgSz w:w="11906" w:h="16838"/>
      <w:pgMar w:top="1440" w:right="1800" w:bottom="1440" w:left="16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22CF3">
    <w:pPr>
      <w:pStyle w:val="4"/>
      <w:framePr w:wrap="around" w:vAnchor="text" w:hAnchor="margin" w:xAlign="right" w:y="1"/>
      <w:rPr>
        <w:rStyle w:val="11"/>
      </w:rPr>
    </w:pPr>
    <w:r>
      <w:fldChar w:fldCharType="begin"/>
    </w:r>
    <w:r>
      <w:rPr>
        <w:rStyle w:val="11"/>
      </w:rPr>
      <w:instrText xml:space="preserve">PAGE  </w:instrText>
    </w:r>
    <w:r>
      <w:fldChar w:fldCharType="separate"/>
    </w:r>
    <w:r>
      <w:rPr>
        <w:rStyle w:val="11"/>
      </w:rPr>
      <w:t>6</w:t>
    </w:r>
    <w:r>
      <w:fldChar w:fldCharType="end"/>
    </w:r>
  </w:p>
  <w:p w14:paraId="6B42F2FE">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1FE25">
    <w:pPr>
      <w:pStyle w:val="4"/>
      <w:framePr w:wrap="around" w:vAnchor="text" w:hAnchor="margin" w:xAlign="right" w:y="1"/>
      <w:rPr>
        <w:rStyle w:val="11"/>
      </w:rPr>
    </w:pPr>
    <w:r>
      <w:fldChar w:fldCharType="begin"/>
    </w:r>
    <w:r>
      <w:rPr>
        <w:rStyle w:val="11"/>
      </w:rPr>
      <w:instrText xml:space="preserve">PAGE  </w:instrText>
    </w:r>
    <w:r>
      <w:fldChar w:fldCharType="end"/>
    </w:r>
  </w:p>
  <w:p w14:paraId="35BA29CB">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BEF07">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B57EBC"/>
    <w:rsid w:val="0A424F95"/>
    <w:rsid w:val="0AB57EBC"/>
    <w:rsid w:val="12861147"/>
    <w:rsid w:val="13386121"/>
    <w:rsid w:val="1A6751A7"/>
    <w:rsid w:val="1CB1586D"/>
    <w:rsid w:val="21F72C1C"/>
    <w:rsid w:val="23776D0C"/>
    <w:rsid w:val="540135DE"/>
    <w:rsid w:val="6153449B"/>
    <w:rsid w:val="62297E0B"/>
    <w:rsid w:val="6834033A"/>
    <w:rsid w:val="6F6530A7"/>
    <w:rsid w:val="70651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semiHidden/>
    <w:unhideWhenUsed/>
    <w:qFormat/>
    <w:uiPriority w:val="99"/>
    <w:pPr>
      <w:spacing w:after="120"/>
      <w:ind w:left="420" w:leftChars="200"/>
    </w:pPr>
  </w:style>
  <w:style w:type="paragraph" w:styleId="3">
    <w:name w:val="Body Text Indent 2"/>
    <w:basedOn w:val="1"/>
    <w:next w:val="1"/>
    <w:qFormat/>
    <w:uiPriority w:val="0"/>
    <w:pPr>
      <w:widowControl w:val="0"/>
      <w:spacing w:afterLines="100" w:line="300" w:lineRule="auto"/>
      <w:ind w:firstLine="420" w:firstLineChars="200"/>
      <w:jc w:val="both"/>
    </w:pPr>
    <w:rPr>
      <w:rFonts w:ascii="Arial" w:hAnsi="Arial" w:eastAsia="黑体" w:cs="Times New Roman"/>
      <w:b/>
      <w:bCs/>
      <w:kern w:val="2"/>
      <w:sz w:val="44"/>
      <w:szCs w:val="20"/>
      <w:lang w:val="en-US" w:eastAsia="zh-CN" w:bidi="ar-SA"/>
    </w:rPr>
  </w:style>
  <w:style w:type="paragraph" w:styleId="4">
    <w:name w:val="footer"/>
    <w:basedOn w:val="1"/>
    <w:unhideWhenUsed/>
    <w:uiPriority w:val="0"/>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7">
    <w:name w:val="Body Text First Indent 2"/>
    <w:basedOn w:val="2"/>
    <w:next w:val="1"/>
    <w:semiHidden/>
    <w:unhideWhenUsed/>
    <w:qFormat/>
    <w:uiPriority w:val="99"/>
    <w:pPr>
      <w:ind w:firstLine="420" w:firstLineChars="200"/>
    </w:pPr>
  </w:style>
  <w:style w:type="character" w:styleId="10">
    <w:name w:val="Strong"/>
    <w:basedOn w:val="9"/>
    <w:qFormat/>
    <w:uiPriority w:val="0"/>
    <w:rPr>
      <w:b/>
    </w:rPr>
  </w:style>
  <w:style w:type="character" w:styleId="11">
    <w:name w:val="page number"/>
    <w:basedOn w:val="9"/>
    <w:qFormat/>
    <w:uiPriority w:val="0"/>
  </w:style>
  <w:style w:type="character" w:customStyle="1" w:styleId="12">
    <w:name w:val="NormalCharacter"/>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Clarity">
      <a:dk1>
        <a:srgbClr val="292934"/>
      </a:dk1>
      <a:lt1>
        <a:srgbClr val="FFFFFF"/>
      </a:lt1>
      <a:dk2>
        <a:srgbClr val="D2533C"/>
      </a:dk2>
      <a:lt2>
        <a:srgbClr val="F3F2DC"/>
      </a:lt2>
      <a:accent1>
        <a:srgbClr val="93A299"/>
      </a:accent1>
      <a:accent2>
        <a:srgbClr val="AD8F67"/>
      </a:accent2>
      <a:accent3>
        <a:srgbClr val="726056"/>
      </a:accent3>
      <a:accent4>
        <a:srgbClr val="4C5A6A"/>
      </a:accent4>
      <a:accent5>
        <a:srgbClr val="808DA0"/>
      </a:accent5>
      <a:accent6>
        <a:srgbClr val="79463D"/>
      </a:accent6>
      <a:hlink>
        <a:srgbClr val="0000FF"/>
      </a:hlink>
      <a:folHlink>
        <a:srgbClr val="800080"/>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5850</Words>
  <Characters>6472</Characters>
  <Lines>0</Lines>
  <Paragraphs>0</Paragraphs>
  <TotalTime>19</TotalTime>
  <ScaleCrop>false</ScaleCrop>
  <LinksUpToDate>false</LinksUpToDate>
  <CharactersWithSpaces>7900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2025-04-17T00:58:00Z</dcterms:created>
  <dc:creator>WPS_1700192703</dc:creator>
  <cp:lastModifiedBy>WPS_1700192703</cp:lastModifiedBy>
  <cp:lastPrinted>2025-04-28T09:44:00Z</cp:lastPrinted>
  <dcterms:modified xsi:type="dcterms:W3CDTF">2025-04-30T01:02:15Z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522AA0935C084E17AD5906780FC489C7_13</vt:lpwstr>
  </property>
  <property fmtid="{D5CDD505-2E9C-101B-9397-08002B2CF9AE}" pid="4" name="KSOTemplateDocerSaveRecord">
    <vt:lpwstr>eyJoZGlkIjoiZTRjY2NhZTRmZmY4YzAzNzdjYjU0NzBhODYxNmY1NTkiLCJ1c2VySWQiOiIxNTU4MzM4MzEyIn0=</vt:lpwstr>
  </property>
</Properties>
</file>