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B895E0">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湘乡市城市管理和综合执法局重大执法决定法制审核目录清单</w:t>
      </w:r>
    </w:p>
    <w:p w14:paraId="24FB2EBD">
      <w:pPr>
        <w:jc w:val="both"/>
        <w:rPr>
          <w:rFonts w:hint="eastAsia" w:ascii="方正小标宋_GBK" w:hAnsi="方正小标宋_GBK" w:eastAsia="方正小标宋_GBK" w:cs="方正小标宋_GBK"/>
          <w:sz w:val="28"/>
          <w:szCs w:val="28"/>
          <w:lang w:val="en-US" w:eastAsia="zh-CN"/>
        </w:rPr>
      </w:pPr>
    </w:p>
    <w:tbl>
      <w:tblPr>
        <w:tblStyle w:val="3"/>
        <w:tblW w:w="147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827"/>
        <w:gridCol w:w="3813"/>
        <w:gridCol w:w="1973"/>
        <w:gridCol w:w="894"/>
        <w:gridCol w:w="1666"/>
        <w:gridCol w:w="3760"/>
        <w:gridCol w:w="880"/>
      </w:tblGrid>
      <w:tr w14:paraId="728DB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893" w:type="dxa"/>
          </w:tcPr>
          <w:p w14:paraId="6B08AB41">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序号</w:t>
            </w:r>
          </w:p>
        </w:tc>
        <w:tc>
          <w:tcPr>
            <w:tcW w:w="827" w:type="dxa"/>
            <w:vAlign w:val="top"/>
          </w:tcPr>
          <w:p w14:paraId="310C2E64">
            <w:pPr>
              <w:jc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b/>
                <w:bCs/>
                <w:sz w:val="24"/>
                <w:szCs w:val="24"/>
                <w:vertAlign w:val="baseline"/>
                <w:lang w:val="en-US" w:eastAsia="zh-CN"/>
              </w:rPr>
              <w:t>类型</w:t>
            </w:r>
          </w:p>
        </w:tc>
        <w:tc>
          <w:tcPr>
            <w:tcW w:w="3813" w:type="dxa"/>
            <w:vAlign w:val="top"/>
          </w:tcPr>
          <w:p w14:paraId="7C1C04E0">
            <w:pPr>
              <w:jc w:val="center"/>
              <w:rPr>
                <w:rFonts w:hint="default" w:ascii="宋体" w:hAnsi="宋体" w:eastAsia="宋体" w:cs="宋体"/>
                <w:b/>
                <w:bCs/>
                <w:kern w:val="2"/>
                <w:sz w:val="24"/>
                <w:szCs w:val="24"/>
                <w:vertAlign w:val="baseline"/>
                <w:lang w:val="en-US" w:eastAsia="zh-CN" w:bidi="ar-SA"/>
              </w:rPr>
            </w:pPr>
            <w:r>
              <w:rPr>
                <w:rFonts w:hint="eastAsia" w:ascii="宋体" w:hAnsi="宋体" w:eastAsia="宋体" w:cs="宋体"/>
                <w:b/>
                <w:bCs/>
                <w:sz w:val="24"/>
                <w:szCs w:val="24"/>
                <w:vertAlign w:val="baseline"/>
                <w:lang w:val="en-US" w:eastAsia="zh-CN"/>
              </w:rPr>
              <w:t>法制审核事项名称</w:t>
            </w:r>
          </w:p>
        </w:tc>
        <w:tc>
          <w:tcPr>
            <w:tcW w:w="1973" w:type="dxa"/>
          </w:tcPr>
          <w:p w14:paraId="7D087DC7">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审核依据</w:t>
            </w:r>
          </w:p>
        </w:tc>
        <w:tc>
          <w:tcPr>
            <w:tcW w:w="894" w:type="dxa"/>
          </w:tcPr>
          <w:p w14:paraId="19669E33">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提交部门</w:t>
            </w:r>
          </w:p>
        </w:tc>
        <w:tc>
          <w:tcPr>
            <w:tcW w:w="1666" w:type="dxa"/>
          </w:tcPr>
          <w:p w14:paraId="07484CE9">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应提交的材料</w:t>
            </w:r>
          </w:p>
        </w:tc>
        <w:tc>
          <w:tcPr>
            <w:tcW w:w="3760" w:type="dxa"/>
          </w:tcPr>
          <w:p w14:paraId="0D90F73D">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审核内容</w:t>
            </w:r>
          </w:p>
        </w:tc>
        <w:tc>
          <w:tcPr>
            <w:tcW w:w="880" w:type="dxa"/>
          </w:tcPr>
          <w:p w14:paraId="7EC88CCC">
            <w:p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审核期限</w:t>
            </w:r>
          </w:p>
        </w:tc>
      </w:tr>
      <w:tr w14:paraId="7C37C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vMerge w:val="restart"/>
          </w:tcPr>
          <w:p w14:paraId="05B1F6B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52901FE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heme="minorHAnsi" w:hAnsiTheme="minorHAnsi" w:eastAsiaTheme="minorEastAsia" w:cstheme="minorBidi"/>
                <w:kern w:val="2"/>
                <w:sz w:val="24"/>
                <w:szCs w:val="24"/>
                <w:lang w:val="en-US" w:eastAsia="zh-CN" w:bidi="ar-SA"/>
              </w:rPr>
            </w:pPr>
          </w:p>
          <w:p w14:paraId="284E873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4"/>
                <w:szCs w:val="24"/>
                <w:lang w:val="en-US" w:eastAsia="zh-CN"/>
              </w:rPr>
            </w:pPr>
          </w:p>
          <w:p w14:paraId="25BD9DE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4"/>
                <w:szCs w:val="24"/>
                <w:lang w:val="en-US" w:eastAsia="zh-CN"/>
              </w:rPr>
            </w:pPr>
          </w:p>
          <w:p w14:paraId="4EE3EF7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4"/>
                <w:szCs w:val="24"/>
                <w:lang w:val="en-US" w:eastAsia="zh-CN"/>
              </w:rPr>
            </w:pPr>
          </w:p>
          <w:p w14:paraId="51F84D4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4"/>
                <w:szCs w:val="24"/>
                <w:lang w:val="en-US" w:eastAsia="zh-CN"/>
              </w:rPr>
            </w:pPr>
          </w:p>
          <w:p w14:paraId="24E2EC2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sz w:val="24"/>
                <w:szCs w:val="24"/>
                <w:lang w:val="en-US" w:eastAsia="zh-CN"/>
              </w:rPr>
            </w:pPr>
          </w:p>
          <w:p w14:paraId="4408A6B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sz w:val="24"/>
                <w:szCs w:val="24"/>
                <w:lang w:val="en-US" w:eastAsia="zh-CN"/>
              </w:rPr>
            </w:pPr>
            <w:r>
              <w:rPr>
                <w:rFonts w:hint="eastAsia" w:ascii="宋体" w:hAnsi="宋体" w:eastAsia="宋体" w:cs="宋体"/>
                <w:b/>
                <w:bCs/>
                <w:sz w:val="24"/>
                <w:szCs w:val="24"/>
                <w:vertAlign w:val="baseline"/>
                <w:lang w:val="en-US" w:eastAsia="zh-CN"/>
              </w:rPr>
              <w:t>1</w:t>
            </w:r>
          </w:p>
        </w:tc>
        <w:tc>
          <w:tcPr>
            <w:tcW w:w="827" w:type="dxa"/>
            <w:vMerge w:val="restart"/>
            <w:vAlign w:val="top"/>
          </w:tcPr>
          <w:p w14:paraId="31F7AF3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77ED9FF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5E3C1F4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0A7D8A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6502BFB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2D3EF29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165BF20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1A899D4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行</w:t>
            </w:r>
          </w:p>
          <w:p w14:paraId="6BCEDD0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政</w:t>
            </w:r>
          </w:p>
          <w:p w14:paraId="1F61B0F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处</w:t>
            </w:r>
          </w:p>
          <w:p w14:paraId="5AF2905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罚</w:t>
            </w:r>
          </w:p>
          <w:p w14:paraId="4C102C9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kern w:val="2"/>
                <w:sz w:val="24"/>
                <w:szCs w:val="24"/>
                <w:vertAlign w:val="baseline"/>
                <w:lang w:val="en-US" w:eastAsia="zh-CN" w:bidi="ar-SA"/>
              </w:rPr>
            </w:pPr>
          </w:p>
        </w:tc>
        <w:tc>
          <w:tcPr>
            <w:tcW w:w="3813" w:type="dxa"/>
            <w:vAlign w:val="top"/>
          </w:tcPr>
          <w:p w14:paraId="0E7A8E9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责令停产停业的</w:t>
            </w:r>
          </w:p>
        </w:tc>
        <w:tc>
          <w:tcPr>
            <w:tcW w:w="1973" w:type="dxa"/>
            <w:vMerge w:val="restart"/>
          </w:tcPr>
          <w:p w14:paraId="47708515">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方正仿宋_GBK" w:hAnsi="方正仿宋_GBK" w:eastAsia="方正仿宋_GBK" w:cs="方正仿宋_GBK"/>
                <w:i w:val="0"/>
                <w:caps w:val="0"/>
                <w:color w:val="auto"/>
                <w:spacing w:val="0"/>
                <w:sz w:val="24"/>
                <w:szCs w:val="24"/>
                <w:shd w:val="clear" w:fill="FFFFFF"/>
              </w:rPr>
            </w:pPr>
          </w:p>
          <w:p w14:paraId="3AF34B7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040FF12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5883D13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《行政处罚法》第五十八条</w:t>
            </w:r>
          </w:p>
        </w:tc>
        <w:tc>
          <w:tcPr>
            <w:tcW w:w="894" w:type="dxa"/>
            <w:vMerge w:val="restart"/>
          </w:tcPr>
          <w:p w14:paraId="4635169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4CFC4F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3002AF1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0660BAA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1A78C88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0B870D7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16F9A01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67C8CC4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2447BA1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r>
              <w:rPr>
                <w:rFonts w:hint="eastAsia" w:ascii="方正仿宋_GBK" w:hAnsi="方正仿宋_GBK" w:eastAsia="方正仿宋_GBK" w:cs="方正仿宋_GBK"/>
                <w:i w:val="0"/>
                <w:caps w:val="0"/>
                <w:color w:val="auto"/>
                <w:spacing w:val="0"/>
                <w:sz w:val="24"/>
                <w:szCs w:val="24"/>
                <w:shd w:val="clear" w:fill="FFFFFF"/>
                <w:lang w:val="en-US" w:eastAsia="zh-CN"/>
              </w:rPr>
              <w:t>执法办案</w:t>
            </w:r>
          </w:p>
          <w:p w14:paraId="18A4D9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方正仿宋_GBK" w:hAnsi="方正仿宋_GBK" w:eastAsia="方正仿宋_GBK" w:cs="方正仿宋_GBK"/>
                <w:i w:val="0"/>
                <w:caps w:val="0"/>
                <w:color w:val="auto"/>
                <w:spacing w:val="0"/>
                <w:sz w:val="24"/>
                <w:szCs w:val="24"/>
                <w:shd w:val="clear" w:fill="FFFFFF"/>
                <w:lang w:val="en-US" w:eastAsia="zh-CN"/>
              </w:rPr>
            </w:pPr>
            <w:r>
              <w:rPr>
                <w:rFonts w:hint="eastAsia" w:ascii="方正仿宋_GBK" w:hAnsi="方正仿宋_GBK" w:eastAsia="方正仿宋_GBK" w:cs="方正仿宋_GBK"/>
                <w:i w:val="0"/>
                <w:caps w:val="0"/>
                <w:color w:val="auto"/>
                <w:spacing w:val="0"/>
                <w:sz w:val="24"/>
                <w:szCs w:val="24"/>
                <w:shd w:val="clear" w:fill="FFFFFF"/>
                <w:lang w:val="en-US" w:eastAsia="zh-CN"/>
              </w:rPr>
              <w:t>机构</w:t>
            </w:r>
          </w:p>
        </w:tc>
        <w:tc>
          <w:tcPr>
            <w:tcW w:w="1666" w:type="dxa"/>
            <w:vMerge w:val="restart"/>
          </w:tcPr>
          <w:p w14:paraId="7055139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56A68AD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230BB18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513EC05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040609D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5404F3D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5C61816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23025C2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2D05124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调查终结报告、案件相关材料</w:t>
            </w:r>
          </w:p>
        </w:tc>
        <w:tc>
          <w:tcPr>
            <w:tcW w:w="3760" w:type="dxa"/>
            <w:vMerge w:val="restart"/>
          </w:tcPr>
          <w:p w14:paraId="257DCEF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 xml:space="preserve">（一）行政执法机关主体是否合法，行政执法人员是否具备执法资格；          </w:t>
            </w:r>
          </w:p>
          <w:p w14:paraId="1BF6CA1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（二）是否超越本机关法定权限；</w:t>
            </w:r>
          </w:p>
          <w:p w14:paraId="1D773EE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（三）案件事实是否清楚，证据是否合法充分 ；</w:t>
            </w:r>
          </w:p>
          <w:p w14:paraId="4601224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 xml:space="preserve">（四）适用法律、法规、规章是否准确，裁量基准运用是否适当；               </w:t>
            </w:r>
          </w:p>
          <w:p w14:paraId="087EE66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（五）行政执法程序是否合法；</w:t>
            </w:r>
          </w:p>
          <w:p w14:paraId="70D4CE7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 xml:space="preserve">（六）行政执法文书是否完备、规范；    </w:t>
            </w:r>
          </w:p>
          <w:p w14:paraId="1DCE580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 xml:space="preserve">（七）违法行为是否涉嫌犯罪需要移送司法机关； </w:t>
            </w:r>
          </w:p>
          <w:p w14:paraId="288A754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（八）法律法规规定应当审核的其他内容。</w:t>
            </w:r>
          </w:p>
        </w:tc>
        <w:tc>
          <w:tcPr>
            <w:tcW w:w="880" w:type="dxa"/>
            <w:vMerge w:val="restart"/>
          </w:tcPr>
          <w:p w14:paraId="0A636A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500CF54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21D342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32B00D99">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方正仿宋_GBK" w:hAnsi="方正仿宋_GBK" w:eastAsia="方正仿宋_GBK" w:cs="方正仿宋_GBK"/>
                <w:i w:val="0"/>
                <w:caps w:val="0"/>
                <w:color w:val="auto"/>
                <w:spacing w:val="0"/>
                <w:sz w:val="24"/>
                <w:szCs w:val="24"/>
                <w:shd w:val="clear" w:fill="FFFFFF"/>
              </w:rPr>
            </w:pPr>
          </w:p>
          <w:p w14:paraId="0475539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收到审核材料之日起10日内完成审核</w:t>
            </w:r>
          </w:p>
        </w:tc>
      </w:tr>
      <w:tr w14:paraId="7499F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vMerge w:val="continue"/>
          </w:tcPr>
          <w:p w14:paraId="0D781FA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2B463C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kern w:val="2"/>
                <w:sz w:val="24"/>
                <w:szCs w:val="24"/>
                <w:vertAlign w:val="baseline"/>
                <w:lang w:val="en-US" w:eastAsia="zh-CN" w:bidi="ar-SA"/>
              </w:rPr>
            </w:pPr>
          </w:p>
        </w:tc>
        <w:tc>
          <w:tcPr>
            <w:tcW w:w="3813" w:type="dxa"/>
            <w:vAlign w:val="top"/>
          </w:tcPr>
          <w:p w14:paraId="72AA074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拟作出给予吊销许可证</w:t>
            </w:r>
          </w:p>
        </w:tc>
        <w:tc>
          <w:tcPr>
            <w:tcW w:w="1973" w:type="dxa"/>
            <w:vMerge w:val="continue"/>
          </w:tcPr>
          <w:p w14:paraId="62794B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94" w:type="dxa"/>
            <w:vMerge w:val="continue"/>
          </w:tcPr>
          <w:p w14:paraId="040176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6AB70E5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7A35095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69C7EA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18608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vMerge w:val="continue"/>
          </w:tcPr>
          <w:p w14:paraId="1F3C665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01BA310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kern w:val="2"/>
                <w:sz w:val="24"/>
                <w:szCs w:val="24"/>
                <w:vertAlign w:val="baseline"/>
                <w:lang w:val="en-US" w:eastAsia="zh-CN" w:bidi="ar-SA"/>
              </w:rPr>
            </w:pPr>
          </w:p>
        </w:tc>
        <w:tc>
          <w:tcPr>
            <w:tcW w:w="3813" w:type="dxa"/>
            <w:vAlign w:val="top"/>
          </w:tcPr>
          <w:p w14:paraId="29E796B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对公民</w:t>
            </w:r>
            <w:r>
              <w:rPr>
                <w:rFonts w:hint="eastAsia" w:ascii="方正仿宋_GBK" w:hAnsi="方正仿宋_GBK" w:eastAsia="方正仿宋_GBK" w:cs="方正仿宋_GBK"/>
                <w:i w:val="0"/>
                <w:caps w:val="0"/>
                <w:color w:val="auto"/>
                <w:spacing w:val="0"/>
                <w:sz w:val="24"/>
                <w:szCs w:val="24"/>
                <w:shd w:val="clear" w:fill="FFFFFF"/>
                <w:lang w:eastAsia="zh-CN"/>
              </w:rPr>
              <w:t>处</w:t>
            </w:r>
            <w:r>
              <w:rPr>
                <w:rFonts w:hint="eastAsia" w:ascii="方正仿宋_GBK" w:hAnsi="方正仿宋_GBK" w:eastAsia="方正仿宋_GBK" w:cs="方正仿宋_GBK"/>
                <w:i w:val="0"/>
                <w:caps w:val="0"/>
                <w:color w:val="auto"/>
                <w:spacing w:val="0"/>
                <w:sz w:val="24"/>
                <w:szCs w:val="24"/>
                <w:shd w:val="clear" w:fill="FFFFFF"/>
                <w:lang w:val="en-US" w:eastAsia="zh-CN"/>
              </w:rPr>
              <w:t>5000元以上</w:t>
            </w:r>
            <w:r>
              <w:rPr>
                <w:rFonts w:hint="eastAsia" w:ascii="方正仿宋_GBK" w:hAnsi="方正仿宋_GBK" w:eastAsia="方正仿宋_GBK" w:cs="方正仿宋_GBK"/>
                <w:i w:val="0"/>
                <w:caps w:val="0"/>
                <w:color w:val="auto"/>
                <w:spacing w:val="0"/>
                <w:sz w:val="24"/>
                <w:szCs w:val="24"/>
                <w:shd w:val="clear" w:fill="FFFFFF"/>
              </w:rPr>
              <w:t>、法人和其他组织处</w:t>
            </w:r>
            <w:r>
              <w:rPr>
                <w:rFonts w:hint="eastAsia" w:ascii="方正仿宋_GBK" w:hAnsi="方正仿宋_GBK" w:eastAsia="方正仿宋_GBK" w:cs="方正仿宋_GBK"/>
                <w:i w:val="0"/>
                <w:caps w:val="0"/>
                <w:color w:val="auto"/>
                <w:spacing w:val="0"/>
                <w:sz w:val="24"/>
                <w:szCs w:val="24"/>
                <w:shd w:val="clear" w:fill="FFFFFF"/>
                <w:lang w:val="en-US" w:eastAsia="zh-CN"/>
              </w:rPr>
              <w:t>5</w:t>
            </w:r>
            <w:bookmarkStart w:id="0" w:name="_GoBack"/>
            <w:bookmarkEnd w:id="0"/>
            <w:r>
              <w:rPr>
                <w:rFonts w:hint="eastAsia" w:ascii="方正仿宋_GBK" w:hAnsi="方正仿宋_GBK" w:eastAsia="方正仿宋_GBK" w:cs="方正仿宋_GBK"/>
                <w:i w:val="0"/>
                <w:caps w:val="0"/>
                <w:color w:val="auto"/>
                <w:spacing w:val="0"/>
                <w:sz w:val="24"/>
                <w:szCs w:val="24"/>
                <w:shd w:val="clear" w:fill="FFFFFF"/>
                <w:lang w:val="en-US" w:eastAsia="zh-CN"/>
              </w:rPr>
              <w:t>万元以上</w:t>
            </w:r>
            <w:r>
              <w:rPr>
                <w:rFonts w:hint="eastAsia" w:ascii="方正仿宋_GBK" w:hAnsi="方正仿宋_GBK" w:eastAsia="方正仿宋_GBK" w:cs="方正仿宋_GBK"/>
                <w:i w:val="0"/>
                <w:caps w:val="0"/>
                <w:color w:val="auto"/>
                <w:spacing w:val="0"/>
                <w:sz w:val="24"/>
                <w:szCs w:val="24"/>
                <w:shd w:val="clear" w:fill="FFFFFF"/>
              </w:rPr>
              <w:t>罚款</w:t>
            </w:r>
            <w:r>
              <w:rPr>
                <w:rFonts w:hint="eastAsia" w:ascii="方正仿宋_GBK" w:hAnsi="方正仿宋_GBK" w:eastAsia="方正仿宋_GBK" w:cs="方正仿宋_GBK"/>
                <w:i w:val="0"/>
                <w:caps w:val="0"/>
                <w:color w:val="auto"/>
                <w:spacing w:val="0"/>
                <w:sz w:val="24"/>
                <w:szCs w:val="24"/>
                <w:shd w:val="clear" w:fill="FFFFFF"/>
                <w:lang w:eastAsia="zh-CN"/>
              </w:rPr>
              <w:t>或者没收相当于该金额财务或者两项合计达到该扼紧的行政处罚行为；</w:t>
            </w:r>
            <w:r>
              <w:rPr>
                <w:rFonts w:hint="eastAsia" w:ascii="方正仿宋_GBK" w:hAnsi="方正仿宋_GBK" w:eastAsia="方正仿宋_GBK" w:cs="方正仿宋_GBK"/>
                <w:i w:val="0"/>
                <w:caps w:val="0"/>
                <w:color w:val="auto"/>
                <w:spacing w:val="0"/>
                <w:sz w:val="24"/>
                <w:szCs w:val="24"/>
                <w:shd w:val="clear" w:fill="FFFFFF"/>
              </w:rPr>
              <w:t>没收或者拆除建（构）筑物的决定</w:t>
            </w:r>
          </w:p>
        </w:tc>
        <w:tc>
          <w:tcPr>
            <w:tcW w:w="1973" w:type="dxa"/>
            <w:vMerge w:val="continue"/>
          </w:tcPr>
          <w:p w14:paraId="0837009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94" w:type="dxa"/>
            <w:vMerge w:val="continue"/>
          </w:tcPr>
          <w:p w14:paraId="2F55B5A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7E9FC5C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3D3A9BC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7D3D310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61620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vMerge w:val="continue"/>
          </w:tcPr>
          <w:p w14:paraId="5616F21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7F48FA6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kern w:val="2"/>
                <w:sz w:val="24"/>
                <w:szCs w:val="24"/>
                <w:vertAlign w:val="baseline"/>
                <w:lang w:val="en-US" w:eastAsia="zh-CN" w:bidi="ar-SA"/>
              </w:rPr>
            </w:pPr>
          </w:p>
        </w:tc>
        <w:tc>
          <w:tcPr>
            <w:tcW w:w="3813" w:type="dxa"/>
            <w:vAlign w:val="top"/>
          </w:tcPr>
          <w:p w14:paraId="43E6472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拟作出的其他重大、复杂、疑难的行政处罚决定</w:t>
            </w:r>
          </w:p>
        </w:tc>
        <w:tc>
          <w:tcPr>
            <w:tcW w:w="1973" w:type="dxa"/>
            <w:vMerge w:val="continue"/>
          </w:tcPr>
          <w:p w14:paraId="27600DA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94" w:type="dxa"/>
            <w:vMerge w:val="continue"/>
          </w:tcPr>
          <w:p w14:paraId="2FA1910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5BD5B9F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7034513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6A7954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03CF5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893" w:type="dxa"/>
            <w:vMerge w:val="continue"/>
          </w:tcPr>
          <w:p w14:paraId="39AB78E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7299E05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kern w:val="2"/>
                <w:sz w:val="24"/>
                <w:szCs w:val="24"/>
                <w:vertAlign w:val="baseline"/>
                <w:lang w:val="en-US" w:eastAsia="zh-CN" w:bidi="ar-SA"/>
              </w:rPr>
            </w:pPr>
          </w:p>
        </w:tc>
        <w:tc>
          <w:tcPr>
            <w:tcW w:w="3813" w:type="dxa"/>
            <w:vAlign w:val="top"/>
          </w:tcPr>
          <w:p w14:paraId="1C95005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kern w:val="2"/>
                <w:sz w:val="24"/>
                <w:szCs w:val="24"/>
                <w:vertAlign w:val="baseline"/>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依法应当给予行政</w:t>
            </w:r>
            <w:r>
              <w:rPr>
                <w:rFonts w:hint="eastAsia" w:ascii="方正仿宋_GBK" w:hAnsi="方正仿宋_GBK" w:eastAsia="方正仿宋_GBK" w:cs="方正仿宋_GBK"/>
                <w:i w:val="0"/>
                <w:caps w:val="0"/>
                <w:color w:val="auto"/>
                <w:spacing w:val="0"/>
                <w:sz w:val="24"/>
                <w:szCs w:val="24"/>
                <w:shd w:val="clear" w:fill="FFFFFF"/>
                <w:lang w:val="en-US" w:eastAsia="zh-CN"/>
              </w:rPr>
              <w:t>处罚</w:t>
            </w:r>
            <w:r>
              <w:rPr>
                <w:rFonts w:hint="eastAsia" w:ascii="方正仿宋_GBK" w:hAnsi="方正仿宋_GBK" w:eastAsia="方正仿宋_GBK" w:cs="方正仿宋_GBK"/>
                <w:i w:val="0"/>
                <w:caps w:val="0"/>
                <w:color w:val="auto"/>
                <w:spacing w:val="0"/>
                <w:sz w:val="24"/>
                <w:szCs w:val="24"/>
                <w:shd w:val="clear" w:fill="FFFFFF"/>
              </w:rPr>
              <w:t>需要将案件材料移送的</w:t>
            </w:r>
          </w:p>
        </w:tc>
        <w:tc>
          <w:tcPr>
            <w:tcW w:w="1973" w:type="dxa"/>
            <w:vMerge w:val="restart"/>
          </w:tcPr>
          <w:p w14:paraId="68C58DB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01DF2FD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《行政处罚法》第</w:t>
            </w:r>
            <w:r>
              <w:rPr>
                <w:rFonts w:hint="eastAsia" w:ascii="方正仿宋_GBK" w:hAnsi="方正仿宋_GBK" w:eastAsia="方正仿宋_GBK" w:cs="方正仿宋_GBK"/>
                <w:i w:val="0"/>
                <w:caps w:val="0"/>
                <w:color w:val="auto"/>
                <w:spacing w:val="0"/>
                <w:sz w:val="24"/>
                <w:szCs w:val="24"/>
                <w:shd w:val="clear" w:fill="FFFFFF"/>
                <w:lang w:val="en-US" w:eastAsia="zh-CN"/>
              </w:rPr>
              <w:t>二十七</w:t>
            </w:r>
            <w:r>
              <w:rPr>
                <w:rFonts w:hint="eastAsia" w:ascii="方正仿宋_GBK" w:hAnsi="方正仿宋_GBK" w:eastAsia="方正仿宋_GBK" w:cs="方正仿宋_GBK"/>
                <w:i w:val="0"/>
                <w:caps w:val="0"/>
                <w:color w:val="auto"/>
                <w:spacing w:val="0"/>
                <w:sz w:val="24"/>
                <w:szCs w:val="24"/>
                <w:shd w:val="clear" w:fill="FFFFFF"/>
              </w:rPr>
              <w:t>条</w:t>
            </w:r>
          </w:p>
        </w:tc>
        <w:tc>
          <w:tcPr>
            <w:tcW w:w="894" w:type="dxa"/>
            <w:vMerge w:val="continue"/>
          </w:tcPr>
          <w:p w14:paraId="0B63183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716AEA2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569DEB3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1A74D6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1EA9D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93" w:type="dxa"/>
            <w:vMerge w:val="continue"/>
          </w:tcPr>
          <w:p w14:paraId="6CBA327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27C3BC9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kern w:val="2"/>
                <w:sz w:val="24"/>
                <w:szCs w:val="24"/>
                <w:vertAlign w:val="baseline"/>
                <w:lang w:val="en-US" w:eastAsia="zh-CN" w:bidi="ar-SA"/>
              </w:rPr>
            </w:pPr>
          </w:p>
        </w:tc>
        <w:tc>
          <w:tcPr>
            <w:tcW w:w="3813" w:type="dxa"/>
            <w:vAlign w:val="top"/>
          </w:tcPr>
          <w:p w14:paraId="4DF4555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kern w:val="2"/>
                <w:sz w:val="24"/>
                <w:szCs w:val="24"/>
                <w:shd w:val="clear" w:fill="FFFFFF"/>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涉嫌犯罪需要移送的</w:t>
            </w:r>
          </w:p>
        </w:tc>
        <w:tc>
          <w:tcPr>
            <w:tcW w:w="1973" w:type="dxa"/>
            <w:vMerge w:val="continue"/>
          </w:tcPr>
          <w:p w14:paraId="13DB557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94" w:type="dxa"/>
            <w:vMerge w:val="continue"/>
          </w:tcPr>
          <w:p w14:paraId="50B7C4D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5E91523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66388FD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0B80E59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3CA5E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vMerge w:val="continue"/>
          </w:tcPr>
          <w:p w14:paraId="156697A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48160D6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kern w:val="2"/>
                <w:sz w:val="24"/>
                <w:szCs w:val="24"/>
                <w:vertAlign w:val="baseline"/>
                <w:lang w:val="en-US" w:eastAsia="zh-CN" w:bidi="ar-SA"/>
              </w:rPr>
            </w:pPr>
          </w:p>
        </w:tc>
        <w:tc>
          <w:tcPr>
            <w:tcW w:w="3813" w:type="dxa"/>
            <w:vAlign w:val="top"/>
          </w:tcPr>
          <w:p w14:paraId="2DE6ADD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kern w:val="2"/>
                <w:sz w:val="24"/>
                <w:szCs w:val="24"/>
                <w:shd w:val="clear" w:fill="FFFFFF"/>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拟作出不予行政处罚、减轻行政处罚、从轻行政处罚和从重行政处罚的</w:t>
            </w:r>
          </w:p>
        </w:tc>
        <w:tc>
          <w:tcPr>
            <w:tcW w:w="1973" w:type="dxa"/>
          </w:tcPr>
          <w:p w14:paraId="052B49D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《行政处罚法》第三十二条、第三十三条</w:t>
            </w:r>
          </w:p>
        </w:tc>
        <w:tc>
          <w:tcPr>
            <w:tcW w:w="894" w:type="dxa"/>
            <w:vMerge w:val="continue"/>
          </w:tcPr>
          <w:p w14:paraId="5400838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0E9371E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086AABD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220BD32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586BF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93" w:type="dxa"/>
            <w:vMerge w:val="restart"/>
          </w:tcPr>
          <w:p w14:paraId="29DF2A3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1E624F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746D5A0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1BBF32A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r>
              <w:rPr>
                <w:rFonts w:hint="eastAsia" w:ascii="宋体" w:hAnsi="宋体" w:eastAsia="宋体" w:cs="宋体"/>
                <w:b/>
                <w:bCs/>
                <w:sz w:val="24"/>
                <w:szCs w:val="24"/>
                <w:vertAlign w:val="baseline"/>
                <w:lang w:val="en-US" w:eastAsia="zh-CN"/>
              </w:rPr>
              <w:t>2</w:t>
            </w:r>
          </w:p>
        </w:tc>
        <w:tc>
          <w:tcPr>
            <w:tcW w:w="827" w:type="dxa"/>
            <w:vMerge w:val="restart"/>
            <w:vAlign w:val="top"/>
          </w:tcPr>
          <w:p w14:paraId="01D3EDC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7FA7478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行</w:t>
            </w:r>
          </w:p>
          <w:p w14:paraId="541565F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政</w:t>
            </w:r>
          </w:p>
          <w:p w14:paraId="385D7D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许</w:t>
            </w:r>
          </w:p>
          <w:p w14:paraId="6F9F4A2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b/>
                <w:bCs/>
                <w:sz w:val="24"/>
                <w:szCs w:val="24"/>
                <w:vertAlign w:val="baseline"/>
                <w:lang w:val="en-US" w:eastAsia="zh-CN"/>
              </w:rPr>
              <w:t>可</w:t>
            </w:r>
          </w:p>
        </w:tc>
        <w:tc>
          <w:tcPr>
            <w:tcW w:w="3813" w:type="dxa"/>
            <w:vAlign w:val="top"/>
          </w:tcPr>
          <w:p w14:paraId="006E896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kern w:val="2"/>
                <w:sz w:val="24"/>
                <w:szCs w:val="24"/>
                <w:shd w:val="clear" w:fill="FFFFFF"/>
                <w:lang w:val="en-US" w:eastAsia="zh-CN" w:bidi="ar-SA"/>
              </w:rPr>
            </w:pPr>
            <w:r>
              <w:rPr>
                <w:rFonts w:hint="eastAsia" w:ascii="方正仿宋_GBK" w:hAnsi="方正仿宋_GBK" w:eastAsia="方正仿宋_GBK" w:cs="方正仿宋_GBK"/>
                <w:i w:val="0"/>
                <w:caps w:val="0"/>
                <w:color w:val="auto"/>
                <w:spacing w:val="0"/>
                <w:kern w:val="2"/>
                <w:sz w:val="24"/>
                <w:szCs w:val="24"/>
                <w:shd w:val="clear" w:fill="FFFFFF"/>
                <w:lang w:val="en-US" w:eastAsia="zh-CN" w:bidi="ar-SA"/>
              </w:rPr>
              <w:t>拟作出不予行政许可决定</w:t>
            </w:r>
          </w:p>
        </w:tc>
        <w:tc>
          <w:tcPr>
            <w:tcW w:w="1973" w:type="dxa"/>
          </w:tcPr>
          <w:p w14:paraId="7DAD99F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《行政许可法》第三十八条</w:t>
            </w:r>
          </w:p>
        </w:tc>
        <w:tc>
          <w:tcPr>
            <w:tcW w:w="894" w:type="dxa"/>
            <w:vMerge w:val="restart"/>
          </w:tcPr>
          <w:p w14:paraId="5932F6D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0C51C2A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0737A78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行政许可承办机构</w:t>
            </w:r>
          </w:p>
        </w:tc>
        <w:tc>
          <w:tcPr>
            <w:tcW w:w="1666" w:type="dxa"/>
            <w:vMerge w:val="restart"/>
          </w:tcPr>
          <w:p w14:paraId="3FDEF68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7ACD029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72DBE8A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4D72358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案件相关材料</w:t>
            </w:r>
          </w:p>
        </w:tc>
        <w:tc>
          <w:tcPr>
            <w:tcW w:w="3760" w:type="dxa"/>
            <w:vMerge w:val="restart"/>
          </w:tcPr>
          <w:p w14:paraId="5826140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688B693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2234B33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0237C28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r>
              <w:rPr>
                <w:rFonts w:hint="eastAsia" w:ascii="方正仿宋_GBK" w:hAnsi="方正仿宋_GBK" w:eastAsia="方正仿宋_GBK" w:cs="方正仿宋_GBK"/>
                <w:i w:val="0"/>
                <w:caps w:val="0"/>
                <w:color w:val="auto"/>
                <w:spacing w:val="0"/>
                <w:sz w:val="24"/>
                <w:szCs w:val="24"/>
                <w:shd w:val="clear" w:fill="FFFFFF"/>
                <w:lang w:val="en-US" w:eastAsia="zh-CN"/>
              </w:rPr>
              <w:t>同上</w:t>
            </w:r>
          </w:p>
        </w:tc>
        <w:tc>
          <w:tcPr>
            <w:tcW w:w="880" w:type="dxa"/>
            <w:vMerge w:val="restart"/>
          </w:tcPr>
          <w:p w14:paraId="1BF01CE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1752651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4C62C2D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4971F8A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r>
              <w:rPr>
                <w:rFonts w:hint="eastAsia" w:ascii="方正仿宋_GBK" w:hAnsi="方正仿宋_GBK" w:eastAsia="方正仿宋_GBK" w:cs="方正仿宋_GBK"/>
                <w:i w:val="0"/>
                <w:caps w:val="0"/>
                <w:color w:val="auto"/>
                <w:spacing w:val="0"/>
                <w:sz w:val="24"/>
                <w:szCs w:val="24"/>
                <w:shd w:val="clear" w:fill="FFFFFF"/>
                <w:lang w:val="en-US" w:eastAsia="zh-CN"/>
              </w:rPr>
              <w:t>同上</w:t>
            </w:r>
          </w:p>
        </w:tc>
      </w:tr>
      <w:tr w14:paraId="3399F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893" w:type="dxa"/>
            <w:vMerge w:val="continue"/>
          </w:tcPr>
          <w:p w14:paraId="5142F87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1F6AD8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kern w:val="2"/>
                <w:sz w:val="24"/>
                <w:szCs w:val="24"/>
                <w:vertAlign w:val="baseline"/>
                <w:lang w:val="en-US" w:eastAsia="zh-CN" w:bidi="ar-SA"/>
              </w:rPr>
            </w:pPr>
          </w:p>
        </w:tc>
        <w:tc>
          <w:tcPr>
            <w:tcW w:w="3813" w:type="dxa"/>
            <w:vAlign w:val="top"/>
          </w:tcPr>
          <w:p w14:paraId="1788226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kern w:val="2"/>
                <w:sz w:val="24"/>
                <w:szCs w:val="24"/>
                <w:shd w:val="clear" w:fill="FFFFFF"/>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拟作出的直接涉及申请人与他人之间重大利益关系，或涉及重大公共利益的行政许可决定</w:t>
            </w:r>
          </w:p>
        </w:tc>
        <w:tc>
          <w:tcPr>
            <w:tcW w:w="1973" w:type="dxa"/>
          </w:tcPr>
          <w:p w14:paraId="42E49A6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方正仿宋_GBK" w:hAnsi="方正仿宋_GBK" w:eastAsia="方正仿宋_GBK" w:cs="方正仿宋_GBK"/>
                <w:i w:val="0"/>
                <w:caps w:val="0"/>
                <w:color w:val="auto"/>
                <w:spacing w:val="0"/>
                <w:sz w:val="24"/>
                <w:szCs w:val="24"/>
                <w:shd w:val="clear" w:fill="FFFFFF"/>
                <w:lang w:val="en-US" w:eastAsia="zh-CN"/>
              </w:rPr>
            </w:pPr>
            <w:r>
              <w:rPr>
                <w:rFonts w:hint="eastAsia" w:ascii="方正仿宋_GBK" w:hAnsi="方正仿宋_GBK" w:eastAsia="方正仿宋_GBK" w:cs="方正仿宋_GBK"/>
                <w:i w:val="0"/>
                <w:caps w:val="0"/>
                <w:color w:val="auto"/>
                <w:spacing w:val="0"/>
                <w:sz w:val="24"/>
                <w:szCs w:val="24"/>
                <w:shd w:val="clear" w:fill="FFFFFF"/>
              </w:rPr>
              <w:t>《行政许可法》第</w:t>
            </w:r>
            <w:r>
              <w:rPr>
                <w:rFonts w:hint="eastAsia" w:ascii="方正仿宋_GBK" w:hAnsi="方正仿宋_GBK" w:eastAsia="方正仿宋_GBK" w:cs="方正仿宋_GBK"/>
                <w:i w:val="0"/>
                <w:caps w:val="0"/>
                <w:color w:val="auto"/>
                <w:spacing w:val="0"/>
                <w:sz w:val="24"/>
                <w:szCs w:val="24"/>
                <w:shd w:val="clear" w:fill="FFFFFF"/>
                <w:lang w:val="en-US" w:eastAsia="zh-CN"/>
              </w:rPr>
              <w:t>四十六</w:t>
            </w:r>
            <w:r>
              <w:rPr>
                <w:rFonts w:hint="eastAsia" w:ascii="方正仿宋_GBK" w:hAnsi="方正仿宋_GBK" w:eastAsia="方正仿宋_GBK" w:cs="方正仿宋_GBK"/>
                <w:i w:val="0"/>
                <w:caps w:val="0"/>
                <w:color w:val="auto"/>
                <w:spacing w:val="0"/>
                <w:sz w:val="24"/>
                <w:szCs w:val="24"/>
                <w:shd w:val="clear" w:fill="FFFFFF"/>
              </w:rPr>
              <w:t>条</w:t>
            </w:r>
            <w:r>
              <w:rPr>
                <w:rFonts w:hint="eastAsia" w:ascii="方正仿宋_GBK" w:hAnsi="方正仿宋_GBK" w:eastAsia="方正仿宋_GBK" w:cs="方正仿宋_GBK"/>
                <w:i w:val="0"/>
                <w:caps w:val="0"/>
                <w:color w:val="auto"/>
                <w:spacing w:val="0"/>
                <w:sz w:val="24"/>
                <w:szCs w:val="24"/>
                <w:shd w:val="clear" w:fill="FFFFFF"/>
                <w:lang w:eastAsia="zh-CN"/>
              </w:rPr>
              <w:t>、</w:t>
            </w:r>
            <w:r>
              <w:rPr>
                <w:rFonts w:hint="eastAsia" w:ascii="方正仿宋_GBK" w:hAnsi="方正仿宋_GBK" w:eastAsia="方正仿宋_GBK" w:cs="方正仿宋_GBK"/>
                <w:i w:val="0"/>
                <w:caps w:val="0"/>
                <w:color w:val="auto"/>
                <w:spacing w:val="0"/>
                <w:sz w:val="24"/>
                <w:szCs w:val="24"/>
                <w:shd w:val="clear" w:fill="FFFFFF"/>
                <w:lang w:val="en-US" w:eastAsia="zh-CN"/>
              </w:rPr>
              <w:t>第四十七条</w:t>
            </w:r>
          </w:p>
        </w:tc>
        <w:tc>
          <w:tcPr>
            <w:tcW w:w="894" w:type="dxa"/>
            <w:vMerge w:val="continue"/>
          </w:tcPr>
          <w:p w14:paraId="46C665E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5A73406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0390C09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3E2C7EB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22762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893" w:type="dxa"/>
            <w:vMerge w:val="continue"/>
          </w:tcPr>
          <w:p w14:paraId="1004313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51D1477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kern w:val="2"/>
                <w:sz w:val="24"/>
                <w:szCs w:val="24"/>
                <w:vertAlign w:val="baseline"/>
                <w:lang w:val="en-US" w:eastAsia="zh-CN" w:bidi="ar-SA"/>
              </w:rPr>
            </w:pPr>
          </w:p>
        </w:tc>
        <w:tc>
          <w:tcPr>
            <w:tcW w:w="3813" w:type="dxa"/>
            <w:vAlign w:val="top"/>
          </w:tcPr>
          <w:p w14:paraId="3A78F0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kern w:val="2"/>
                <w:sz w:val="24"/>
                <w:szCs w:val="24"/>
                <w:shd w:val="clear" w:fill="FFFFFF"/>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拟作出撤销行政许可的决定</w:t>
            </w:r>
          </w:p>
        </w:tc>
        <w:tc>
          <w:tcPr>
            <w:tcW w:w="1973" w:type="dxa"/>
          </w:tcPr>
          <w:p w14:paraId="1C0A562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《行政许可法》第六十九条</w:t>
            </w:r>
          </w:p>
        </w:tc>
        <w:tc>
          <w:tcPr>
            <w:tcW w:w="894" w:type="dxa"/>
            <w:vMerge w:val="continue"/>
          </w:tcPr>
          <w:p w14:paraId="1F3EFD8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2CB511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7FBF1A7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2F0854C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0F03D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vMerge w:val="restart"/>
          </w:tcPr>
          <w:p w14:paraId="5CF1F6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2FDC852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73450C4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52D9065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65C0F1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68057E9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2F69E58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566B859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r>
              <w:rPr>
                <w:rFonts w:hint="eastAsia" w:ascii="宋体" w:hAnsi="宋体" w:eastAsia="宋体" w:cs="宋体"/>
                <w:b/>
                <w:bCs/>
                <w:sz w:val="24"/>
                <w:szCs w:val="24"/>
                <w:vertAlign w:val="baseline"/>
                <w:lang w:val="en-US" w:eastAsia="zh-CN"/>
              </w:rPr>
              <w:t>3</w:t>
            </w:r>
          </w:p>
        </w:tc>
        <w:tc>
          <w:tcPr>
            <w:tcW w:w="827" w:type="dxa"/>
            <w:vMerge w:val="restart"/>
            <w:vAlign w:val="top"/>
          </w:tcPr>
          <w:p w14:paraId="6E7A239E">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宋体" w:hAnsi="宋体" w:eastAsia="宋体" w:cs="宋体"/>
                <w:b/>
                <w:bCs/>
                <w:sz w:val="24"/>
                <w:szCs w:val="24"/>
                <w:vertAlign w:val="baseline"/>
                <w:lang w:val="en-US" w:eastAsia="zh-CN"/>
              </w:rPr>
            </w:pPr>
          </w:p>
          <w:p w14:paraId="46CF76E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59FC697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0FA72B2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1C6B38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p>
          <w:p w14:paraId="01A61A8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行</w:t>
            </w:r>
          </w:p>
          <w:p w14:paraId="12C270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政</w:t>
            </w:r>
          </w:p>
          <w:p w14:paraId="5AB4E19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强</w:t>
            </w:r>
          </w:p>
          <w:p w14:paraId="575F696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b/>
                <w:bCs/>
                <w:sz w:val="24"/>
                <w:szCs w:val="24"/>
                <w:vertAlign w:val="baseline"/>
                <w:lang w:val="en-US" w:eastAsia="zh-CN"/>
              </w:rPr>
              <w:t>制</w:t>
            </w:r>
          </w:p>
        </w:tc>
        <w:tc>
          <w:tcPr>
            <w:tcW w:w="3813" w:type="dxa"/>
            <w:vAlign w:val="top"/>
          </w:tcPr>
          <w:p w14:paraId="65EC499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kern w:val="2"/>
                <w:sz w:val="24"/>
                <w:szCs w:val="24"/>
                <w:shd w:val="clear" w:fill="FFFFFF"/>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查封施工现场，强制拆除逾期未改造或未拆除的建筑物或者设施</w:t>
            </w:r>
          </w:p>
        </w:tc>
        <w:tc>
          <w:tcPr>
            <w:tcW w:w="1973" w:type="dxa"/>
          </w:tcPr>
          <w:p w14:paraId="501BA42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《中华人民共和国城乡规划法》第六十八条</w:t>
            </w:r>
          </w:p>
          <w:p w14:paraId="2EB93B1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《城市市容和环境卫生管理条例》第三十七条</w:t>
            </w:r>
          </w:p>
        </w:tc>
        <w:tc>
          <w:tcPr>
            <w:tcW w:w="894" w:type="dxa"/>
            <w:vMerge w:val="restart"/>
          </w:tcPr>
          <w:p w14:paraId="0FB9EED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3DE2C2E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513B770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42A6D1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7D6D2AB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5467BDC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2D5FD10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28C2586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相关部门</w:t>
            </w:r>
          </w:p>
        </w:tc>
        <w:tc>
          <w:tcPr>
            <w:tcW w:w="1666" w:type="dxa"/>
            <w:vMerge w:val="restart"/>
          </w:tcPr>
          <w:p w14:paraId="54E688F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674B52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1F2CD7D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1A00CE6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2067BF3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03D2B48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51884DE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p w14:paraId="1EC2E13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案件相关材料</w:t>
            </w:r>
          </w:p>
        </w:tc>
        <w:tc>
          <w:tcPr>
            <w:tcW w:w="3760" w:type="dxa"/>
            <w:vMerge w:val="restart"/>
          </w:tcPr>
          <w:p w14:paraId="017D831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097FB81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1D70D67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7508D8E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342DAB5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10E71A8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07CDCE9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38EDCF8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同上</w:t>
            </w:r>
          </w:p>
        </w:tc>
        <w:tc>
          <w:tcPr>
            <w:tcW w:w="880" w:type="dxa"/>
            <w:vMerge w:val="restart"/>
          </w:tcPr>
          <w:p w14:paraId="25F470E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5041FCC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120D731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3345E45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375D121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6BA0971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4BBEFB5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lang w:val="en-US" w:eastAsia="zh-CN"/>
              </w:rPr>
            </w:pPr>
          </w:p>
          <w:p w14:paraId="5E32E5F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同上</w:t>
            </w:r>
          </w:p>
        </w:tc>
      </w:tr>
      <w:tr w14:paraId="5BEFC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vMerge w:val="continue"/>
          </w:tcPr>
          <w:p w14:paraId="0D08378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30480B4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kern w:val="2"/>
                <w:sz w:val="24"/>
                <w:szCs w:val="24"/>
                <w:vertAlign w:val="baseline"/>
                <w:lang w:val="en-US" w:eastAsia="zh-CN" w:bidi="ar-SA"/>
              </w:rPr>
            </w:pPr>
          </w:p>
        </w:tc>
        <w:tc>
          <w:tcPr>
            <w:tcW w:w="3813" w:type="dxa"/>
            <w:vAlign w:val="top"/>
          </w:tcPr>
          <w:p w14:paraId="767B5F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kern w:val="2"/>
                <w:sz w:val="24"/>
                <w:szCs w:val="24"/>
                <w:shd w:val="clear" w:fill="FFFFFF"/>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 xml:space="preserve">查封、扣押与违法行为有关的物品和其他工具，直至案件处理完毕 </w:t>
            </w:r>
          </w:p>
        </w:tc>
        <w:tc>
          <w:tcPr>
            <w:tcW w:w="1973" w:type="dxa"/>
          </w:tcPr>
          <w:p w14:paraId="672D06F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《行政强制法》第二十二条</w:t>
            </w:r>
          </w:p>
        </w:tc>
        <w:tc>
          <w:tcPr>
            <w:tcW w:w="894" w:type="dxa"/>
            <w:vMerge w:val="continue"/>
          </w:tcPr>
          <w:p w14:paraId="62804EC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0929868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38D699D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251CA31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06AE6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893" w:type="dxa"/>
            <w:vMerge w:val="continue"/>
          </w:tcPr>
          <w:p w14:paraId="1CB55AC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6E3DC8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kern w:val="2"/>
                <w:sz w:val="24"/>
                <w:szCs w:val="24"/>
                <w:vertAlign w:val="baseline"/>
                <w:lang w:val="en-US" w:eastAsia="zh-CN" w:bidi="ar-SA"/>
              </w:rPr>
            </w:pPr>
          </w:p>
        </w:tc>
        <w:tc>
          <w:tcPr>
            <w:tcW w:w="3813" w:type="dxa"/>
            <w:vAlign w:val="top"/>
          </w:tcPr>
          <w:p w14:paraId="7D630B5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kern w:val="2"/>
                <w:sz w:val="24"/>
                <w:szCs w:val="24"/>
                <w:shd w:val="clear" w:fill="FFFFFF"/>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 xml:space="preserve">对不符合保障安全生产的国家标准或者行业标准的燃气设施、设备、器材的查封或者扣押 </w:t>
            </w:r>
          </w:p>
        </w:tc>
        <w:tc>
          <w:tcPr>
            <w:tcW w:w="1973" w:type="dxa"/>
          </w:tcPr>
          <w:p w14:paraId="784D9D5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《湖南省燃气管理条例》第二十九条</w:t>
            </w:r>
          </w:p>
        </w:tc>
        <w:tc>
          <w:tcPr>
            <w:tcW w:w="894" w:type="dxa"/>
            <w:vMerge w:val="continue"/>
          </w:tcPr>
          <w:p w14:paraId="2B0ED5B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6DF13E3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39A1F24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206AD66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6819D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893" w:type="dxa"/>
            <w:vMerge w:val="continue"/>
          </w:tcPr>
          <w:p w14:paraId="2C22FA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27" w:type="dxa"/>
            <w:vMerge w:val="continue"/>
            <w:vAlign w:val="top"/>
          </w:tcPr>
          <w:p w14:paraId="0014A3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kern w:val="2"/>
                <w:sz w:val="24"/>
                <w:szCs w:val="24"/>
                <w:vertAlign w:val="baseline"/>
                <w:lang w:val="en-US" w:eastAsia="zh-CN" w:bidi="ar-SA"/>
              </w:rPr>
            </w:pPr>
          </w:p>
        </w:tc>
        <w:tc>
          <w:tcPr>
            <w:tcW w:w="3813" w:type="dxa"/>
            <w:vAlign w:val="top"/>
          </w:tcPr>
          <w:p w14:paraId="665ED40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kern w:val="2"/>
                <w:sz w:val="24"/>
                <w:szCs w:val="24"/>
                <w:shd w:val="clear" w:fill="FFFFFF"/>
                <w:lang w:val="en-US" w:eastAsia="zh-CN" w:bidi="ar-SA"/>
              </w:rPr>
            </w:pPr>
            <w:r>
              <w:rPr>
                <w:rFonts w:hint="eastAsia" w:ascii="方正仿宋_GBK" w:hAnsi="方正仿宋_GBK" w:eastAsia="方正仿宋_GBK" w:cs="方正仿宋_GBK"/>
                <w:i w:val="0"/>
                <w:caps w:val="0"/>
                <w:color w:val="auto"/>
                <w:spacing w:val="0"/>
                <w:sz w:val="24"/>
                <w:szCs w:val="24"/>
                <w:shd w:val="clear" w:fill="FFFFFF"/>
              </w:rPr>
              <w:t>拟申请法院强制执行的</w:t>
            </w:r>
          </w:p>
        </w:tc>
        <w:tc>
          <w:tcPr>
            <w:tcW w:w="1973" w:type="dxa"/>
          </w:tcPr>
          <w:p w14:paraId="2CC506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rPr>
              <w:t>《行政强制法》第五十三条</w:t>
            </w:r>
          </w:p>
        </w:tc>
        <w:tc>
          <w:tcPr>
            <w:tcW w:w="894" w:type="dxa"/>
            <w:vMerge w:val="continue"/>
          </w:tcPr>
          <w:p w14:paraId="2CB83FA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1666" w:type="dxa"/>
            <w:vMerge w:val="continue"/>
          </w:tcPr>
          <w:p w14:paraId="20E8B8B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3760" w:type="dxa"/>
            <w:vMerge w:val="continue"/>
          </w:tcPr>
          <w:p w14:paraId="11A4D6D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c>
          <w:tcPr>
            <w:tcW w:w="880" w:type="dxa"/>
            <w:vMerge w:val="continue"/>
          </w:tcPr>
          <w:p w14:paraId="760D733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p>
        </w:tc>
      </w:tr>
      <w:tr w14:paraId="185AF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93" w:type="dxa"/>
            <w:vMerge w:val="restart"/>
            <w:vAlign w:val="center"/>
          </w:tcPr>
          <w:p w14:paraId="795AB13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4</w:t>
            </w:r>
          </w:p>
        </w:tc>
        <w:tc>
          <w:tcPr>
            <w:tcW w:w="827" w:type="dxa"/>
            <w:vMerge w:val="restart"/>
            <w:vAlign w:val="center"/>
          </w:tcPr>
          <w:p w14:paraId="0FC2E5C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其他</w:t>
            </w:r>
          </w:p>
        </w:tc>
        <w:tc>
          <w:tcPr>
            <w:tcW w:w="3813" w:type="dxa"/>
            <w:vAlign w:val="center"/>
          </w:tcPr>
          <w:p w14:paraId="5C82AEB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涉及重大公共利益的执法决定</w:t>
            </w:r>
          </w:p>
        </w:tc>
        <w:tc>
          <w:tcPr>
            <w:tcW w:w="1973" w:type="dxa"/>
            <w:vMerge w:val="restart"/>
            <w:vAlign w:val="center"/>
          </w:tcPr>
          <w:p w14:paraId="22558E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《行政处罚法》第五十八条</w:t>
            </w:r>
          </w:p>
        </w:tc>
        <w:tc>
          <w:tcPr>
            <w:tcW w:w="894" w:type="dxa"/>
            <w:vMerge w:val="restart"/>
            <w:vAlign w:val="center"/>
          </w:tcPr>
          <w:p w14:paraId="717D4BA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相关部门</w:t>
            </w:r>
          </w:p>
        </w:tc>
        <w:tc>
          <w:tcPr>
            <w:tcW w:w="1666" w:type="dxa"/>
            <w:vMerge w:val="restart"/>
            <w:vAlign w:val="center"/>
          </w:tcPr>
          <w:p w14:paraId="325889C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案件相关材料</w:t>
            </w:r>
          </w:p>
        </w:tc>
        <w:tc>
          <w:tcPr>
            <w:tcW w:w="3760" w:type="dxa"/>
            <w:vMerge w:val="restart"/>
            <w:vAlign w:val="center"/>
          </w:tcPr>
          <w:p w14:paraId="2394F41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同上</w:t>
            </w:r>
          </w:p>
        </w:tc>
        <w:tc>
          <w:tcPr>
            <w:tcW w:w="880" w:type="dxa"/>
            <w:vMerge w:val="restart"/>
            <w:vAlign w:val="center"/>
          </w:tcPr>
          <w:p w14:paraId="65369E0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同上</w:t>
            </w:r>
          </w:p>
        </w:tc>
      </w:tr>
      <w:tr w14:paraId="668E8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893" w:type="dxa"/>
            <w:vMerge w:val="continue"/>
            <w:vAlign w:val="center"/>
          </w:tcPr>
          <w:p w14:paraId="6DC0333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827" w:type="dxa"/>
            <w:vMerge w:val="continue"/>
            <w:vAlign w:val="center"/>
          </w:tcPr>
          <w:p w14:paraId="744606C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lang w:val="en-US" w:eastAsia="zh-CN"/>
              </w:rPr>
            </w:pPr>
          </w:p>
        </w:tc>
        <w:tc>
          <w:tcPr>
            <w:tcW w:w="3813" w:type="dxa"/>
            <w:vAlign w:val="center"/>
          </w:tcPr>
          <w:p w14:paraId="03CA633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直接关系当事人或者第三人重大权益，经过听证程序的。</w:t>
            </w:r>
          </w:p>
        </w:tc>
        <w:tc>
          <w:tcPr>
            <w:tcW w:w="1973" w:type="dxa"/>
            <w:vMerge w:val="continue"/>
            <w:vAlign w:val="center"/>
          </w:tcPr>
          <w:p w14:paraId="1EC370B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894" w:type="dxa"/>
            <w:vMerge w:val="continue"/>
            <w:vAlign w:val="center"/>
          </w:tcPr>
          <w:p w14:paraId="1C2A3F6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1666" w:type="dxa"/>
            <w:vMerge w:val="continue"/>
            <w:vAlign w:val="center"/>
          </w:tcPr>
          <w:p w14:paraId="63E179D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3760" w:type="dxa"/>
            <w:vMerge w:val="continue"/>
            <w:vAlign w:val="center"/>
          </w:tcPr>
          <w:p w14:paraId="14659F2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880" w:type="dxa"/>
            <w:vMerge w:val="continue"/>
            <w:vAlign w:val="center"/>
          </w:tcPr>
          <w:p w14:paraId="5E48E52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r>
      <w:tr w14:paraId="56F00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 w:type="dxa"/>
            <w:vMerge w:val="continue"/>
            <w:vAlign w:val="center"/>
          </w:tcPr>
          <w:p w14:paraId="5F70D91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827" w:type="dxa"/>
            <w:vMerge w:val="continue"/>
            <w:vAlign w:val="center"/>
          </w:tcPr>
          <w:p w14:paraId="21A53D0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lang w:val="en-US" w:eastAsia="zh-CN"/>
              </w:rPr>
            </w:pPr>
          </w:p>
        </w:tc>
        <w:tc>
          <w:tcPr>
            <w:tcW w:w="3813" w:type="dxa"/>
            <w:vAlign w:val="center"/>
          </w:tcPr>
          <w:p w14:paraId="3BE54CF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案件情况疑难复杂、涉及多个法律关系的执法决定</w:t>
            </w:r>
          </w:p>
        </w:tc>
        <w:tc>
          <w:tcPr>
            <w:tcW w:w="1973" w:type="dxa"/>
            <w:vMerge w:val="continue"/>
            <w:vAlign w:val="center"/>
          </w:tcPr>
          <w:p w14:paraId="1AABC7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894" w:type="dxa"/>
            <w:vMerge w:val="continue"/>
            <w:vAlign w:val="center"/>
          </w:tcPr>
          <w:p w14:paraId="43E3B02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1666" w:type="dxa"/>
            <w:vMerge w:val="continue"/>
            <w:vAlign w:val="center"/>
          </w:tcPr>
          <w:p w14:paraId="7F2262D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3760" w:type="dxa"/>
            <w:vMerge w:val="continue"/>
            <w:vAlign w:val="center"/>
          </w:tcPr>
          <w:p w14:paraId="52900C8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880" w:type="dxa"/>
            <w:vMerge w:val="continue"/>
            <w:vAlign w:val="center"/>
          </w:tcPr>
          <w:p w14:paraId="10DD2E9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r>
      <w:tr w14:paraId="0B9E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893" w:type="dxa"/>
            <w:vMerge w:val="continue"/>
            <w:vAlign w:val="center"/>
          </w:tcPr>
          <w:p w14:paraId="60D5F77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827" w:type="dxa"/>
            <w:vMerge w:val="continue"/>
            <w:vAlign w:val="center"/>
          </w:tcPr>
          <w:p w14:paraId="2755B81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lang w:val="en-US" w:eastAsia="zh-CN"/>
              </w:rPr>
            </w:pPr>
          </w:p>
        </w:tc>
        <w:tc>
          <w:tcPr>
            <w:tcW w:w="3813" w:type="dxa"/>
            <w:vAlign w:val="center"/>
          </w:tcPr>
          <w:p w14:paraId="172E259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4"/>
                <w:szCs w:val="24"/>
                <w:shd w:val="clear" w:fill="FFFFFF"/>
              </w:rPr>
            </w:pPr>
            <w:r>
              <w:rPr>
                <w:rFonts w:hint="eastAsia" w:ascii="方正仿宋_GBK" w:hAnsi="方正仿宋_GBK" w:eastAsia="方正仿宋_GBK" w:cs="方正仿宋_GBK"/>
                <w:i w:val="0"/>
                <w:caps w:val="0"/>
                <w:color w:val="auto"/>
                <w:spacing w:val="0"/>
                <w:sz w:val="24"/>
                <w:szCs w:val="24"/>
                <w:shd w:val="clear" w:fill="FFFFFF"/>
                <w:lang w:val="en-US" w:eastAsia="zh-CN"/>
              </w:rPr>
              <w:t>法律法规规定应当进行法制审核的其他情形</w:t>
            </w:r>
          </w:p>
        </w:tc>
        <w:tc>
          <w:tcPr>
            <w:tcW w:w="1973" w:type="dxa"/>
            <w:vMerge w:val="continue"/>
            <w:vAlign w:val="center"/>
          </w:tcPr>
          <w:p w14:paraId="0D5025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894" w:type="dxa"/>
            <w:vMerge w:val="continue"/>
            <w:vAlign w:val="center"/>
          </w:tcPr>
          <w:p w14:paraId="3CE8332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1666" w:type="dxa"/>
            <w:vMerge w:val="continue"/>
            <w:vAlign w:val="center"/>
          </w:tcPr>
          <w:p w14:paraId="01FD7EB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3760" w:type="dxa"/>
            <w:vMerge w:val="continue"/>
            <w:vAlign w:val="center"/>
          </w:tcPr>
          <w:p w14:paraId="69E8411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c>
          <w:tcPr>
            <w:tcW w:w="880" w:type="dxa"/>
            <w:vMerge w:val="continue"/>
            <w:vAlign w:val="center"/>
          </w:tcPr>
          <w:p w14:paraId="22D5CE3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val="0"/>
                <w:caps w:val="0"/>
                <w:color w:val="auto"/>
                <w:spacing w:val="0"/>
                <w:sz w:val="28"/>
                <w:szCs w:val="28"/>
                <w:shd w:val="clear" w:fill="FFFFFF"/>
              </w:rPr>
            </w:pPr>
          </w:p>
        </w:tc>
      </w:tr>
    </w:tbl>
    <w:p w14:paraId="118C5A58">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方正小标宋_GBK" w:hAnsi="方正小标宋_GBK" w:eastAsia="方正小标宋_GBK" w:cs="方正小标宋_GBK"/>
          <w:sz w:val="44"/>
          <w:szCs w:val="44"/>
          <w:lang w:val="en-US" w:eastAsia="zh-CN"/>
        </w:rPr>
      </w:pPr>
    </w:p>
    <w:sectPr>
      <w:pgSz w:w="16838" w:h="11906" w:orient="landscape"/>
      <w:pgMar w:top="1701" w:right="1134" w:bottom="170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F567597E-AA8E-495A-8D9F-A42798D68A5F}"/>
  </w:font>
  <w:font w:name="方正小标宋_GBK">
    <w:panose1 w:val="02000000000000000000"/>
    <w:charset w:val="86"/>
    <w:family w:val="auto"/>
    <w:pitch w:val="default"/>
    <w:sig w:usb0="A00002BF" w:usb1="38CF7CFA" w:usb2="00082016" w:usb3="00000000" w:csb0="00040001" w:csb1="00000000"/>
    <w:embedRegular r:id="rId2" w:fontKey="{965B4501-44EA-47BB-8374-46F0D74E1970}"/>
  </w:font>
  <w:font w:name="方正仿宋_GBK">
    <w:panose1 w:val="02000000000000000000"/>
    <w:charset w:val="86"/>
    <w:family w:val="auto"/>
    <w:pitch w:val="default"/>
    <w:sig w:usb0="A00002BF" w:usb1="38CF7CFA" w:usb2="00082016" w:usb3="00000000" w:csb0="00040001" w:csb1="00000000"/>
    <w:embedRegular r:id="rId3" w:fontKey="{2356CFA0-C856-41CE-8E12-ED2575B63837}"/>
  </w:font>
  <w:font w:name="方正仿宋_GB2312">
    <w:panose1 w:val="02000000000000000000"/>
    <w:charset w:val="86"/>
    <w:family w:val="auto"/>
    <w:pitch w:val="default"/>
    <w:sig w:usb0="A00002BF" w:usb1="184F6CFA" w:usb2="00000012" w:usb3="00000000" w:csb0="00040001" w:csb1="00000000"/>
    <w:embedRegular r:id="rId4" w:fontKey="{FF8CBEC4-D616-4CCE-B0CA-7B2CC3DA782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zYTVkNTQ4MTBiZDgxOTdjMzE2ODczOWFlNWZiNGIifQ=="/>
  </w:docVars>
  <w:rsids>
    <w:rsidRoot w:val="711C2F2F"/>
    <w:rsid w:val="0A953ADA"/>
    <w:rsid w:val="19A07A5D"/>
    <w:rsid w:val="3E784A9D"/>
    <w:rsid w:val="4D8406B7"/>
    <w:rsid w:val="5F776C17"/>
    <w:rsid w:val="711C2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918</Words>
  <Characters>922</Characters>
  <Lines>0</Lines>
  <Paragraphs>0</Paragraphs>
  <TotalTime>3</TotalTime>
  <ScaleCrop>false</ScaleCrop>
  <LinksUpToDate>false</LinksUpToDate>
  <CharactersWithSpaces>955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2023-08-08T02:08:00Z</dcterms:created>
  <dc:creator>驱夜断愁</dc:creator>
  <cp:lastModifiedBy>平淡是真</cp:lastModifiedBy>
  <dcterms:modified xsi:type="dcterms:W3CDTF">2025-05-19T01:22:01Z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BC821146C30847FE90D21D868AE51914_11</vt:lpwstr>
  </property>
  <property fmtid="{D5CDD505-2E9C-101B-9397-08002B2CF9AE}" pid="4" name="KSOTemplateDocerSaveRecord">
    <vt:lpwstr>eyJoZGlkIjoiMWY3ZWM4MmM5NDhkYzIxZTgwYmU2MWUyZDY2ZTE3MzciLCJ1c2VySWQiOiI3NTI2MzI3MDIifQ==</vt:lpwstr>
  </property>
</Properties>
</file>