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FDA21">
      <w:pPr>
        <w:tabs>
          <w:tab w:val="left" w:pos="6480"/>
        </w:tabs>
        <w:spacing w:line="600" w:lineRule="exact"/>
        <w:jc w:val="center"/>
        <w:rPr>
          <w:rFonts w:ascii="方正小标宋_GBK" w:eastAsia="方正小标宋_GBK" w:cs="方正小标宋_GBK"/>
          <w:sz w:val="36"/>
          <w:szCs w:val="36"/>
        </w:rPr>
      </w:pPr>
      <w:r>
        <w:rPr>
          <w:rFonts w:hint="eastAsia" w:ascii="方正小标宋_GBK" w:eastAsia="方正小标宋_GBK" w:cs="方正小标宋_GBK"/>
          <w:sz w:val="36"/>
          <w:szCs w:val="36"/>
          <w:lang w:val="en-US" w:eastAsia="zh-CN"/>
        </w:rPr>
        <w:t>湘乡市统计局</w:t>
      </w:r>
      <w:r>
        <w:rPr>
          <w:rFonts w:hint="eastAsia" w:ascii="方正小标宋_GBK" w:eastAsia="方正小标宋_GBK" w:cs="方正小标宋_GBK"/>
          <w:bCs/>
          <w:sz w:val="36"/>
          <w:szCs w:val="36"/>
        </w:rPr>
        <w:t>部门整体预算绩效评价报告</w:t>
      </w:r>
    </w:p>
    <w:tbl>
      <w:tblPr>
        <w:tblStyle w:val="5"/>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2365"/>
        <w:gridCol w:w="5654"/>
      </w:tblGrid>
      <w:tr w14:paraId="450FB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80" w:type="dxa"/>
            <w:vMerge w:val="restart"/>
            <w:noWrap w:val="0"/>
            <w:vAlign w:val="center"/>
          </w:tcPr>
          <w:p w14:paraId="10D00798">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部门概况</w:t>
            </w:r>
          </w:p>
        </w:tc>
        <w:tc>
          <w:tcPr>
            <w:tcW w:w="2365" w:type="dxa"/>
            <w:noWrap w:val="0"/>
            <w:vAlign w:val="center"/>
          </w:tcPr>
          <w:p w14:paraId="49483DB6">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单位名称</w:t>
            </w:r>
          </w:p>
        </w:tc>
        <w:tc>
          <w:tcPr>
            <w:tcW w:w="5654" w:type="dxa"/>
            <w:noWrap w:val="0"/>
            <w:vAlign w:val="center"/>
          </w:tcPr>
          <w:p w14:paraId="5BFFD7D4">
            <w:pPr>
              <w:spacing w:line="576" w:lineRule="exact"/>
              <w:ind w:right="880" w:rightChars="419"/>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湘乡市统计局</w:t>
            </w:r>
          </w:p>
        </w:tc>
      </w:tr>
      <w:tr w14:paraId="1A6EB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80" w:type="dxa"/>
            <w:vMerge w:val="continue"/>
            <w:noWrap w:val="0"/>
            <w:vAlign w:val="top"/>
          </w:tcPr>
          <w:p w14:paraId="1F0EC31F">
            <w:pPr>
              <w:rPr>
                <w:rFonts w:hint="eastAsia" w:ascii="仿宋" w:hAnsi="仿宋" w:eastAsia="仿宋" w:cs="仿宋"/>
                <w:sz w:val="28"/>
                <w:szCs w:val="28"/>
              </w:rPr>
            </w:pPr>
          </w:p>
        </w:tc>
        <w:tc>
          <w:tcPr>
            <w:tcW w:w="2365" w:type="dxa"/>
            <w:noWrap w:val="0"/>
            <w:vAlign w:val="center"/>
          </w:tcPr>
          <w:p w14:paraId="1BD0BB8E">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年度预算金额</w:t>
            </w:r>
          </w:p>
        </w:tc>
        <w:tc>
          <w:tcPr>
            <w:tcW w:w="5654" w:type="dxa"/>
            <w:noWrap w:val="0"/>
            <w:vAlign w:val="center"/>
          </w:tcPr>
          <w:p w14:paraId="3F84CAEF">
            <w:pPr>
              <w:spacing w:line="576" w:lineRule="exact"/>
              <w:ind w:right="880" w:rightChars="419"/>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273.21万元</w:t>
            </w:r>
          </w:p>
        </w:tc>
      </w:tr>
      <w:tr w14:paraId="71E0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80" w:type="dxa"/>
            <w:vMerge w:val="continue"/>
            <w:noWrap w:val="0"/>
            <w:vAlign w:val="top"/>
          </w:tcPr>
          <w:p w14:paraId="4F155354">
            <w:pPr>
              <w:rPr>
                <w:rFonts w:hint="eastAsia" w:ascii="仿宋" w:hAnsi="仿宋" w:eastAsia="仿宋" w:cs="仿宋"/>
                <w:sz w:val="28"/>
                <w:szCs w:val="28"/>
              </w:rPr>
            </w:pPr>
          </w:p>
        </w:tc>
        <w:tc>
          <w:tcPr>
            <w:tcW w:w="2365" w:type="dxa"/>
            <w:noWrap w:val="0"/>
            <w:vAlign w:val="center"/>
          </w:tcPr>
          <w:p w14:paraId="5C9D8F3A">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主管部门</w:t>
            </w:r>
          </w:p>
        </w:tc>
        <w:tc>
          <w:tcPr>
            <w:tcW w:w="5654" w:type="dxa"/>
            <w:noWrap w:val="0"/>
            <w:vAlign w:val="center"/>
          </w:tcPr>
          <w:p w14:paraId="2803D67D">
            <w:pPr>
              <w:spacing w:line="576" w:lineRule="exact"/>
              <w:ind w:right="880" w:rightChars="419"/>
              <w:jc w:val="center"/>
              <w:rPr>
                <w:rFonts w:hint="eastAsia" w:ascii="仿宋" w:hAnsi="仿宋" w:eastAsia="仿宋" w:cs="仿宋"/>
                <w:sz w:val="28"/>
                <w:szCs w:val="28"/>
              </w:rPr>
            </w:pPr>
          </w:p>
        </w:tc>
      </w:tr>
      <w:tr w14:paraId="28548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80" w:type="dxa"/>
            <w:vMerge w:val="continue"/>
            <w:noWrap w:val="0"/>
            <w:vAlign w:val="top"/>
          </w:tcPr>
          <w:p w14:paraId="3531D47A">
            <w:pPr>
              <w:rPr>
                <w:rFonts w:hint="eastAsia" w:ascii="仿宋" w:hAnsi="仿宋" w:eastAsia="仿宋" w:cs="仿宋"/>
                <w:sz w:val="28"/>
                <w:szCs w:val="28"/>
              </w:rPr>
            </w:pPr>
          </w:p>
        </w:tc>
        <w:tc>
          <w:tcPr>
            <w:tcW w:w="2365" w:type="dxa"/>
            <w:noWrap w:val="0"/>
            <w:vAlign w:val="center"/>
          </w:tcPr>
          <w:p w14:paraId="658B411F">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单位基本职能</w:t>
            </w:r>
          </w:p>
        </w:tc>
        <w:tc>
          <w:tcPr>
            <w:tcW w:w="5654" w:type="dxa"/>
            <w:noWrap w:val="0"/>
            <w:vAlign w:val="center"/>
          </w:tcPr>
          <w:p w14:paraId="4D5AA1F9">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1、贯彻执行国家统计工作的方针、政策和统计制度方法，完成国家和省规定的统计调查任务；承担组织领导协调全市统计工作，确保统计数据真实、准确、及时。</w:t>
            </w:r>
          </w:p>
          <w:p w14:paraId="3C1C9E99">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2、组织制订全市各项统计报表制度，负责各项统计调查方案的研究，整体设计和协调工作；统一管理全市的统计调查项目，并组织实施。</w:t>
            </w:r>
          </w:p>
          <w:p w14:paraId="6B51183B">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3、为市委、市政府制订政策，编制国民经济和社会发展规划提供统计资料，并对全市国民经济、科技进步和社会发展等情况进行统计分析、预测、检查和监督，向市委、市政府及有关部门提供统计信息和咨询建议。</w:t>
            </w:r>
          </w:p>
          <w:p w14:paraId="08731003">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4、统一收集、核定、管理、公布全市经济、社会、科技的基本统计资料，定期发布全市国民经济和社会发展情况统计公报及周期性普查和专项调查公报。</w:t>
            </w:r>
          </w:p>
          <w:p w14:paraId="213CC2FD">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5、贯彻执行统计法律法规，检查监督统计法律法规的实施情况，查处各类统计违法行为。</w:t>
            </w:r>
          </w:p>
          <w:p w14:paraId="42EB71CC">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6、组织实施全国性人口普查、农业普查、经济普查和人口抽样、劳动力等多领域的抽样调查。</w:t>
            </w:r>
          </w:p>
          <w:p w14:paraId="00128AAF">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7、负责统计基层基础工作建设，建立健全和管理统计信息自动化系统和统计数据库系统。</w:t>
            </w:r>
          </w:p>
          <w:p w14:paraId="2F851062">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 xml:space="preserve">8、组织实施全市统计教育培训工作。          </w:t>
            </w:r>
          </w:p>
          <w:p w14:paraId="4E6B2A84">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kern w:val="2"/>
                <w:sz w:val="18"/>
                <w:szCs w:val="18"/>
                <w:lang w:val="en-US" w:eastAsia="zh-CN" w:bidi="ar-SA"/>
              </w:rPr>
            </w:pPr>
            <w:r>
              <w:rPr>
                <w:rFonts w:hint="eastAsia" w:ascii="仿宋" w:hAnsi="仿宋" w:eastAsia="仿宋" w:cs="仿宋"/>
                <w:sz w:val="18"/>
                <w:szCs w:val="18"/>
              </w:rPr>
              <w:t xml:space="preserve">9、负责市委、人大、政府、政协组织开展的民意调查。                                               10、承办市委、市政府交办的其他事项。 </w:t>
            </w:r>
          </w:p>
        </w:tc>
      </w:tr>
      <w:tr w14:paraId="2012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1380" w:type="dxa"/>
            <w:vMerge w:val="restart"/>
            <w:noWrap w:val="0"/>
            <w:vAlign w:val="center"/>
          </w:tcPr>
          <w:p w14:paraId="19460B80">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绩效完成情况</w:t>
            </w:r>
          </w:p>
        </w:tc>
        <w:tc>
          <w:tcPr>
            <w:tcW w:w="2365" w:type="dxa"/>
            <w:noWrap w:val="0"/>
            <w:vAlign w:val="center"/>
          </w:tcPr>
          <w:p w14:paraId="4C259213">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部门整体支出管理和使用基本情况</w:t>
            </w:r>
          </w:p>
        </w:tc>
        <w:tc>
          <w:tcPr>
            <w:tcW w:w="5654" w:type="dxa"/>
            <w:noWrap w:val="0"/>
            <w:vAlign w:val="center"/>
          </w:tcPr>
          <w:p w14:paraId="6CA1D919">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我局2022年一般公共预算财政拨款支出282.74万元，其中基本支出249.49万元，占 88.2 %，项目支出33.25万元，占 11.8 %。</w:t>
            </w:r>
          </w:p>
          <w:p w14:paraId="1CEB241B">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基本支出情况</w:t>
            </w:r>
          </w:p>
          <w:p w14:paraId="2816F224">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基本支出系保障我局及局属单位机构正常运转、完成日常工作任务而发生的各项支出。2022年一般公共预算财政拨款基本支出共计249.49万元，其中人员经费210.14万元，主要用于基本工资、津贴补贴、奖金、伙食补助、机关事业单位基本养老保险缴费、职业年金缴费、职工基本医疗保险缴费、公务员医疗补助缴费、住房公积金、退休费等；公用经费支出39.34万元，主要用于办公费、印刷费、水费、电费、差旅费、维修费、邮电费、租赁费、会议费、培训费、业务费、其他交通工具运行费等。</w:t>
            </w:r>
          </w:p>
          <w:p w14:paraId="46CD4283">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rPr>
              <w:t>（二）项目支出情况</w:t>
            </w:r>
          </w:p>
          <w:p w14:paraId="7A8902BE">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2022年项目支出共计33.25万元，主要用于统计基层基础建设、社情民意调查、统计调研分析、统计联网直报、创建县域经济百强、统计法治专项宣传等统计业务专项支出。</w:t>
            </w:r>
          </w:p>
          <w:p w14:paraId="1570ED90">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p>
        </w:tc>
      </w:tr>
      <w:tr w14:paraId="22985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380" w:type="dxa"/>
            <w:vMerge w:val="continue"/>
            <w:noWrap w:val="0"/>
            <w:vAlign w:val="top"/>
          </w:tcPr>
          <w:p w14:paraId="1E9C6328">
            <w:pPr>
              <w:rPr>
                <w:rFonts w:hint="eastAsia" w:ascii="仿宋" w:hAnsi="仿宋" w:eastAsia="仿宋" w:cs="仿宋"/>
                <w:sz w:val="28"/>
                <w:szCs w:val="28"/>
              </w:rPr>
            </w:pPr>
          </w:p>
        </w:tc>
        <w:tc>
          <w:tcPr>
            <w:tcW w:w="2365" w:type="dxa"/>
            <w:noWrap w:val="0"/>
            <w:vAlign w:val="center"/>
          </w:tcPr>
          <w:p w14:paraId="46F80383">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绩效目标完成</w:t>
            </w:r>
          </w:p>
          <w:p w14:paraId="7135A6A8">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情况</w:t>
            </w:r>
          </w:p>
        </w:tc>
        <w:tc>
          <w:tcPr>
            <w:tcW w:w="5654" w:type="dxa"/>
            <w:noWrap w:val="0"/>
            <w:vAlign w:val="center"/>
          </w:tcPr>
          <w:p w14:paraId="7C425581">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eastAsia="zh-CN"/>
              </w:rPr>
              <w:t>20</w:t>
            </w:r>
            <w:r>
              <w:rPr>
                <w:rFonts w:hint="eastAsia" w:ascii="仿宋" w:hAnsi="仿宋" w:eastAsia="仿宋" w:cs="仿宋"/>
                <w:sz w:val="18"/>
                <w:szCs w:val="18"/>
                <w:lang w:val="en-US" w:eastAsia="zh-CN"/>
              </w:rPr>
              <w:t>22</w:t>
            </w:r>
            <w:r>
              <w:rPr>
                <w:rFonts w:hint="eastAsia" w:ascii="仿宋" w:hAnsi="仿宋" w:eastAsia="仿宋" w:cs="仿宋"/>
                <w:sz w:val="18"/>
                <w:szCs w:val="18"/>
                <w:lang w:eastAsia="zh-CN"/>
              </w:rPr>
              <w:t>年，</w:t>
            </w:r>
            <w:r>
              <w:rPr>
                <w:rFonts w:hint="eastAsia" w:ascii="仿宋" w:hAnsi="仿宋" w:eastAsia="仿宋" w:cs="仿宋"/>
                <w:sz w:val="18"/>
                <w:szCs w:val="18"/>
              </w:rPr>
              <w:t>在</w:t>
            </w:r>
            <w:r>
              <w:rPr>
                <w:rFonts w:hint="eastAsia" w:ascii="仿宋" w:hAnsi="仿宋" w:eastAsia="仿宋" w:cs="仿宋"/>
                <w:sz w:val="18"/>
                <w:szCs w:val="18"/>
                <w:lang w:val="en-US" w:eastAsia="zh-CN"/>
              </w:rPr>
              <w:t>市</w:t>
            </w:r>
            <w:r>
              <w:rPr>
                <w:rFonts w:hint="eastAsia" w:ascii="仿宋" w:hAnsi="仿宋" w:eastAsia="仿宋" w:cs="仿宋"/>
                <w:sz w:val="18"/>
                <w:szCs w:val="18"/>
                <w:lang w:eastAsia="zh-CN"/>
              </w:rPr>
              <w:t>委、</w:t>
            </w:r>
            <w:r>
              <w:rPr>
                <w:rFonts w:hint="eastAsia" w:ascii="仿宋" w:hAnsi="仿宋" w:eastAsia="仿宋" w:cs="仿宋"/>
                <w:sz w:val="18"/>
                <w:szCs w:val="18"/>
                <w:lang w:val="en-US" w:eastAsia="zh-CN"/>
              </w:rPr>
              <w:t>市</w:t>
            </w:r>
            <w:r>
              <w:rPr>
                <w:rFonts w:hint="eastAsia" w:ascii="仿宋" w:hAnsi="仿宋" w:eastAsia="仿宋" w:cs="仿宋"/>
                <w:sz w:val="18"/>
                <w:szCs w:val="18"/>
                <w:lang w:eastAsia="zh-CN"/>
              </w:rPr>
              <w:t>政府</w:t>
            </w:r>
            <w:r>
              <w:rPr>
                <w:rFonts w:hint="eastAsia" w:ascii="仿宋" w:hAnsi="仿宋" w:eastAsia="仿宋" w:cs="仿宋"/>
                <w:sz w:val="18"/>
                <w:szCs w:val="18"/>
              </w:rPr>
              <w:t>的正确领导下，在上级统计部门的精心指导下，</w:t>
            </w:r>
            <w:r>
              <w:rPr>
                <w:rFonts w:hint="eastAsia" w:ascii="仿宋" w:hAnsi="仿宋" w:eastAsia="仿宋" w:cs="仿宋"/>
                <w:sz w:val="18"/>
                <w:szCs w:val="18"/>
                <w:lang w:val="en-US" w:eastAsia="zh-CN"/>
              </w:rPr>
              <w:t>我</w:t>
            </w:r>
            <w:r>
              <w:rPr>
                <w:rFonts w:hint="eastAsia" w:ascii="仿宋" w:hAnsi="仿宋" w:eastAsia="仿宋" w:cs="仿宋"/>
                <w:sz w:val="18"/>
                <w:szCs w:val="18"/>
              </w:rPr>
              <w:t>局坚持以习近平新时代中国特色社会主义思想为</w:t>
            </w:r>
            <w:r>
              <w:rPr>
                <w:rFonts w:hint="eastAsia" w:ascii="仿宋" w:hAnsi="仿宋" w:eastAsia="仿宋" w:cs="仿宋"/>
                <w:sz w:val="18"/>
                <w:szCs w:val="18"/>
                <w:lang w:val="en-US" w:eastAsia="zh-CN"/>
              </w:rPr>
              <w:t>指导，深入贯彻落实党的十九大及历次会议、党的二十大精神，统筹推进疫情防控和经济社会发展，扎实做好“六稳”工作，全面落实“六保”任务，坚持全面从严治党，</w:t>
            </w:r>
            <w:r>
              <w:rPr>
                <w:rFonts w:hint="eastAsia" w:ascii="仿宋" w:hAnsi="仿宋" w:eastAsia="仿宋" w:cs="仿宋"/>
                <w:sz w:val="18"/>
                <w:szCs w:val="18"/>
                <w:lang w:eastAsia="zh-CN"/>
              </w:rPr>
              <w:t>坚持</w:t>
            </w:r>
            <w:r>
              <w:rPr>
                <w:rFonts w:hint="eastAsia" w:ascii="仿宋" w:hAnsi="仿宋" w:eastAsia="仿宋" w:cs="仿宋"/>
                <w:sz w:val="18"/>
                <w:szCs w:val="18"/>
                <w:lang w:val="en-US" w:eastAsia="zh-CN"/>
              </w:rPr>
              <w:t>依法统计</w:t>
            </w:r>
            <w:r>
              <w:rPr>
                <w:rFonts w:hint="eastAsia" w:ascii="仿宋" w:hAnsi="仿宋" w:eastAsia="仿宋" w:cs="仿宋"/>
                <w:sz w:val="18"/>
                <w:szCs w:val="18"/>
                <w:lang w:eastAsia="zh-CN"/>
              </w:rPr>
              <w:t>依法治统，</w:t>
            </w:r>
            <w:r>
              <w:rPr>
                <w:rFonts w:hint="eastAsia" w:ascii="仿宋" w:hAnsi="仿宋" w:eastAsia="仿宋" w:cs="仿宋"/>
                <w:sz w:val="18"/>
                <w:szCs w:val="18"/>
                <w:lang w:val="en-US" w:eastAsia="zh-CN"/>
              </w:rPr>
              <w:t>坚决防范和惩治统计造假、弄虚作假，提高统计数据质量，提升统计服务水平。</w:t>
            </w:r>
          </w:p>
          <w:p w14:paraId="49243DE7">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2022年，我市实现地区生产总值577.12亿元，同比增长4.7%；城镇居民人均可支配收入44822元，同比增长4.7%；农村居民人均可支配收入25076元，同比增长6.7%。1-10月，全市规模工业增加值同比增长4.2%；社会消费品零售总额156亿元，同比增长2.8%；固定资产投资同比增长6.8%。</w:t>
            </w:r>
          </w:p>
          <w:p w14:paraId="60AC55A0">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一、以政治建设为统领，筑牢统计之魂</w:t>
            </w:r>
          </w:p>
          <w:p w14:paraId="3FE60B66">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一）强化党建引领，助力疫情防控。在扎实做好疫情防控、确保健康安全基础上，全体干部职工做到随叫随到、有令必到，坚决做到工作不乱、数据不断。新冠疫情对经济影响持续，我局组织专业人员积极调研分析，深入研判疫情对经济运行特别是对生产、需求、就业、消费等主要指标的影响，及时与相关部门和企业沟通，关注重点企业、重点行业的指标变化对全市的影响，提出有针对性的意见建议。做好监测分析，为市委、市政府决策提供统计保障。</w:t>
            </w:r>
          </w:p>
          <w:p w14:paraId="1C8789A8">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（二）加强理论学习，提升思想建设水平。年初局党组理论学习中心组研究制定了年度集中学习计划，学习内容以习近平总书记关于统计工作重</w:t>
            </w:r>
            <w:bookmarkStart w:id="0" w:name="_GoBack"/>
            <w:r>
              <w:rPr>
                <w:rFonts w:hint="eastAsia" w:ascii="仿宋" w:hAnsi="仿宋" w:eastAsia="仿宋" w:cs="仿宋"/>
                <w:sz w:val="18"/>
                <w:szCs w:val="18"/>
                <w:lang w:val="en-US" w:eastAsia="zh-CN"/>
              </w:rPr>
              <w:t>要讲话和重要</w:t>
            </w:r>
            <w:r>
              <w:rPr>
                <w:rFonts w:hint="eastAsia" w:ascii="仿宋" w:hAnsi="仿宋" w:eastAsia="仿宋" w:cs="仿宋"/>
                <w:sz w:val="18"/>
                <w:szCs w:val="18"/>
                <w:lang w:val="en-US" w:eastAsia="zh-CN"/>
              </w:rPr>
              <w:t>指示批示</w:t>
            </w:r>
            <w:bookmarkEnd w:id="0"/>
            <w:r>
              <w:rPr>
                <w:rFonts w:hint="eastAsia" w:ascii="仿宋" w:hAnsi="仿宋" w:eastAsia="仿宋" w:cs="仿宋"/>
                <w:sz w:val="18"/>
                <w:szCs w:val="18"/>
                <w:lang w:val="en-US" w:eastAsia="zh-CN"/>
              </w:rPr>
              <w:t>精神、习近平总书记关于推进马克思主义中国化时代化的重要论述等为重点，支部党员通过班子成员领学、党员集中学等方式重点学习了党的二十大精神、《关于更加有效发挥统计监督职能作用的意见》等。局党组理论学习中心组开展集中学习12次、24学时，通过学习引导局全体党员牢固树立正确的人生观、价值观、事业观，增强“四个意识”、坚定“四个自信”、做到“两个维护”。</w:t>
            </w:r>
          </w:p>
          <w:p w14:paraId="4B27C35E">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三）加强党员教育管理，强化队伍建设。一是严格落实“三会一课”制度。全年召开党员大会2次、支部委员会议12次。二是认真落实党员活动日制度。按照市委组织部要求，密切结合统计部门工作实际，将主题党日活动与党史学习教育、基层调研等工作有机结合，积极推进。三是支部按时足额收缴党费。全年，局支部19名党员，共缴纳党费4915元。四是做好机关支部换届。10月份，局机关支部举行换届选举，全体党员选举产生了新一届支部委员会。</w:t>
            </w:r>
          </w:p>
          <w:p w14:paraId="1486B605">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四）强化意识形态工作落实，凝聚同心力和正能量。一是加强组织领导，强化责任落实。我局成立了意识形态工作领导小组，由党组书记担任领导小组组长，支部书记担任副组长，其他班子成员为领导小组成员，为切实推动意识形态和网络意识形态工作落到实处提供坚实保障。二是注重顶层设计、细化部署安排。结合统计工作实际，制定意识形态工作计划与意识形态工作实施方案。明确工作要求、要点，为进一步推动意识形态工作责任制落实提供良好抓手。三是强化理论学习，注重宣传教育。将意识形态工作纳入学习内容，切实抓好思想教育工作。及时传达习近平总书记关于意识形态工作的重要讲话指示批示精神，以及中央、省、湘潭市委关于意识形态的重要文件。</w:t>
            </w:r>
          </w:p>
          <w:p w14:paraId="0F03462A">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二、认真</w:t>
            </w:r>
            <w:r>
              <w:rPr>
                <w:rFonts w:hint="eastAsia" w:ascii="仿宋" w:hAnsi="仿宋" w:eastAsia="仿宋" w:cs="仿宋"/>
                <w:sz w:val="18"/>
                <w:szCs w:val="18"/>
              </w:rPr>
              <w:t>做好</w:t>
            </w:r>
            <w:r>
              <w:rPr>
                <w:rFonts w:hint="eastAsia" w:ascii="仿宋" w:hAnsi="仿宋" w:eastAsia="仿宋" w:cs="仿宋"/>
                <w:sz w:val="18"/>
                <w:szCs w:val="18"/>
                <w:lang w:val="en-US" w:eastAsia="zh-CN"/>
              </w:rPr>
              <w:t>第五次全国经济</w:t>
            </w:r>
            <w:r>
              <w:rPr>
                <w:rFonts w:hint="eastAsia" w:ascii="仿宋" w:hAnsi="仿宋" w:eastAsia="仿宋" w:cs="仿宋"/>
                <w:sz w:val="18"/>
                <w:szCs w:val="18"/>
              </w:rPr>
              <w:t>普查</w:t>
            </w:r>
            <w:r>
              <w:rPr>
                <w:rFonts w:hint="eastAsia" w:ascii="仿宋" w:hAnsi="仿宋" w:eastAsia="仿宋" w:cs="仿宋"/>
                <w:sz w:val="18"/>
                <w:szCs w:val="18"/>
                <w:lang w:val="en-US" w:eastAsia="zh-CN"/>
              </w:rPr>
              <w:t>筹备工作</w:t>
            </w:r>
          </w:p>
          <w:p w14:paraId="30A43A31">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一）成立五经普筹备领导小组。根据《全国经济普查条例》，2023年将开展第五次全国经济普查，这是“十四五”时期的一次重大国情国力调查，对于全面查清全市经济活动单位分布，经济总量、结构，全面掌握我市经济运行状况和经济社会发展新变化、新特征，深化统计现代化改革，更加有效发挥统计监督职能具有重要意义。即将开展的第五次全国经济普查首次整合投入产出调查，信息化和大数据应用程度更高，技术难度更大。为做好五经普各项筹备工作，我局成立了五经普</w:t>
            </w:r>
            <w:r>
              <w:rPr>
                <w:rFonts w:hint="eastAsia" w:ascii="仿宋" w:hAnsi="仿宋" w:eastAsia="仿宋" w:cs="仿宋"/>
                <w:sz w:val="18"/>
                <w:szCs w:val="18"/>
                <w:lang w:val="en" w:eastAsia="zh-CN"/>
              </w:rPr>
              <w:t>筹备领导小组及办公室，</w:t>
            </w:r>
            <w:r>
              <w:rPr>
                <w:rFonts w:hint="eastAsia" w:ascii="仿宋" w:hAnsi="仿宋" w:eastAsia="仿宋" w:cs="仿宋"/>
                <w:sz w:val="18"/>
                <w:szCs w:val="18"/>
                <w:lang w:val="en-US" w:eastAsia="zh-CN"/>
              </w:rPr>
              <w:t>并在2023年财政预算中申请足够的普查经费，保障我市五经普工作顺利开展。</w:t>
            </w:r>
          </w:p>
          <w:p w14:paraId="2EFE7B84">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（二）结合统计开放日，开展普查宣传工作。9月19日，我局与国家统计局湘乡调查队联合在法治广场开展第十三届统计开放日活动，</w:t>
            </w:r>
            <w:r>
              <w:rPr>
                <w:rFonts w:hint="eastAsia" w:ascii="仿宋" w:hAnsi="仿宋" w:eastAsia="仿宋" w:cs="仿宋"/>
                <w:sz w:val="18"/>
                <w:szCs w:val="18"/>
              </w:rPr>
              <w:t>以“</w:t>
            </w:r>
            <w:r>
              <w:rPr>
                <w:rFonts w:hint="eastAsia" w:ascii="仿宋" w:hAnsi="仿宋" w:eastAsia="仿宋" w:cs="仿宋"/>
                <w:sz w:val="18"/>
                <w:szCs w:val="18"/>
                <w:lang w:val="en-US" w:eastAsia="zh-CN"/>
              </w:rPr>
              <w:t>数说新时代 奋进新征程</w:t>
            </w:r>
            <w:r>
              <w:rPr>
                <w:rFonts w:hint="eastAsia" w:ascii="仿宋" w:hAnsi="仿宋" w:eastAsia="仿宋" w:cs="仿宋"/>
                <w:sz w:val="18"/>
                <w:szCs w:val="18"/>
              </w:rPr>
              <w:t>”为主题，</w:t>
            </w:r>
            <w:r>
              <w:rPr>
                <w:rFonts w:hint="eastAsia" w:ascii="仿宋" w:hAnsi="仿宋" w:eastAsia="仿宋" w:cs="仿宋"/>
                <w:sz w:val="18"/>
                <w:szCs w:val="18"/>
                <w:lang w:val="en-US" w:eastAsia="zh-CN"/>
              </w:rPr>
              <w:t>宣传党的十八大以来湘乡统计事业、湘乡经济社会发展成就，</w:t>
            </w:r>
            <w:r>
              <w:rPr>
                <w:rFonts w:hint="eastAsia" w:ascii="仿宋" w:hAnsi="仿宋" w:eastAsia="仿宋" w:cs="仿宋"/>
                <w:sz w:val="18"/>
                <w:szCs w:val="18"/>
              </w:rPr>
              <w:t>充分展现统计调查部门立足新发展阶段、贯彻新发展理念、构建新发展格局的改革举措。</w:t>
            </w:r>
            <w:r>
              <w:rPr>
                <w:rFonts w:hint="eastAsia" w:ascii="仿宋" w:hAnsi="仿宋" w:eastAsia="仿宋" w:cs="仿宋"/>
                <w:sz w:val="18"/>
                <w:szCs w:val="18"/>
                <w:lang w:val="en-US" w:eastAsia="zh-CN"/>
              </w:rPr>
              <w:t>活动现场，通过宣传展板、发放统计知识手册等向群众宣传统计知识和五经普相关内容，提高经济普查的知晓度和配合度。</w:t>
            </w:r>
          </w:p>
          <w:p w14:paraId="4C3CEC86">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三、强化监测，切实履行统计职能</w:t>
            </w:r>
          </w:p>
          <w:p w14:paraId="083F3D1B">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一）服务经济社会发展大局。围绕市委、市政府工作目标，主动与发改局、科工局、商务局等相关职能部门沟通协调，密切关注宏观经济运行的各项指标变化，做好实时预警监测。今年以来，面对新冠疫情的持续反复，面对多重风险叠加、多种困难交织的复杂局面，全市上下迎难而上，全力稳增长，经济运行稳中有进。</w:t>
            </w:r>
          </w:p>
          <w:p w14:paraId="74391255">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二）着力提高统计数据质量。夯实统计基层基础，加强基本单位名录库动态维护管理，把好入库关、退库关，督促调查对象依法建立健全统计台账，提高源头数据质量。健全落实数据质量全流程监管机制，加强数据生产全流程质量管控、数据质量审核评估全过程监督，完善数据质量追溯和问责制度。强化责任追究，严肃查处统计造假、弄虚作假行为，倒逼提高统计数据质量。全年新增“四上”企业63家，其中，建筑业企业10家、房地产企业3家、规模工业企业21家、规模以上服务业10家、商贸企业19家。</w:t>
            </w:r>
          </w:p>
          <w:p w14:paraId="6D0C943D">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三）精准做好统计监测分析服务。加强经济运行监测，提高统计数据分析研究水平，强化经济形势预研预判，更好服务市委、市政府决策。坚持问题导向，聚焦经济社会发展热点、难点、痛点、堵点，高质量发展的短板弱项，加强专题调研，提出对策建议。全年编印了统计月报11期，编写了《2021年湘乡市国民经济与社会发展统计公报》、县域经济监测报告、季度经济形势分析等数篇分析材料，分析当下经济发展存在的问题，提出下一步工作思路，为市领导全面深入了解全市经济发展形势、科学决策做好服务。</w:t>
            </w:r>
          </w:p>
          <w:p w14:paraId="3C1A57C0">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四、依法治统，发挥统计监督职能</w:t>
            </w:r>
          </w:p>
          <w:p w14:paraId="042B8DBC">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一）坚持抓“关键少数”。紧紧抓住领导干部这个“关键少数”开展统计法治工作。建立健全统计法进党校常态化机制，统计法律知识成为领导干部培训班必修课内容。结合国家统计督察反馈意见整改工作，市委、市政府示范引领，乡镇党委政府对标看齐，深入学习贯彻习近平总书记关于统计工作重要讲话重要指示批示精神、中央系列重要文件和统计法，从严抓好整改，依法统计依法治统氛围更加浓厚。</w:t>
            </w:r>
          </w:p>
          <w:p w14:paraId="149D858D">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二）推动统计监督，加强执法力度。规范执法程序，创新执法方式，加大统计执法检查力度，全年对34家企事业单位进行了执法检查，依纪依法查处统计违纪违法行为。营造不敢假、不能假、不想假的良好统计生态。加强统计数据质量监管，将统计监督融入日常、抓在经常。严格落实统计严重失信企业和人员联合惩戒制度、行政许可行政处罚信用信息“双公示”制度，广泛接受社会监督。</w:t>
            </w:r>
          </w:p>
          <w:p w14:paraId="440D00CE">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 xml:space="preserve">    （三）创新方式，加大统计法律法规宣传。印制统计法“13个不得”宣传折页，发放给各职能部门、统计人员和统计调查对象，进一步增强相关人员的统计责任和法治意识。制作统计法律法规宣传展板，借力宪法宣传日、“9.20中国统计开放日”、湘乡年鉴等进行统计宣传，进一步增强社会公众对统计法律法规知识的了解，提升统计的社会知晓度。</w:t>
            </w:r>
          </w:p>
          <w:p w14:paraId="3055EEA9">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四）从严抓好国家统计督察反馈意见整改工作。针对国家统计督察反馈意见指出的4个方面10个具体问题，制定整改方案，明确了20条整改措施和责任单位责任人，严格按规定时限完成各项整改任务。根据全省统计造假不收手不收敛问题专项纠治工作动员部署会要求，强化责任担当，坚持上下联动，扎实开展统计造假不收手不收敛问题专项纠治工作。构建防范和惩治统计造假弄虚作假长效机制，持续推进督察整改，巩固整改成果，构建不敢、不能、不想造假的统计环境。</w:t>
            </w:r>
          </w:p>
          <w:p w14:paraId="4CB1BE56">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 xml:space="preserve">    五、强化责任担当，落实党风廉政建设责任制</w:t>
            </w:r>
          </w:p>
          <w:p w14:paraId="7DC284F6">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eastAsia="zh-CN"/>
              </w:rPr>
            </w:pPr>
            <w:r>
              <w:rPr>
                <w:rFonts w:hint="eastAsia" w:ascii="仿宋" w:hAnsi="仿宋" w:eastAsia="仿宋" w:cs="仿宋"/>
                <w:sz w:val="18"/>
                <w:szCs w:val="18"/>
                <w:lang w:val="en-US" w:eastAsia="zh-CN"/>
              </w:rPr>
              <w:t>（一）强化“一岗双责”，认真落实责任。进一步强化责任担当，推进全面从严治党主体责任落地生根。严格落实领导班子成员党风廉政建设责任制，履行好“一岗双责”，将党风廉政建设自觉融入到统计业务工作之中，与之同研究、同部署、同落实，做到守土有责、守土尽责，形成一级抓一级、层层抓落实的工作格局。</w:t>
            </w:r>
          </w:p>
          <w:p w14:paraId="657191AC">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（二）加强经常性教育，筑牢思想防线。利用学习强国、微信办公群等平台，经常性重申纪律要求，教育全局干部职工始终绷紧纪律这根弦。</w:t>
            </w:r>
            <w:r>
              <w:rPr>
                <w:rFonts w:hint="eastAsia" w:ascii="仿宋" w:hAnsi="仿宋" w:eastAsia="仿宋" w:cs="仿宋"/>
                <w:sz w:val="18"/>
                <w:szCs w:val="18"/>
                <w:lang w:eastAsia="zh-CN"/>
              </w:rPr>
              <w:t>教育引导全体党员干部不断强化“四个意识”，</w:t>
            </w:r>
            <w:r>
              <w:rPr>
                <w:rFonts w:hint="eastAsia" w:ascii="仿宋" w:hAnsi="仿宋" w:eastAsia="仿宋" w:cs="仿宋"/>
                <w:sz w:val="18"/>
                <w:szCs w:val="18"/>
              </w:rPr>
              <w:t>坚持把行风建设贯穿于统计业务工作之中，用良好的统计行风为业务工作的顺利开展保驾护航，确保统计干部守住“底线”、不踩“红线”，不触“高压线”。</w:t>
            </w:r>
          </w:p>
          <w:p w14:paraId="43CFF59B">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三）强化监督制约，规范权力运行。加强“八小时以外”监督管理，严格落实“八项支出”精神和纠正“四风”有关事项报备制度。坚持“马上就办、办就办好”，坚持杜绝形式主义官僚主义，持之以恒推进作风建设。</w:t>
            </w:r>
          </w:p>
          <w:p w14:paraId="0E879EF8">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四）加强廉政风险防控。深入查找各股室、二级机构的廉政风险点，定期开展干部廉政谈话、述职述廉，做细做实日常监督检查，及时掌握干部职工思想、工作、生活状况，对苗头性、倾向性问题做到咬耳扯袖及时提醒，防范于未然。</w:t>
            </w:r>
          </w:p>
          <w:p w14:paraId="0A00C032">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eastAsia="zh-CN"/>
              </w:rPr>
              <w:t>一年来，我局较好地完成了各项工作任务，取得一定的成绩，得到各级领导的肯定。</w:t>
            </w:r>
            <w:r>
              <w:rPr>
                <w:rFonts w:hint="eastAsia" w:ascii="仿宋" w:hAnsi="仿宋" w:eastAsia="仿宋" w:cs="仿宋"/>
                <w:sz w:val="18"/>
                <w:szCs w:val="18"/>
                <w:lang w:val="en-US" w:eastAsia="zh-CN"/>
              </w:rPr>
              <w:t>这些成绩离不开市委、市政府高度重视、正确领导，离不开省、湘潭市统计局大力指导和支持，离不开全市各级各部门的充分理解和积极配合，更离不开全市统计工作者的默默奉献和踏实苦干。</w:t>
            </w:r>
            <w:r>
              <w:rPr>
                <w:rFonts w:hint="eastAsia" w:ascii="仿宋" w:hAnsi="仿宋" w:eastAsia="仿宋" w:cs="仿宋"/>
                <w:sz w:val="18"/>
                <w:szCs w:val="18"/>
                <w:lang w:eastAsia="zh-CN"/>
              </w:rPr>
              <w:t>我局将继续</w:t>
            </w:r>
            <w:r>
              <w:rPr>
                <w:rFonts w:hint="eastAsia" w:ascii="仿宋" w:hAnsi="仿宋" w:eastAsia="仿宋" w:cs="仿宋"/>
                <w:sz w:val="18"/>
                <w:szCs w:val="18"/>
                <w:lang w:val="en-US" w:eastAsia="zh-CN"/>
              </w:rPr>
              <w:t>以习近平新时代中国特色社会主义思想为指导，深化统计改革，完善统计体制，提高数据质量，加强统计服务，为建设实力湘乡、打造幸福龙城提供坚实的统计保障。</w:t>
            </w:r>
          </w:p>
          <w:p w14:paraId="214E108E">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p>
        </w:tc>
      </w:tr>
      <w:tr w14:paraId="01002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1380" w:type="dxa"/>
            <w:vMerge w:val="restart"/>
            <w:noWrap w:val="0"/>
            <w:vAlign w:val="center"/>
          </w:tcPr>
          <w:p w14:paraId="663033A1">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存在的问题分析及改进措施</w:t>
            </w:r>
          </w:p>
        </w:tc>
        <w:tc>
          <w:tcPr>
            <w:tcW w:w="2365" w:type="dxa"/>
            <w:noWrap w:val="0"/>
            <w:vAlign w:val="center"/>
          </w:tcPr>
          <w:p w14:paraId="0F8E96A9">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w:t>
            </w:r>
          </w:p>
        </w:tc>
        <w:tc>
          <w:tcPr>
            <w:tcW w:w="5654" w:type="dxa"/>
            <w:noWrap w:val="0"/>
            <w:vAlign w:val="center"/>
          </w:tcPr>
          <w:p w14:paraId="773D2444">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1.预算编制的口径与实际执行出现误差。按照现行的预算编制原则，人员经费和日常公用经费都是按照上年度九月份的工资表反映的人数安排，而实际执行中单位工作人员往往有变动或流动、以及人员工资调整。</w:t>
            </w:r>
          </w:p>
          <w:p w14:paraId="1F09A75D">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2.预算编制的分类和实行执行出现脱节。预算编制的功能分类与经济分类不够细化，而实际支出中的情况更加多元化和明细化，出现了分类不一致的情况。</w:t>
            </w:r>
          </w:p>
          <w:p w14:paraId="15E57325">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p>
        </w:tc>
      </w:tr>
      <w:tr w14:paraId="6FC2D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jc w:val="center"/>
        </w:trPr>
        <w:tc>
          <w:tcPr>
            <w:tcW w:w="1380" w:type="dxa"/>
            <w:vMerge w:val="continue"/>
            <w:noWrap w:val="0"/>
            <w:vAlign w:val="top"/>
          </w:tcPr>
          <w:p w14:paraId="69013676">
            <w:pPr>
              <w:rPr>
                <w:rFonts w:hint="eastAsia" w:ascii="仿宋" w:hAnsi="仿宋" w:eastAsia="仿宋" w:cs="仿宋"/>
                <w:sz w:val="28"/>
                <w:szCs w:val="28"/>
              </w:rPr>
            </w:pPr>
          </w:p>
        </w:tc>
        <w:tc>
          <w:tcPr>
            <w:tcW w:w="2365" w:type="dxa"/>
            <w:noWrap w:val="0"/>
            <w:vAlign w:val="center"/>
          </w:tcPr>
          <w:p w14:paraId="73D4176F">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改进措施</w:t>
            </w:r>
          </w:p>
        </w:tc>
        <w:tc>
          <w:tcPr>
            <w:tcW w:w="5654" w:type="dxa"/>
            <w:noWrap w:val="0"/>
            <w:vAlign w:val="center"/>
          </w:tcPr>
          <w:p w14:paraId="4DF890BD">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1.进一步强化预算管理意识，预算编制前多与有关各方做好沟通衔接，提高预算编制的科学性、合理性、准确性和可控性。</w:t>
            </w:r>
          </w:p>
          <w:p w14:paraId="03E2E8D9">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2.完善各类支出管理制度、明细收支项目，坚持专款专用，提高预算编制的前瞻性和指导性。</w:t>
            </w:r>
          </w:p>
          <w:p w14:paraId="2926AD6F">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3.进一步完善绩效管理相关制度，提高可操作性。</w:t>
            </w:r>
          </w:p>
          <w:p w14:paraId="13C76C7F">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4.构建单位财务人员和业务人员共同参与、协调配合的绩效评价工作机制，落实 “谁干事谁花钱、谁花钱谁担责”的权责机制，提高财政资金使用效益。</w:t>
            </w:r>
          </w:p>
          <w:p w14:paraId="1DBF2650">
            <w:pPr>
              <w:keepNext w:val="0"/>
              <w:keepLines w:val="0"/>
              <w:pageBreakBefore w:val="0"/>
              <w:widowControl w:val="0"/>
              <w:kinsoku/>
              <w:wordWrap/>
              <w:overflowPunct/>
              <w:topLinePunct w:val="0"/>
              <w:autoSpaceDE/>
              <w:autoSpaceDN/>
              <w:bidi w:val="0"/>
              <w:adjustRightInd/>
              <w:snapToGrid/>
              <w:spacing w:line="200" w:lineRule="exact"/>
              <w:ind w:right="880" w:rightChars="419"/>
              <w:jc w:val="left"/>
              <w:textAlignment w:val="auto"/>
              <w:rPr>
                <w:rFonts w:hint="eastAsia" w:ascii="仿宋" w:hAnsi="仿宋" w:eastAsia="仿宋" w:cs="仿宋"/>
                <w:sz w:val="18"/>
                <w:szCs w:val="18"/>
              </w:rPr>
            </w:pPr>
          </w:p>
        </w:tc>
      </w:tr>
      <w:tr w14:paraId="52C2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jc w:val="center"/>
        </w:trPr>
        <w:tc>
          <w:tcPr>
            <w:tcW w:w="1380" w:type="dxa"/>
            <w:vMerge w:val="continue"/>
            <w:noWrap w:val="0"/>
            <w:vAlign w:val="top"/>
          </w:tcPr>
          <w:p w14:paraId="027380B4">
            <w:pPr>
              <w:rPr>
                <w:rFonts w:hint="eastAsia" w:ascii="仿宋" w:hAnsi="仿宋" w:eastAsia="仿宋" w:cs="仿宋"/>
                <w:sz w:val="28"/>
                <w:szCs w:val="28"/>
              </w:rPr>
            </w:pPr>
          </w:p>
        </w:tc>
        <w:tc>
          <w:tcPr>
            <w:tcW w:w="2365" w:type="dxa"/>
            <w:noWrap w:val="0"/>
            <w:vAlign w:val="center"/>
          </w:tcPr>
          <w:p w14:paraId="525439C7">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其他需要说明问题</w:t>
            </w:r>
          </w:p>
        </w:tc>
        <w:tc>
          <w:tcPr>
            <w:tcW w:w="5654" w:type="dxa"/>
            <w:noWrap w:val="0"/>
            <w:vAlign w:val="center"/>
          </w:tcPr>
          <w:p w14:paraId="009FD15B">
            <w:pPr>
              <w:spacing w:line="576" w:lineRule="exact"/>
              <w:ind w:right="880" w:rightChars="419"/>
              <w:jc w:val="center"/>
              <w:rPr>
                <w:rFonts w:hint="eastAsia" w:ascii="仿宋" w:hAnsi="仿宋" w:eastAsia="仿宋" w:cs="仿宋"/>
                <w:sz w:val="28"/>
                <w:szCs w:val="28"/>
                <w:lang w:eastAsia="zh-CN"/>
              </w:rPr>
            </w:pPr>
            <w:r>
              <w:rPr>
                <w:rFonts w:hint="eastAsia" w:ascii="仿宋" w:hAnsi="仿宋" w:eastAsia="仿宋" w:cs="仿宋"/>
                <w:sz w:val="15"/>
                <w:szCs w:val="15"/>
                <w:lang w:val="en-US" w:eastAsia="zh-CN"/>
              </w:rPr>
              <w:t>无</w:t>
            </w:r>
          </w:p>
        </w:tc>
      </w:tr>
    </w:tbl>
    <w:p w14:paraId="0C8CF33C">
      <w:pPr>
        <w:rPr>
          <w:rFonts w:hint="eastAsia" w:ascii="仿宋" w:hAnsi="仿宋" w:eastAsia="仿宋" w:cs="仿宋"/>
          <w:kern w:val="0"/>
          <w:sz w:val="32"/>
          <w:szCs w:val="32"/>
        </w:rPr>
      </w:pPr>
    </w:p>
    <w:p w14:paraId="798397D2">
      <w:pPr>
        <w:spacing w:line="440" w:lineRule="exact"/>
        <w:rPr>
          <w:rFonts w:ascii="仿宋" w:hAnsi="仿宋" w:eastAsia="仿宋" w:cs="仿宋"/>
          <w:kern w:val="0"/>
          <w:sz w:val="32"/>
          <w:szCs w:val="32"/>
        </w:rPr>
      </w:pPr>
      <w:r>
        <w:rPr>
          <w:rFonts w:ascii="仿宋" w:hAnsi="仿宋" w:eastAsia="仿宋" w:cs="仿宋"/>
          <w:kern w:val="0"/>
          <w:sz w:val="32"/>
          <w:szCs w:val="32"/>
        </w:rPr>
        <w:br w:type="page"/>
      </w:r>
    </w:p>
    <w:p w14:paraId="641DE15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mODU3YzE1MjJiMTYwNDJkOTJhYThkNWZiZjEwMDYifQ=="/>
  </w:docVars>
  <w:rsids>
    <w:rsidRoot w:val="00000000"/>
    <w:rsid w:val="03DE6187"/>
    <w:rsid w:val="07272415"/>
    <w:rsid w:val="09706350"/>
    <w:rsid w:val="0A2E2EE2"/>
    <w:rsid w:val="0BE22F76"/>
    <w:rsid w:val="0F6603A3"/>
    <w:rsid w:val="1E2766DA"/>
    <w:rsid w:val="3BBD1E1E"/>
    <w:rsid w:val="45704D2B"/>
    <w:rsid w:val="47A63829"/>
    <w:rsid w:val="49FA0F46"/>
    <w:rsid w:val="4C727D36"/>
    <w:rsid w:val="55BE0BDA"/>
    <w:rsid w:val="67945A15"/>
    <w:rsid w:val="756302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3"/>
    <w:uiPriority w:val="99"/>
    <w:pPr>
      <w:tabs>
        <w:tab w:val="center" w:pos="4153"/>
        <w:tab w:val="right" w:pos="8306"/>
      </w:tabs>
      <w:snapToGrid w:val="0"/>
      <w:jc w:val="left"/>
    </w:pPr>
    <w:rPr>
      <w:sz w:val="18"/>
    </w:rPr>
  </w:style>
  <w:style w:type="paragraph" w:customStyle="1" w:styleId="3">
    <w:name w:val="UserStyle_2"/>
    <w:basedOn w:val="1"/>
    <w:next w:val="1"/>
    <w:qFormat/>
    <w:uiPriority w:val="0"/>
    <w:pPr>
      <w:spacing w:before="100" w:beforeAutospacing="1" w:after="100" w:afterAutospacing="1" w:line="240" w:lineRule="auto"/>
      <w:ind w:left="1680"/>
    </w:pPr>
    <w:rPr>
      <w:rFonts w:ascii="Calibri" w:hAnsi="Calibri" w:eastAsia="宋体"/>
      <w:kern w:val="2"/>
      <w:sz w:val="21"/>
      <w:szCs w:val="21"/>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paragraph" w:customStyle="1" w:styleId="7">
    <w:name w:val="BodyText1I"/>
    <w:basedOn w:val="1"/>
    <w:qFormat/>
    <w:uiPriority w:val="99"/>
    <w:pPr>
      <w:snapToGrid w:val="0"/>
      <w:spacing w:line="360" w:lineRule="auto"/>
      <w:ind w:firstLine="420" w:firstLineChars="100"/>
    </w:pPr>
    <w:rPr>
      <w:sz w:val="28"/>
      <w:szCs w:val="20"/>
    </w:rPr>
  </w:style>
  <w:style w:type="character" w:customStyle="1" w:styleId="8">
    <w:name w:val="font112"/>
    <w:qFormat/>
    <w:uiPriority w:val="0"/>
    <w:rPr>
      <w:rFonts w:hint="eastAsia" w:ascii="宋体" w:hAnsi="宋体" w:eastAsia="宋体" w:cs="宋体"/>
      <w:b/>
      <w:bCs/>
      <w:color w:val="000000"/>
      <w:sz w:val="21"/>
      <w:szCs w:val="21"/>
      <w:u w:val="none"/>
    </w:rPr>
  </w:style>
  <w:style w:type="character" w:customStyle="1" w:styleId="9">
    <w:name w:val="font91"/>
    <w:qFormat/>
    <w:uiPriority w:val="0"/>
    <w:rPr>
      <w:rFonts w:hint="default" w:ascii="Times New Roman" w:hAnsi="Times New Roman" w:cs="Times New Roman"/>
      <w:b/>
      <w:bCs/>
      <w:color w:val="000000"/>
      <w:sz w:val="21"/>
      <w:szCs w:val="21"/>
      <w:u w:val="none"/>
    </w:rPr>
  </w:style>
  <w:style w:type="paragraph" w:styleId="10">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5051</Words>
  <Characters>5183</Characters>
  <Lines>0</Lines>
  <Paragraphs>0</Paragraphs>
  <TotalTime>12</TotalTime>
  <ScaleCrop>false</ScaleCrop>
  <LinksUpToDate>false</LinksUpToDate>
  <CharactersWithSpaces>5255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2023-05-04T00:43:00Z</dcterms:created>
  <dc:creator>Lenovo</dc:creator>
  <cp:lastModifiedBy>ωёi゛</cp:lastModifiedBy>
  <dcterms:modified xsi:type="dcterms:W3CDTF">2025-07-10T02:30:16Z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E3E4F688CFDE418B947D2A605672B80F_13</vt:lpwstr>
  </property>
  <property fmtid="{D5CDD505-2E9C-101B-9397-08002B2CF9AE}" pid="4" name="KSOTemplateDocerSaveRecord">
    <vt:lpwstr>eyJoZGlkIjoiMzAyZTI1OTQxNDA3MzIzMDUxNzljZWY4OTVjM2ZiZTUiLCJ1c2VySWQiOiI1MDQ0NjM0NDUifQ==</vt:lpwstr>
  </property>
</Properties>
</file>