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0A5BE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-11"/>
          <w:sz w:val="36"/>
          <w:szCs w:val="36"/>
          <w:lang w:val="en-US" w:eastAsia="zh-CN"/>
        </w:rPr>
        <w:t>莲虾生态综合种养技术</w:t>
      </w:r>
    </w:p>
    <w:p w14:paraId="2B20CD00">
      <w:pPr>
        <w:spacing w:line="540" w:lineRule="exact"/>
        <w:ind w:firstLine="56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/>
          <w:sz w:val="28"/>
          <w:szCs w:val="28"/>
          <w:lang w:eastAsia="zh-CN"/>
        </w:rPr>
        <w:t>湘乡市</w:t>
      </w:r>
      <w:r>
        <w:rPr>
          <w:rFonts w:hint="eastAsia" w:ascii="仿宋_GB2312" w:hAnsi="Calibri" w:eastAsia="仿宋_GB2312"/>
          <w:sz w:val="28"/>
          <w:szCs w:val="28"/>
        </w:rPr>
        <w:t>农业农村局编印</w:t>
      </w:r>
      <w:bookmarkStart w:id="0" w:name="_GoBack"/>
      <w:bookmarkEnd w:id="0"/>
      <w:r>
        <w:rPr>
          <w:rFonts w:hint="eastAsia" w:ascii="仿宋_GB2312" w:hAnsi="Calibri" w:eastAsia="仿宋_GB2312"/>
          <w:sz w:val="28"/>
          <w:szCs w:val="28"/>
        </w:rPr>
        <w:t>(202</w:t>
      </w: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Calibri" w:eastAsia="仿宋_GB2312"/>
          <w:sz w:val="28"/>
          <w:szCs w:val="28"/>
        </w:rPr>
        <w:t>年</w:t>
      </w: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Calibri" w:eastAsia="仿宋_GB2312"/>
          <w:sz w:val="28"/>
          <w:szCs w:val="28"/>
        </w:rPr>
        <w:t>月)</w:t>
      </w:r>
    </w:p>
    <w:p w14:paraId="667AB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技术要点</w:t>
      </w:r>
    </w:p>
    <w:p w14:paraId="2F4C8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莲田选择</w:t>
      </w:r>
    </w:p>
    <w:p w14:paraId="15ADA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莲田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底质自然结构含沙比例低于20%，保水性能好，莲田产地环境应符合NY/T 391《绿色食品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产地环境技术条件》的规定，水质应符合GB 11607《渔业水质标准》的要求。</w:t>
      </w:r>
    </w:p>
    <w:p w14:paraId="73018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（二）田间工程</w:t>
      </w:r>
    </w:p>
    <w:p w14:paraId="2D5AD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开沟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在莲田田埂内侧0.5-1米处开挖环型或“L”水沟，宽2-4米，深0.6～0.8米，坡比1：1。视莲田大小可开挖“回”或“田”型水沟。沟的面积不能超过莲田总面积的10%。</w:t>
      </w:r>
    </w:p>
    <w:p w14:paraId="0F975A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田埂加固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用虾沟挖出的泥土加固、加高、加宽田埂。田埂应高于田面0.8-1米，顶部宽1-2米，坡比1∶（1.25-1.5）。</w:t>
      </w:r>
    </w:p>
    <w:p w14:paraId="4FFCD3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防逃设施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莲田四周用石棉瓦、厚质塑料膜等制作（40-45）cm高的防逃网。进水口用40目、排水口用60目网片过滤防逃网。</w:t>
      </w:r>
    </w:p>
    <w:p w14:paraId="316B36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进排水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进、排水口应分别位于莲田对角，高灌低排，定期整修。</w:t>
      </w:r>
    </w:p>
    <w:p w14:paraId="148E6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（三）湘莲种植</w:t>
      </w:r>
    </w:p>
    <w:p w14:paraId="42160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应符合HNZ185-2018《绿色食品（A）级 湘莲生产技术规程》要求。</w:t>
      </w:r>
    </w:p>
    <w:p w14:paraId="6C9AF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（四）放养准备</w:t>
      </w:r>
    </w:p>
    <w:p w14:paraId="46B1E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清田消毒。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清理虾沟、修正垮塌。新开虾田可用生石灰每亩100-150kg消毒，留虾莲田可用茶粕每亩20-25kg消毒。</w:t>
      </w:r>
    </w:p>
    <w:p w14:paraId="4747D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注水。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沟内前期注水10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20cm，随着水草生长逐渐加高水位。</w:t>
      </w:r>
    </w:p>
    <w:p w14:paraId="0DB83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试水。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投放虾苗前在虾沟中放置30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50尾小苗箱，观察24小时。</w:t>
      </w:r>
    </w:p>
    <w:p w14:paraId="1E1ED2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植草。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10月至翌年2月，在虾沟中移植伊乐藻、轮叶黑藻、扁担草，草间隔5m一簇，水草占沟面积35-50％。</w:t>
      </w:r>
    </w:p>
    <w:p w14:paraId="12684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（五）虾的投放</w:t>
      </w:r>
    </w:p>
    <w:p w14:paraId="5BBD8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虾苗。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虾苗应附肢齐全、无损伤，体表光泽无附着物，活力强。外购虾苗应检验检疫合格。</w:t>
      </w:r>
    </w:p>
    <w:p w14:paraId="15122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亲虾。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亲虾应附肢齐全、无损伤，体表光泽无附着物，活力强，体重35g以上，雄性宜大于雌性。外购亲虾应检验检疫合格。</w:t>
      </w:r>
    </w:p>
    <w:p w14:paraId="53AE9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虾体消毒。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放养前应用莲田水浇淋湿透，然后用20mg/L浓度的高锰酸钾或聚维酮碘溶液浸泡消毒（5-10）min。</w:t>
      </w:r>
    </w:p>
    <w:p w14:paraId="0529B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4.投放时间与密度。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3月初放养尾重≤5g的虾苗，每亩不超过20kg。6-7月放养尾重35g左右的亲虾，每亩不超过25kg。</w:t>
      </w:r>
    </w:p>
    <w:p w14:paraId="0D166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（六）投饲管理</w:t>
      </w:r>
    </w:p>
    <w:p w14:paraId="4994C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饲料种类。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主要有黄豆、饼粕、麸皮、米糠、豆渣和虾专用配合饲料等。</w:t>
      </w:r>
    </w:p>
    <w:p w14:paraId="2C5C6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投饲。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应定时、定量、定质、定位投喂，饲料均匀投放在环沟滩上；日投喂配合饲料量为总体重幼虾2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4%、成虾1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3%，如养殖水体天然饵料丰富则可减少投喂。集中脱壳前减少投喂，脱壳后加量投喂。</w:t>
      </w:r>
    </w:p>
    <w:p w14:paraId="13179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（七）日常管理</w:t>
      </w:r>
    </w:p>
    <w:p w14:paraId="4ADE1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管水。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3月份放养之初，虾沟水深40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50cm。莲田水深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6月份10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20cm、7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8月份30-50cm、9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10月份 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30cm。</w:t>
      </w:r>
    </w:p>
    <w:p w14:paraId="5AB81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巡田。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早晚巡田，观察虾的摄食、活动情况，及时处理病死虾。</w:t>
      </w:r>
    </w:p>
    <w:p w14:paraId="24FEF3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换水。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莲田虾沟水体蓝、绿藻大量繁殖呈绿色或水温35℃左右应及时换水，换水量一般为3％。</w:t>
      </w:r>
    </w:p>
    <w:p w14:paraId="40185C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281" w:firstLineChars="1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调水。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可用益生菌调控水质。</w:t>
      </w:r>
    </w:p>
    <w:p w14:paraId="1B90D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（八）病害防治</w:t>
      </w:r>
    </w:p>
    <w:p w14:paraId="40FBE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预防为主，防治结合。主要病害有蛙、水蛇、泥鳅、黄鳝、肉食性鱼类、水老鼠及水鸟等敌害及甲壳溃烂病和纤毛虫病等疾病。应清除田内敌害生物，药物使用应符合GB 31650《食品中兽药最大残留限量》、SC/T 1132《渔药使用规范》的规定。</w:t>
      </w:r>
    </w:p>
    <w:p w14:paraId="505A1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（九）捕捞</w:t>
      </w:r>
    </w:p>
    <w:p w14:paraId="7DED7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捕捞时间。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从4月底开始，10月结束。</w:t>
      </w:r>
    </w:p>
    <w:p w14:paraId="62E89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捕捞工具。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捕捞工具主要是网眼3.5-4cm的地笼。</w:t>
      </w:r>
    </w:p>
    <w:p w14:paraId="1D710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捕捞方法。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晚上在围沟里放地笼，凌晨收虾。5-7天移动一次地笼位置，以增强捕捞效果。最后排放只留虾沟水，用抄网在沟中来回抄捕。</w:t>
      </w:r>
    </w:p>
    <w:p w14:paraId="27683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（十）种养记录</w:t>
      </w:r>
    </w:p>
    <w:p w14:paraId="48AEB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应符合DB43/T 634-2011《畜禽水产养殖档案记录规范》要求。</w:t>
      </w:r>
    </w:p>
    <w:p w14:paraId="6B339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二、适宜区域</w:t>
      </w:r>
    </w:p>
    <w:p w14:paraId="5C443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湘潭市莲田种植区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0BFA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三、注意事项</w:t>
      </w:r>
    </w:p>
    <w:p w14:paraId="1B949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重点做好虾的防逃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防盗工作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，在进、排水口安装好防逃、过滤设施，严防敌害生物进入。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注意开挖的虾沟和田间沟面积不超过莲田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面积的10%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C6AD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375AB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CD4BF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CD4BF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NmI2YTZiNzIzYjgyMTkyMDhkM2JkYjY0MzZjOWEifQ=="/>
  </w:docVars>
  <w:rsids>
    <w:rsidRoot w:val="00000000"/>
    <w:rsid w:val="035F7BF9"/>
    <w:rsid w:val="070B0BFB"/>
    <w:rsid w:val="0B37457E"/>
    <w:rsid w:val="0EC16B66"/>
    <w:rsid w:val="25316A20"/>
    <w:rsid w:val="277123AA"/>
    <w:rsid w:val="2A3F7D3F"/>
    <w:rsid w:val="2A4542B3"/>
    <w:rsid w:val="37866FB4"/>
    <w:rsid w:val="3A1304D7"/>
    <w:rsid w:val="3B3F0E63"/>
    <w:rsid w:val="3BC072C2"/>
    <w:rsid w:val="4B9A3DA9"/>
    <w:rsid w:val="55D76807"/>
    <w:rsid w:val="57FF00AA"/>
    <w:rsid w:val="593D7C74"/>
    <w:rsid w:val="5F026047"/>
    <w:rsid w:val="5F2E7871"/>
    <w:rsid w:val="6B6D03B0"/>
    <w:rsid w:val="6F8F703D"/>
    <w:rsid w:val="72820905"/>
    <w:rsid w:val="7AF3614E"/>
    <w:rsid w:val="7B08062C"/>
    <w:rsid w:val="996F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一级条标题"/>
    <w:basedOn w:val="1"/>
    <w:next w:val="9"/>
    <w:qFormat/>
    <w:uiPriority w:val="0"/>
    <w:pPr>
      <w:widowControl/>
      <w:spacing w:beforeLines="50" w:afterLines="50"/>
      <w:ind w:left="284"/>
      <w:jc w:val="left"/>
      <w:outlineLvl w:val="2"/>
    </w:pPr>
    <w:rPr>
      <w:rFonts w:ascii="黑体" w:hAnsi="黑体" w:eastAsia="黑体" w:cs="宋体"/>
      <w:kern w:val="0"/>
      <w:szCs w:val="21"/>
    </w:rPr>
  </w:style>
  <w:style w:type="paragraph" w:customStyle="1" w:styleId="9">
    <w:name w:val="段"/>
    <w:basedOn w:val="1"/>
    <w:qFormat/>
    <w:uiPriority w:val="0"/>
    <w:pPr>
      <w:widowControl/>
      <w:autoSpaceDE w:val="0"/>
      <w:autoSpaceDN w:val="0"/>
      <w:ind w:firstLine="420" w:firstLineChars="200"/>
    </w:pPr>
    <w:rPr>
      <w:rFonts w:ascii="宋体" w:hAnsi="宋体" w:eastAsia="宋体" w:cs="宋体"/>
      <w:kern w:val="0"/>
      <w:szCs w:val="21"/>
    </w:rPr>
  </w:style>
  <w:style w:type="paragraph" w:customStyle="1" w:styleId="10">
    <w:name w:val="章标题"/>
    <w:basedOn w:val="1"/>
    <w:next w:val="9"/>
    <w:qFormat/>
    <w:uiPriority w:val="0"/>
    <w:pPr>
      <w:widowControl/>
      <w:spacing w:beforeLines="100" w:afterLines="100"/>
      <w:outlineLvl w:val="1"/>
    </w:pPr>
    <w:rPr>
      <w:rFonts w:ascii="黑体" w:hAnsi="黑体" w:eastAsia="黑体" w:cs="宋体"/>
      <w:kern w:val="0"/>
      <w:szCs w:val="21"/>
    </w:rPr>
  </w:style>
  <w:style w:type="paragraph" w:customStyle="1" w:styleId="11">
    <w:name w:val="二级无"/>
    <w:basedOn w:val="12"/>
    <w:qFormat/>
    <w:uiPriority w:val="0"/>
    <w:pPr>
      <w:widowControl/>
      <w:jc w:val="left"/>
      <w:outlineLvl w:val="3"/>
    </w:pPr>
    <w:rPr>
      <w:rFonts w:ascii="宋体" w:hAnsi="宋体" w:eastAsia="宋体" w:cs="宋体"/>
      <w:kern w:val="0"/>
      <w:szCs w:val="21"/>
    </w:rPr>
  </w:style>
  <w:style w:type="paragraph" w:customStyle="1" w:styleId="12">
    <w:name w:val="二级条标题"/>
    <w:basedOn w:val="8"/>
    <w:next w:val="9"/>
    <w:qFormat/>
    <w:uiPriority w:val="0"/>
    <w:pPr>
      <w:ind w:left="142"/>
      <w:outlineLvl w:val="3"/>
    </w:pPr>
  </w:style>
  <w:style w:type="paragraph" w:customStyle="1" w:styleId="13">
    <w:name w:val="三级无"/>
    <w:basedOn w:val="14"/>
    <w:qFormat/>
    <w:uiPriority w:val="0"/>
    <w:pPr>
      <w:widowControl/>
      <w:ind w:left="568"/>
      <w:jc w:val="left"/>
      <w:outlineLvl w:val="4"/>
    </w:pPr>
    <w:rPr>
      <w:rFonts w:ascii="宋体" w:hAnsi="宋体" w:eastAsia="宋体" w:cs="宋体"/>
      <w:kern w:val="0"/>
      <w:szCs w:val="21"/>
    </w:rPr>
  </w:style>
  <w:style w:type="paragraph" w:customStyle="1" w:styleId="14">
    <w:name w:val="三级条标题"/>
    <w:basedOn w:val="12"/>
    <w:next w:val="9"/>
    <w:qFormat/>
    <w:uiPriority w:val="0"/>
    <w:pPr>
      <w:outlineLvl w:val="4"/>
    </w:pPr>
  </w:style>
  <w:style w:type="paragraph" w:customStyle="1" w:styleId="15">
    <w:name w:val="字母编号列项（一级）"/>
    <w:basedOn w:val="1"/>
    <w:qFormat/>
    <w:uiPriority w:val="0"/>
    <w:pPr>
      <w:widowControl/>
      <w:spacing w:before="100" w:beforeAutospacing="1" w:after="100" w:afterAutospacing="1"/>
      <w:ind w:left="1129" w:hanging="419"/>
    </w:pPr>
    <w:rPr>
      <w:rFonts w:ascii="宋体" w:hAnsi="宋体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1290</Words>
  <Characters>1496</Characters>
  <Lines>0</Lines>
  <Paragraphs>0</Paragraphs>
  <TotalTime>16</TotalTime>
  <ScaleCrop>false</ScaleCrop>
  <LinksUpToDate>false</LinksUpToDate>
  <CharactersWithSpaces>1505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2023-04-19T10:57:00Z</dcterms:created>
  <dc:creator>Administrator</dc:creator>
  <cp:lastModifiedBy>安琪儿</cp:lastModifiedBy>
  <dcterms:modified xsi:type="dcterms:W3CDTF">2025-07-28T03:04:50Z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915EE31116144691A759FF8E1643F6B4_13</vt:lpwstr>
  </property>
  <property fmtid="{D5CDD505-2E9C-101B-9397-08002B2CF9AE}" pid="4" name="KSOTemplateDocerSaveRecord">
    <vt:lpwstr>eyJoZGlkIjoiODcxM2U3YWI5NmE3N2IxNmJlYTllMjFiZjdlZjY3MzEiLCJ1c2VySWQiOiIyODk4NDAxMjYifQ==</vt:lpwstr>
  </property>
</Properties>
</file>