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45409">
      <w:pPr>
        <w:spacing w:line="600" w:lineRule="exact"/>
        <w:jc w:val="center"/>
        <w:rPr>
          <w:rFonts w:eastAsia="方正小标宋_GBK"/>
          <w:sz w:val="36"/>
          <w:szCs w:val="36"/>
        </w:rPr>
      </w:pPr>
      <w:r>
        <w:rPr>
          <w:rFonts w:hint="eastAsia" w:eastAsia="方正小标宋_GBK"/>
          <w:sz w:val="36"/>
          <w:szCs w:val="36"/>
          <w:lang w:val="en-US" w:eastAsia="zh-CN"/>
        </w:rPr>
        <w:t>社会救助工作经费项目</w:t>
      </w:r>
      <w:r>
        <w:rPr>
          <w:rFonts w:eastAsia="方正小标宋_GBK"/>
          <w:sz w:val="36"/>
          <w:szCs w:val="36"/>
        </w:rPr>
        <w:t>支出绩效</w:t>
      </w:r>
      <w:r>
        <w:rPr>
          <w:rFonts w:hint="eastAsia" w:eastAsia="方正小标宋_GBK"/>
          <w:sz w:val="36"/>
          <w:szCs w:val="36"/>
          <w:lang w:val="en-US" w:eastAsia="zh-CN"/>
        </w:rPr>
        <w:t>自评</w:t>
      </w:r>
      <w:r>
        <w:rPr>
          <w:rFonts w:eastAsia="方正小标宋_GBK"/>
          <w:sz w:val="36"/>
          <w:szCs w:val="36"/>
        </w:rPr>
        <w:t>报告</w:t>
      </w:r>
    </w:p>
    <w:p w14:paraId="6382E819">
      <w:pPr>
        <w:adjustRightInd w:val="0"/>
        <w:spacing w:line="600" w:lineRule="exact"/>
        <w:ind w:right="641"/>
        <w:rPr>
          <w:rFonts w:eastAsia="仿宋_GB2312"/>
          <w:sz w:val="32"/>
          <w:szCs w:val="32"/>
        </w:rPr>
      </w:pPr>
    </w:p>
    <w:p w14:paraId="01C56282">
      <w:pPr>
        <w:adjustRightInd w:val="0"/>
        <w:snapToGrid w:val="0"/>
        <w:spacing w:line="600" w:lineRule="exact"/>
        <w:ind w:firstLine="640" w:firstLineChars="200"/>
        <w:rPr>
          <w:rFonts w:eastAsia="黑体"/>
          <w:sz w:val="32"/>
          <w:szCs w:val="32"/>
        </w:rPr>
      </w:pPr>
      <w:r>
        <w:rPr>
          <w:rFonts w:eastAsia="黑体"/>
          <w:sz w:val="32"/>
          <w:szCs w:val="32"/>
        </w:rPr>
        <w:t>一、预算支出概况</w:t>
      </w:r>
    </w:p>
    <w:p w14:paraId="06C41A95">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（一）项目实施单位基本情况。</w:t>
      </w:r>
    </w:p>
    <w:p w14:paraId="6A98F443">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2" w:afterAutospacing="0" w:line="600" w:lineRule="exact"/>
        <w:ind w:left="0" w:right="0" w:firstLine="630"/>
        <w:jc w:val="left"/>
        <w:textAlignment w:val="baseline"/>
        <w:rPr>
          <w:rFonts w:hint="eastAsia" w:ascii="仿宋" w:hAnsi="仿宋" w:eastAsia="仿宋" w:cs="仿宋"/>
          <w:i w:val="0"/>
          <w:iCs w:val="0"/>
          <w:caps w:val="0"/>
          <w:color w:val="000000"/>
          <w:spacing w:val="0"/>
          <w:sz w:val="32"/>
          <w:szCs w:val="32"/>
        </w:rPr>
      </w:pPr>
      <w:r>
        <w:rPr>
          <w:rFonts w:hint="eastAsia" w:ascii="仿宋" w:hAnsi="仿宋" w:eastAsia="仿宋" w:cs="仿宋"/>
          <w:color w:val="000000"/>
          <w:sz w:val="32"/>
          <w:szCs w:val="32"/>
          <w:highlight w:val="none"/>
          <w:lang w:eastAsia="zh-CN" w:bidi="ar-SA"/>
        </w:rPr>
        <w:t>湘乡市民政局是主管全市民政工作的市政府工作部门，</w:t>
      </w:r>
      <w:r>
        <w:rPr>
          <w:rFonts w:hint="eastAsia" w:ascii="仿宋" w:hAnsi="仿宋" w:eastAsia="仿宋" w:cs="仿宋"/>
          <w:i w:val="0"/>
          <w:iCs w:val="0"/>
          <w:caps w:val="0"/>
          <w:color w:val="000000"/>
          <w:spacing w:val="0"/>
          <w:sz w:val="32"/>
          <w:szCs w:val="32"/>
        </w:rPr>
        <w:t>社会救助管理股</w:t>
      </w:r>
      <w:r>
        <w:rPr>
          <w:rFonts w:hint="eastAsia" w:ascii="仿宋" w:hAnsi="仿宋" w:eastAsia="仿宋" w:cs="仿宋"/>
          <w:i w:val="0"/>
          <w:iCs w:val="0"/>
          <w:caps w:val="0"/>
          <w:color w:val="000000"/>
          <w:spacing w:val="0"/>
          <w:sz w:val="32"/>
          <w:szCs w:val="32"/>
          <w:lang w:eastAsia="zh-CN"/>
        </w:rPr>
        <w:t>和儿童福利股</w:t>
      </w:r>
      <w:r>
        <w:rPr>
          <w:rFonts w:hint="eastAsia" w:ascii="仿宋" w:hAnsi="仿宋" w:eastAsia="仿宋" w:cs="仿宋"/>
          <w:color w:val="000000"/>
          <w:sz w:val="32"/>
          <w:szCs w:val="32"/>
          <w:highlight w:val="none"/>
          <w:lang w:eastAsia="zh-CN" w:bidi="ar-SA"/>
        </w:rPr>
        <w:t>为市民政局内设</w:t>
      </w:r>
      <w:r>
        <w:rPr>
          <w:rFonts w:hint="eastAsia" w:ascii="仿宋" w:hAnsi="仿宋" w:eastAsia="仿宋" w:cs="仿宋"/>
          <w:color w:val="000000"/>
          <w:sz w:val="32"/>
          <w:szCs w:val="32"/>
          <w:highlight w:val="none"/>
          <w:lang w:val="en-US" w:eastAsia="zh-CN" w:bidi="ar-SA"/>
        </w:rPr>
        <w:t>股室</w:t>
      </w:r>
      <w:r>
        <w:rPr>
          <w:rFonts w:hint="eastAsia" w:ascii="仿宋" w:hAnsi="仿宋" w:eastAsia="仿宋" w:cs="仿宋"/>
          <w:color w:val="000000"/>
          <w:sz w:val="32"/>
          <w:szCs w:val="32"/>
          <w:highlight w:val="none"/>
          <w:lang w:eastAsia="zh-CN" w:bidi="ar-SA"/>
        </w:rPr>
        <w:t>，主要负责</w:t>
      </w:r>
      <w:r>
        <w:rPr>
          <w:rFonts w:hint="eastAsia" w:ascii="仿宋" w:hAnsi="仿宋" w:eastAsia="仿宋" w:cs="仿宋"/>
          <w:i w:val="0"/>
          <w:iCs w:val="0"/>
          <w:caps w:val="0"/>
          <w:snapToGrid w:val="0"/>
          <w:color w:val="000000"/>
          <w:spacing w:val="0"/>
          <w:kern w:val="0"/>
          <w:sz w:val="32"/>
          <w:szCs w:val="32"/>
          <w:lang w:val="en-US" w:eastAsia="zh-CN" w:bidi="ar"/>
        </w:rPr>
        <w:t>全市城乡居民最低生活保障、临时救助工作；负责特困人员供养和农村乡镇敬老院建设管理的业务指导工作；负责城乡社会救助体系建设工作；拟订城乡居民最低生活保障对象家庭收入核查办法和操作程序；拟订儿童福利、孤弃儿童保障、儿童收养、儿童救助保护政策、标准并组织实施；健全农村留守儿童关爱服务体系和困境儿童保障制度，指导儿童福利、收养登记、救助保护机构建设和管理工作。</w:t>
      </w:r>
    </w:p>
    <w:p w14:paraId="231D61C4">
      <w:pPr>
        <w:numPr>
          <w:ilvl w:val="0"/>
          <w:numId w:val="1"/>
        </w:num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预算资金基本情况包括预算资金基本性质、用途和主要内容、涉及范围等。</w:t>
      </w:r>
    </w:p>
    <w:p w14:paraId="172CC85D">
      <w:pPr>
        <w:numPr>
          <w:ilvl w:val="0"/>
          <w:numId w:val="0"/>
        </w:numPr>
        <w:spacing w:line="5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预算资金基本性质为一般公共预算拨款。主要用全市儿童主任岗位津贴的发放、农村留守儿童综合保障保险费以及为各项社会救助政策的落实向乡镇办、行政村提供必要的办公用品等工作经费支出。</w:t>
      </w:r>
    </w:p>
    <w:p w14:paraId="6891A77D">
      <w:pPr>
        <w:numPr>
          <w:ilvl w:val="0"/>
          <w:numId w:val="1"/>
        </w:numPr>
        <w:adjustRightInd w:val="0"/>
        <w:snapToGrid w:val="0"/>
        <w:spacing w:line="600" w:lineRule="exact"/>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预算资金绩效目标，包括总体目标和年度目标。</w:t>
      </w:r>
    </w:p>
    <w:p w14:paraId="3D0E8D4A">
      <w:pPr>
        <w:widowControl/>
        <w:numPr>
          <w:ilvl w:val="0"/>
          <w:numId w:val="0"/>
        </w:numPr>
        <w:adjustRightInd w:val="0"/>
        <w:snapToGrid w:val="0"/>
        <w:spacing w:line="58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rPr>
        <w:t>总体目标</w:t>
      </w:r>
      <w:r>
        <w:rPr>
          <w:rFonts w:hint="eastAsia" w:ascii="仿宋" w:hAnsi="仿宋" w:eastAsia="仿宋" w:cs="仿宋"/>
          <w:sz w:val="32"/>
          <w:szCs w:val="32"/>
          <w:lang w:eastAsia="zh-CN"/>
        </w:rPr>
        <w:t>：社会救助事关困难群众基本生活的衣食冷暖，是一项保民生、促公平的托底性、基础性制度安排。通过社会救助工作经费的配备，达到民政政策宣传到位，民政补贴补助申报、监管到位，人员信息异动报送，动态管理到位。防止民政资金不虚报、不冒领现象发生。通过</w:t>
      </w:r>
      <w:r>
        <w:rPr>
          <w:rFonts w:hint="eastAsia" w:ascii="仿宋" w:hAnsi="仿宋" w:eastAsia="仿宋" w:cs="仿宋"/>
          <w:sz w:val="32"/>
          <w:szCs w:val="32"/>
          <w:lang w:val="en-US" w:eastAsia="zh-CN"/>
        </w:rPr>
        <w:t>儿童主任岗位津贴的发放、农村留守儿童综合保障保险费的缴纳广泛开展各类关爱服务活动，为留守儿童、孤儿、困境儿童身心健康发展打造更好的成长环境。</w:t>
      </w:r>
    </w:p>
    <w:p w14:paraId="540826C7">
      <w:pPr>
        <w:pStyle w:val="2"/>
        <w:numPr>
          <w:ilvl w:val="0"/>
          <w:numId w:val="0"/>
        </w:numPr>
        <w:ind w:firstLine="640" w:firstLineChars="200"/>
        <w:rPr>
          <w:rFonts w:hint="eastAsia" w:ascii="仿宋" w:hAnsi="仿宋" w:eastAsia="仿宋_GB2312" w:cs="仿宋"/>
          <w:sz w:val="32"/>
          <w:szCs w:val="32"/>
          <w:lang w:eastAsia="zh-CN"/>
        </w:rPr>
      </w:pPr>
      <w:r>
        <w:rPr>
          <w:rFonts w:eastAsia="仿宋_GB2312"/>
          <w:sz w:val="32"/>
          <w:szCs w:val="32"/>
        </w:rPr>
        <w:t>年度目标</w:t>
      </w:r>
      <w:r>
        <w:rPr>
          <w:rFonts w:hint="eastAsia"/>
          <w:sz w:val="32"/>
          <w:szCs w:val="32"/>
          <w:lang w:eastAsia="zh-CN"/>
        </w:rPr>
        <w:t>：按进度拨付儿童主任岗位津贴，为</w:t>
      </w:r>
      <w:r>
        <w:rPr>
          <w:rFonts w:hint="eastAsia" w:ascii="仿宋" w:hAnsi="仿宋" w:eastAsia="仿宋" w:cs="仿宋"/>
          <w:sz w:val="32"/>
          <w:szCs w:val="32"/>
          <w:lang w:val="en-US" w:eastAsia="zh-CN"/>
        </w:rPr>
        <w:t>农村留守儿童、孤儿、困境儿童缴纳综合保障保险费以及为乡镇办、行政村提供必要的办公用品，提升社会救助工作效率，切实保障困难群众基本生活，社会救助水平整体提升。</w:t>
      </w:r>
    </w:p>
    <w:p w14:paraId="4E8C3080">
      <w:pPr>
        <w:numPr>
          <w:ilvl w:val="0"/>
          <w:numId w:val="2"/>
        </w:numPr>
        <w:adjustRightInd w:val="0"/>
        <w:snapToGrid w:val="0"/>
        <w:spacing w:line="600" w:lineRule="exact"/>
        <w:ind w:firstLine="640" w:firstLineChars="200"/>
        <w:rPr>
          <w:rFonts w:eastAsia="黑体"/>
          <w:sz w:val="32"/>
          <w:szCs w:val="32"/>
        </w:rPr>
      </w:pPr>
      <w:r>
        <w:rPr>
          <w:rFonts w:eastAsia="黑体"/>
          <w:sz w:val="32"/>
          <w:szCs w:val="32"/>
        </w:rPr>
        <w:t>预算资金使用及管理情况</w:t>
      </w:r>
    </w:p>
    <w:p w14:paraId="32CC9E58">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（一）预算资金及自筹资金的安排落实、总投入等情况。</w:t>
      </w:r>
    </w:p>
    <w:p w14:paraId="2E043CEF">
      <w:pPr>
        <w:adjustRightInd w:val="0"/>
        <w:snapToGrid w:val="0"/>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2024年本级配套社会救助工作经费为80万元。</w:t>
      </w:r>
    </w:p>
    <w:p w14:paraId="3B4059BF">
      <w:pPr>
        <w:numPr>
          <w:ilvl w:val="0"/>
          <w:numId w:val="3"/>
        </w:num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预算资金实际使用情况。</w:t>
      </w:r>
    </w:p>
    <w:p w14:paraId="4C424CB6">
      <w:pPr>
        <w:pStyle w:val="2"/>
        <w:keepNext w:val="0"/>
        <w:keepLines w:val="0"/>
        <w:pageBreakBefore w:val="0"/>
        <w:widowControl w:val="0"/>
        <w:kinsoku/>
        <w:wordWrap/>
        <w:overflowPunct/>
        <w:topLinePunct w:val="0"/>
        <w:autoSpaceDE/>
        <w:autoSpaceDN/>
        <w:bidi w:val="0"/>
        <w:spacing w:line="520" w:lineRule="exact"/>
        <w:ind w:left="0" w:leftChars="0" w:firstLine="640" w:firstLineChars="200"/>
        <w:textAlignment w:val="auto"/>
        <w:rPr>
          <w:rFonts w:hint="eastAsia" w:ascii="仿宋" w:hAnsi="仿宋" w:eastAsia="仿宋" w:cs="仿宋"/>
          <w:kern w:val="0"/>
          <w:sz w:val="32"/>
          <w:szCs w:val="32"/>
          <w:highlight w:val="none"/>
          <w:lang w:val="en-US" w:eastAsia="zh-CN" w:bidi="ar-SA"/>
        </w:rPr>
      </w:pPr>
      <w:r>
        <w:rPr>
          <w:rFonts w:hint="eastAsia" w:ascii="仿宋" w:hAnsi="仿宋" w:eastAsia="仿宋" w:cs="仿宋"/>
          <w:kern w:val="0"/>
          <w:sz w:val="32"/>
          <w:szCs w:val="32"/>
          <w:highlight w:val="none"/>
          <w:lang w:val="en-US" w:eastAsia="zh-CN" w:bidi="ar-SA"/>
        </w:rPr>
        <w:t>2024年我市</w:t>
      </w:r>
      <w:r>
        <w:rPr>
          <w:rFonts w:hint="eastAsia" w:ascii="仿宋" w:hAnsi="仿宋" w:eastAsia="仿宋" w:cs="仿宋"/>
          <w:sz w:val="32"/>
          <w:szCs w:val="32"/>
          <w:lang w:val="en-US" w:eastAsia="zh-CN"/>
        </w:rPr>
        <w:t>社会救助工作经费</w:t>
      </w:r>
      <w:r>
        <w:rPr>
          <w:rFonts w:hint="eastAsia" w:ascii="仿宋" w:hAnsi="仿宋" w:eastAsia="仿宋" w:cs="仿宋"/>
          <w:kern w:val="0"/>
          <w:sz w:val="32"/>
          <w:szCs w:val="32"/>
          <w:highlight w:val="none"/>
          <w:lang w:val="en-US" w:eastAsia="zh-CN" w:bidi="ar-SA"/>
        </w:rPr>
        <w:t>支出78.792万元，其中儿童主任岗位津贴60.5万元，农村留守儿童综合保障保险13.158万元，印刷费等5.134万元。</w:t>
      </w:r>
    </w:p>
    <w:p w14:paraId="1C581719">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（三）预算资金管理情况分析，主要包括管理制度、办法的制订及执行情况。</w:t>
      </w:r>
    </w:p>
    <w:p w14:paraId="4EC46962">
      <w:pPr>
        <w:widowControl w:val="0"/>
        <w:shd w:val="clear" w:color="auto" w:fill="FFFFFF"/>
        <w:kinsoku/>
        <w:autoSpaceDE/>
        <w:autoSpaceDN/>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napToGrid/>
          <w:color w:val="000000"/>
          <w:kern w:val="0"/>
          <w:sz w:val="32"/>
          <w:szCs w:val="32"/>
          <w:lang w:val="en-US" w:eastAsia="zh-CN"/>
        </w:rPr>
        <w:t>我局为进一步加强局机关财务管理，规范财务行为，提高资金使用效益，确保局机关工作正常有序运转，根据有关财经法规的规定，结合我局实际，制定《湘乡市民政局财务管理制度》。</w:t>
      </w:r>
    </w:p>
    <w:p w14:paraId="3C53A301">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为强化民政资金监管，防范错发、漏发、乱发</w:t>
      </w:r>
      <w:r>
        <w:rPr>
          <w:rFonts w:hint="eastAsia" w:ascii="仿宋" w:hAnsi="仿宋" w:eastAsia="仿宋" w:cs="仿宋"/>
          <w:sz w:val="32"/>
          <w:szCs w:val="32"/>
          <w:lang w:eastAsia="zh-CN"/>
        </w:rPr>
        <w:t>行为，</w:t>
      </w:r>
      <w:r>
        <w:rPr>
          <w:rFonts w:hint="eastAsia" w:ascii="仿宋" w:hAnsi="仿宋" w:eastAsia="仿宋" w:cs="仿宋"/>
          <w:sz w:val="32"/>
          <w:szCs w:val="32"/>
        </w:rPr>
        <w:t>杜绝虚报、冒领、挪用现象的发生，</w:t>
      </w:r>
      <w:r>
        <w:rPr>
          <w:rFonts w:hint="eastAsia" w:ascii="仿宋" w:hAnsi="仿宋" w:eastAsia="仿宋" w:cs="仿宋"/>
          <w:sz w:val="32"/>
          <w:szCs w:val="32"/>
          <w:lang w:eastAsia="zh-CN"/>
        </w:rPr>
        <w:t>在全市范围内</w:t>
      </w:r>
      <w:r>
        <w:rPr>
          <w:rFonts w:hint="eastAsia" w:ascii="仿宋" w:hAnsi="仿宋" w:eastAsia="仿宋" w:cs="仿宋"/>
          <w:sz w:val="32"/>
          <w:szCs w:val="32"/>
        </w:rPr>
        <w:t>集中开展民政补贴对象的清查工作，做到民政补贴对象业务数据与“一卡通”</w:t>
      </w:r>
      <w:r>
        <w:rPr>
          <w:rFonts w:hint="eastAsia" w:ascii="仿宋" w:hAnsi="仿宋" w:eastAsia="仿宋" w:cs="仿宋"/>
          <w:sz w:val="32"/>
          <w:szCs w:val="32"/>
          <w:lang w:eastAsia="zh-CN"/>
        </w:rPr>
        <w:t>信息平台</w:t>
      </w:r>
      <w:r>
        <w:rPr>
          <w:rFonts w:hint="eastAsia" w:ascii="仿宋" w:hAnsi="仿宋" w:eastAsia="仿宋" w:cs="仿宋"/>
          <w:sz w:val="32"/>
          <w:szCs w:val="32"/>
        </w:rPr>
        <w:t>发放数据无缝对接。为有效杜绝和防范死亡人员、户口外迁人员</w:t>
      </w:r>
      <w:r>
        <w:rPr>
          <w:rFonts w:hint="eastAsia" w:ascii="仿宋" w:hAnsi="仿宋" w:eastAsia="仿宋" w:cs="仿宋"/>
          <w:sz w:val="32"/>
          <w:szCs w:val="32"/>
          <w:lang w:eastAsia="zh-CN"/>
        </w:rPr>
        <w:t>、</w:t>
      </w:r>
      <w:r>
        <w:rPr>
          <w:rFonts w:hint="eastAsia" w:ascii="仿宋" w:hAnsi="仿宋" w:eastAsia="仿宋" w:cs="仿宋"/>
          <w:sz w:val="32"/>
          <w:szCs w:val="32"/>
        </w:rPr>
        <w:t>不符合政</w:t>
      </w:r>
      <w:r>
        <w:rPr>
          <w:rFonts w:hint="eastAsia" w:ascii="仿宋" w:hAnsi="仿宋" w:eastAsia="仿宋" w:cs="仿宋"/>
          <w:sz w:val="32"/>
          <w:szCs w:val="32"/>
          <w:lang w:eastAsia="zh-CN"/>
        </w:rPr>
        <w:t>策</w:t>
      </w:r>
      <w:r>
        <w:rPr>
          <w:rFonts w:hint="eastAsia" w:ascii="仿宋" w:hAnsi="仿宋" w:eastAsia="仿宋" w:cs="仿宋"/>
          <w:sz w:val="32"/>
          <w:szCs w:val="32"/>
        </w:rPr>
        <w:t>条件违规享受救助待遇</w:t>
      </w:r>
      <w:r>
        <w:rPr>
          <w:rFonts w:hint="eastAsia" w:ascii="仿宋" w:hAnsi="仿宋" w:eastAsia="仿宋" w:cs="仿宋"/>
          <w:sz w:val="32"/>
          <w:szCs w:val="32"/>
          <w:lang w:eastAsia="zh-CN"/>
        </w:rPr>
        <w:t>对象</w:t>
      </w:r>
      <w:r>
        <w:rPr>
          <w:rFonts w:hint="eastAsia" w:ascii="仿宋" w:hAnsi="仿宋" w:eastAsia="仿宋" w:cs="仿宋"/>
          <w:sz w:val="32"/>
          <w:szCs w:val="32"/>
        </w:rPr>
        <w:t>的</w:t>
      </w:r>
      <w:r>
        <w:rPr>
          <w:rFonts w:hint="eastAsia" w:ascii="仿宋" w:hAnsi="仿宋" w:eastAsia="仿宋" w:cs="仿宋"/>
          <w:sz w:val="32"/>
          <w:szCs w:val="32"/>
          <w:lang w:eastAsia="zh-CN"/>
        </w:rPr>
        <w:t>清退</w:t>
      </w:r>
      <w:r>
        <w:rPr>
          <w:rFonts w:hint="eastAsia" w:ascii="仿宋" w:hAnsi="仿宋" w:eastAsia="仿宋" w:cs="仿宋"/>
          <w:sz w:val="32"/>
          <w:szCs w:val="32"/>
        </w:rPr>
        <w:t>工作，做</w:t>
      </w:r>
      <w:r>
        <w:rPr>
          <w:rFonts w:hint="eastAsia" w:ascii="仿宋" w:hAnsi="仿宋" w:eastAsia="仿宋" w:cs="仿宋"/>
          <w:sz w:val="32"/>
          <w:szCs w:val="32"/>
          <w:lang w:eastAsia="zh-CN"/>
        </w:rPr>
        <w:t>到</w:t>
      </w:r>
      <w:r>
        <w:rPr>
          <w:rFonts w:hint="eastAsia" w:ascii="仿宋" w:hAnsi="仿宋" w:eastAsia="仿宋" w:cs="仿宋"/>
          <w:sz w:val="32"/>
          <w:szCs w:val="32"/>
        </w:rPr>
        <w:t>村、</w:t>
      </w:r>
      <w:r>
        <w:rPr>
          <w:rFonts w:hint="eastAsia" w:ascii="仿宋" w:hAnsi="仿宋" w:eastAsia="仿宋" w:cs="仿宋"/>
          <w:sz w:val="32"/>
          <w:szCs w:val="32"/>
          <w:lang w:eastAsia="zh-CN"/>
        </w:rPr>
        <w:t>社区、</w:t>
      </w:r>
      <w:r>
        <w:rPr>
          <w:rFonts w:hint="eastAsia" w:ascii="仿宋" w:hAnsi="仿宋" w:eastAsia="仿宋" w:cs="仿宋"/>
          <w:sz w:val="32"/>
          <w:szCs w:val="32"/>
        </w:rPr>
        <w:t>乡镇（街道）主动发现问题，制定</w:t>
      </w:r>
      <w:r>
        <w:rPr>
          <w:rFonts w:hint="eastAsia" w:ascii="仿宋" w:hAnsi="仿宋" w:eastAsia="仿宋" w:cs="仿宋"/>
          <w:sz w:val="32"/>
          <w:szCs w:val="32"/>
          <w:lang w:eastAsia="zh-CN"/>
        </w:rPr>
        <w:t>下发了</w:t>
      </w:r>
      <w:r>
        <w:rPr>
          <w:rFonts w:hint="eastAsia" w:ascii="仿宋" w:hAnsi="仿宋" w:eastAsia="仿宋" w:cs="仿宋"/>
          <w:sz w:val="32"/>
          <w:szCs w:val="32"/>
        </w:rPr>
        <w:t>《湘乡市民政救助</w:t>
      </w:r>
      <w:r>
        <w:rPr>
          <w:rFonts w:hint="eastAsia" w:ascii="仿宋" w:hAnsi="仿宋" w:eastAsia="仿宋" w:cs="仿宋"/>
          <w:sz w:val="32"/>
          <w:szCs w:val="32"/>
          <w:lang w:eastAsia="zh-CN"/>
        </w:rPr>
        <w:t>补助</w:t>
      </w:r>
      <w:r>
        <w:rPr>
          <w:rFonts w:hint="eastAsia" w:ascii="仿宋" w:hAnsi="仿宋" w:eastAsia="仿宋" w:cs="仿宋"/>
          <w:sz w:val="32"/>
          <w:szCs w:val="32"/>
        </w:rPr>
        <w:t>资金虚报冒领行为防范工作暂行办法》</w:t>
      </w:r>
      <w:r>
        <w:rPr>
          <w:rFonts w:hint="eastAsia" w:ascii="仿宋" w:hAnsi="仿宋" w:eastAsia="仿宋" w:cs="仿宋"/>
          <w:sz w:val="32"/>
          <w:szCs w:val="32"/>
          <w:lang w:eastAsia="zh-CN"/>
        </w:rPr>
        <w:t>，</w:t>
      </w:r>
      <w:r>
        <w:rPr>
          <w:rFonts w:hint="eastAsia" w:ascii="仿宋" w:hAnsi="仿宋" w:eastAsia="仿宋" w:cs="仿宋"/>
          <w:sz w:val="32"/>
          <w:szCs w:val="32"/>
        </w:rPr>
        <w:t>健全完善</w:t>
      </w:r>
      <w:r>
        <w:rPr>
          <w:rFonts w:hint="eastAsia" w:ascii="仿宋" w:hAnsi="仿宋" w:eastAsia="仿宋" w:cs="仿宋"/>
          <w:sz w:val="32"/>
          <w:szCs w:val="32"/>
          <w:lang w:eastAsia="zh-CN"/>
        </w:rPr>
        <w:t>了</w:t>
      </w:r>
      <w:r>
        <w:rPr>
          <w:rFonts w:hint="eastAsia" w:ascii="仿宋" w:hAnsi="仿宋" w:eastAsia="仿宋" w:cs="仿宋"/>
          <w:sz w:val="32"/>
          <w:szCs w:val="32"/>
        </w:rPr>
        <w:t>民政</w:t>
      </w:r>
      <w:r>
        <w:rPr>
          <w:rFonts w:hint="eastAsia" w:ascii="仿宋" w:hAnsi="仿宋" w:eastAsia="仿宋" w:cs="仿宋"/>
          <w:sz w:val="32"/>
          <w:szCs w:val="32"/>
          <w:lang w:eastAsia="zh-CN"/>
        </w:rPr>
        <w:t>发放对象</w:t>
      </w:r>
      <w:r>
        <w:rPr>
          <w:rFonts w:hint="eastAsia" w:ascii="仿宋" w:hAnsi="仿宋" w:eastAsia="仿宋" w:cs="仿宋"/>
          <w:sz w:val="32"/>
          <w:szCs w:val="32"/>
        </w:rPr>
        <w:t>核查制度，</w:t>
      </w:r>
      <w:r>
        <w:rPr>
          <w:rFonts w:hint="eastAsia" w:ascii="仿宋" w:hAnsi="仿宋" w:eastAsia="仿宋" w:cs="仿宋"/>
          <w:sz w:val="32"/>
          <w:szCs w:val="32"/>
          <w:lang w:eastAsia="zh-CN"/>
        </w:rPr>
        <w:t>重点</w:t>
      </w:r>
      <w:r>
        <w:rPr>
          <w:rFonts w:hint="eastAsia" w:ascii="仿宋" w:hAnsi="仿宋" w:eastAsia="仿宋" w:cs="仿宋"/>
          <w:sz w:val="32"/>
          <w:szCs w:val="32"/>
        </w:rPr>
        <w:t>落实补贴信息异动月报告</w:t>
      </w:r>
      <w:r>
        <w:rPr>
          <w:rFonts w:hint="eastAsia" w:ascii="仿宋" w:hAnsi="仿宋" w:eastAsia="仿宋" w:cs="仿宋"/>
          <w:sz w:val="32"/>
          <w:szCs w:val="32"/>
          <w:lang w:eastAsia="zh-CN"/>
        </w:rPr>
        <w:t>、</w:t>
      </w:r>
      <w:r>
        <w:rPr>
          <w:rFonts w:hint="eastAsia" w:ascii="仿宋" w:hAnsi="仿宋" w:eastAsia="仿宋" w:cs="仿宋"/>
          <w:sz w:val="32"/>
          <w:szCs w:val="32"/>
        </w:rPr>
        <w:t>民政资金发放人员信息月公示</w:t>
      </w:r>
      <w:r>
        <w:rPr>
          <w:rFonts w:hint="eastAsia" w:ascii="仿宋" w:hAnsi="仿宋" w:eastAsia="仿宋" w:cs="仿宋"/>
          <w:sz w:val="32"/>
          <w:szCs w:val="32"/>
          <w:lang w:eastAsia="zh-CN"/>
        </w:rPr>
        <w:t>和对违法违纪违规行为</w:t>
      </w:r>
      <w:r>
        <w:rPr>
          <w:rFonts w:hint="eastAsia" w:ascii="仿宋" w:hAnsi="仿宋" w:eastAsia="仿宋" w:cs="仿宋"/>
          <w:sz w:val="32"/>
          <w:szCs w:val="32"/>
        </w:rPr>
        <w:t>举报奖惩</w:t>
      </w:r>
      <w:r>
        <w:rPr>
          <w:rFonts w:hint="eastAsia" w:ascii="仿宋" w:hAnsi="仿宋" w:eastAsia="仿宋" w:cs="仿宋"/>
          <w:sz w:val="32"/>
          <w:szCs w:val="32"/>
          <w:lang w:eastAsia="zh-CN"/>
        </w:rPr>
        <w:t>等</w:t>
      </w:r>
      <w:r>
        <w:rPr>
          <w:rFonts w:hint="eastAsia" w:ascii="仿宋" w:hAnsi="仿宋" w:eastAsia="仿宋" w:cs="仿宋"/>
          <w:sz w:val="32"/>
          <w:szCs w:val="32"/>
        </w:rPr>
        <w:t>制度。</w:t>
      </w:r>
    </w:p>
    <w:p w14:paraId="09502452">
      <w:pPr>
        <w:numPr>
          <w:ilvl w:val="0"/>
          <w:numId w:val="0"/>
        </w:numPr>
        <w:adjustRightInd w:val="0"/>
        <w:snapToGrid w:val="0"/>
        <w:spacing w:line="520" w:lineRule="exact"/>
        <w:ind w:firstLine="640" w:firstLineChars="200"/>
        <w:jc w:val="left"/>
        <w:rPr>
          <w:rFonts w:hint="eastAsia" w:ascii="仿宋" w:hAnsi="仿宋" w:eastAsia="仿宋" w:cs="仿宋"/>
          <w:sz w:val="32"/>
          <w:szCs w:val="32"/>
        </w:rPr>
      </w:pPr>
      <w:r>
        <w:rPr>
          <w:rFonts w:hint="eastAsia" w:ascii="仿宋" w:hAnsi="仿宋" w:eastAsia="仿宋" w:cs="仿宋"/>
          <w:b w:val="0"/>
          <w:bCs w:val="0"/>
          <w:sz w:val="32"/>
          <w:szCs w:val="32"/>
          <w:lang w:val="en-US" w:eastAsia="zh-CN"/>
        </w:rPr>
        <w:t>本项目资金严格按上述文件相关要求执行。实行专项核算，不存在截留、挤占、挪用、虚列支出等情况。</w:t>
      </w:r>
    </w:p>
    <w:p w14:paraId="57D06914">
      <w:pPr>
        <w:numPr>
          <w:ilvl w:val="0"/>
          <w:numId w:val="4"/>
        </w:numPr>
        <w:adjustRightInd w:val="0"/>
        <w:snapToGrid w:val="0"/>
        <w:spacing w:line="600" w:lineRule="exact"/>
        <w:ind w:firstLine="640" w:firstLineChars="200"/>
        <w:rPr>
          <w:rFonts w:eastAsia="黑体"/>
          <w:sz w:val="32"/>
          <w:szCs w:val="32"/>
        </w:rPr>
      </w:pPr>
      <w:r>
        <w:rPr>
          <w:rFonts w:eastAsia="黑体"/>
          <w:sz w:val="32"/>
          <w:szCs w:val="32"/>
        </w:rPr>
        <w:t>预算支出组织实施情况</w:t>
      </w:r>
    </w:p>
    <w:p w14:paraId="5126C8A4">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1、严格按《湘乡市政府采购办法》的相关规定，办公用品、印刷品等物资采购严格按规定要求按采购程序办理，严格资产管理，严格低值易耗品的领用登记。</w:t>
      </w:r>
    </w:p>
    <w:p w14:paraId="2DC9C9A6">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2、根据工作需要严格按</w:t>
      </w:r>
      <w:r>
        <w:rPr>
          <w:rFonts w:hint="eastAsia" w:ascii="仿宋" w:hAnsi="仿宋" w:eastAsia="仿宋" w:cs="仿宋"/>
          <w:sz w:val="32"/>
          <w:szCs w:val="32"/>
          <w:lang w:eastAsia="zh-CN"/>
        </w:rPr>
        <w:t>考核结果</w:t>
      </w:r>
      <w:bookmarkStart w:id="0" w:name="_GoBack"/>
      <w:bookmarkEnd w:id="0"/>
      <w:r>
        <w:rPr>
          <w:rFonts w:hint="eastAsia" w:ascii="仿宋" w:hAnsi="仿宋" w:eastAsia="仿宋" w:cs="仿宋"/>
          <w:sz w:val="32"/>
          <w:szCs w:val="32"/>
        </w:rPr>
        <w:t>拨付乡镇办</w:t>
      </w:r>
      <w:r>
        <w:rPr>
          <w:rFonts w:hint="eastAsia" w:ascii="仿宋" w:hAnsi="仿宋" w:eastAsia="仿宋" w:cs="仿宋"/>
          <w:sz w:val="32"/>
          <w:szCs w:val="32"/>
          <w:lang w:eastAsia="zh-CN"/>
        </w:rPr>
        <w:t>儿童主任岗位津贴</w:t>
      </w:r>
      <w:r>
        <w:rPr>
          <w:rFonts w:hint="eastAsia" w:ascii="仿宋" w:hAnsi="仿宋" w:eastAsia="仿宋" w:cs="仿宋"/>
          <w:sz w:val="32"/>
          <w:szCs w:val="32"/>
        </w:rPr>
        <w:t>。</w:t>
      </w:r>
    </w:p>
    <w:p w14:paraId="005BA666">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3、加强对乡镇办拨付资金的监督管理。</w:t>
      </w:r>
    </w:p>
    <w:p w14:paraId="08DE6A36">
      <w:pPr>
        <w:adjustRightInd w:val="0"/>
        <w:snapToGrid w:val="0"/>
        <w:spacing w:line="600" w:lineRule="exact"/>
        <w:ind w:firstLine="640" w:firstLineChars="200"/>
        <w:rPr>
          <w:rFonts w:eastAsia="黑体"/>
          <w:sz w:val="32"/>
          <w:szCs w:val="32"/>
        </w:rPr>
      </w:pPr>
      <w:r>
        <w:rPr>
          <w:rFonts w:eastAsia="黑体"/>
          <w:sz w:val="32"/>
          <w:szCs w:val="32"/>
        </w:rPr>
        <w:t>四、预算支出绩效情况</w:t>
      </w:r>
    </w:p>
    <w:p w14:paraId="654331AF">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（一）预算支出决策情况。</w:t>
      </w:r>
    </w:p>
    <w:p w14:paraId="02384033">
      <w:pPr>
        <w:widowControl/>
        <w:adjustRightInd w:val="0"/>
        <w:snapToGrid w:val="0"/>
        <w:spacing w:line="580" w:lineRule="exact"/>
        <w:ind w:firstLine="640" w:firstLineChars="200"/>
        <w:jc w:val="left"/>
        <w:rPr>
          <w:rFonts w:hint="eastAsia" w:ascii="仿宋" w:hAnsi="仿宋" w:eastAsia="仿宋" w:cs="仿宋"/>
          <w:b w:val="0"/>
          <w:bCs/>
          <w:kern w:val="0"/>
          <w:sz w:val="32"/>
          <w:szCs w:val="32"/>
          <w:highlight w:val="none"/>
          <w:lang w:eastAsia="zh-CN" w:bidi="ar-SA"/>
        </w:rPr>
      </w:pPr>
      <w:r>
        <w:rPr>
          <w:rFonts w:hint="eastAsia" w:ascii="仿宋" w:hAnsi="仿宋" w:eastAsia="仿宋" w:cs="仿宋"/>
          <w:b w:val="0"/>
          <w:bCs/>
          <w:kern w:val="0"/>
          <w:sz w:val="32"/>
          <w:szCs w:val="32"/>
          <w:highlight w:val="none"/>
          <w:lang w:eastAsia="zh-CN" w:bidi="ar-SA"/>
        </w:rPr>
        <w:t>本项目每年年初根据资金支持范围设立绩效目标，绩效目标设置合规，因素选择全面合理，预算确定的投资额与资金需求量相匹配。</w:t>
      </w:r>
    </w:p>
    <w:p w14:paraId="3C18C6B6">
      <w:pPr>
        <w:adjustRightInd w:val="0"/>
        <w:snapToGrid w:val="0"/>
        <w:spacing w:line="600" w:lineRule="exact"/>
        <w:ind w:firstLine="640" w:firstLineChars="200"/>
        <w:rPr>
          <w:rFonts w:eastAsia="仿宋_GB2312"/>
          <w:sz w:val="32"/>
          <w:szCs w:val="32"/>
        </w:rPr>
      </w:pPr>
    </w:p>
    <w:p w14:paraId="7F1C7C5E">
      <w:pPr>
        <w:numPr>
          <w:ilvl w:val="0"/>
          <w:numId w:val="0"/>
        </w:numPr>
        <w:adjustRightInd w:val="0"/>
        <w:snapToGrid w:val="0"/>
        <w:spacing w:line="600" w:lineRule="exact"/>
        <w:ind w:leftChars="200"/>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预算支出过程情况。</w:t>
      </w:r>
    </w:p>
    <w:p w14:paraId="01B500AF">
      <w:pPr>
        <w:widowControl/>
        <w:numPr>
          <w:ilvl w:val="0"/>
          <w:numId w:val="0"/>
        </w:numPr>
        <w:adjustRightInd w:val="0"/>
        <w:snapToGrid w:val="0"/>
        <w:spacing w:line="580" w:lineRule="exact"/>
        <w:ind w:firstLine="640" w:firstLineChars="200"/>
        <w:jc w:val="left"/>
        <w:rPr>
          <w:rFonts w:hint="eastAsia" w:ascii="仿宋" w:hAnsi="仿宋" w:eastAsia="仿宋" w:cs="仿宋"/>
          <w:bCs/>
          <w:kern w:val="0"/>
          <w:sz w:val="32"/>
          <w:szCs w:val="32"/>
          <w:highlight w:val="none"/>
          <w:lang w:val="en-US" w:eastAsia="zh-CN" w:bidi="ar-SA"/>
        </w:rPr>
      </w:pPr>
      <w:r>
        <w:rPr>
          <w:rFonts w:hint="eastAsia" w:ascii="仿宋" w:hAnsi="仿宋" w:eastAsia="仿宋" w:cs="仿宋"/>
          <w:bCs/>
          <w:kern w:val="0"/>
          <w:sz w:val="32"/>
          <w:szCs w:val="32"/>
          <w:highlight w:val="none"/>
          <w:lang w:val="en-US" w:eastAsia="zh-CN" w:bidi="ar-SA"/>
        </w:rPr>
        <w:t>资金使用符合国家财经法规和财务管理制度，严格按照</w:t>
      </w:r>
      <w:r>
        <w:rPr>
          <w:rFonts w:hint="eastAsia" w:ascii="仿宋" w:hAnsi="仿宋" w:eastAsia="仿宋" w:cs="仿宋"/>
          <w:sz w:val="32"/>
          <w:szCs w:val="32"/>
        </w:rPr>
        <w:t>《湖南省民政专项资金使用管理办法》、</w:t>
      </w:r>
      <w:r>
        <w:rPr>
          <w:rFonts w:hint="eastAsia" w:ascii="仿宋" w:hAnsi="仿宋" w:eastAsia="仿宋" w:cs="仿宋"/>
          <w:sz w:val="32"/>
          <w:szCs w:val="32"/>
          <w:lang w:eastAsia="zh-CN"/>
        </w:rPr>
        <w:t>《湘乡市民政局救助补助资金及民政项目资金监督管理实施办法》执行和实施，按照“专款专用、单独核算”的原则进行财务核算，儿童主任岗位津贴全部通过惠民惠农财政补助资金“一卡通”发放。其余</w:t>
      </w:r>
      <w:r>
        <w:rPr>
          <w:rFonts w:hint="eastAsia" w:ascii="仿宋" w:hAnsi="仿宋" w:eastAsia="仿宋" w:cs="仿宋"/>
          <w:sz w:val="32"/>
          <w:szCs w:val="32"/>
        </w:rPr>
        <w:t>严格按《湘乡市政府采购办法》的相关规定</w:t>
      </w:r>
      <w:r>
        <w:rPr>
          <w:rFonts w:hint="eastAsia" w:ascii="仿宋" w:hAnsi="仿宋" w:eastAsia="仿宋" w:cs="仿宋"/>
          <w:sz w:val="32"/>
          <w:szCs w:val="32"/>
          <w:lang w:eastAsia="zh-CN"/>
        </w:rPr>
        <w:t>执行。</w:t>
      </w:r>
    </w:p>
    <w:p w14:paraId="2F1BC766">
      <w:pPr>
        <w:numPr>
          <w:ilvl w:val="0"/>
          <w:numId w:val="3"/>
        </w:numPr>
        <w:adjustRightInd w:val="0"/>
        <w:snapToGrid w:val="0"/>
        <w:spacing w:line="600" w:lineRule="exact"/>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预算支出产出情况。</w:t>
      </w:r>
    </w:p>
    <w:p w14:paraId="56D7647F">
      <w:pPr>
        <w:pStyle w:val="4"/>
        <w:numPr>
          <w:ilvl w:val="0"/>
          <w:numId w:val="0"/>
        </w:numPr>
        <w:ind w:firstLine="640" w:firstLineChars="200"/>
        <w:rPr>
          <w:rFonts w:hint="eastAsia" w:ascii="仿宋" w:hAnsi="仿宋" w:eastAsia="仿宋" w:cs="仿宋"/>
          <w:sz w:val="32"/>
          <w:szCs w:val="32"/>
          <w:lang w:val="en-US"/>
        </w:rPr>
      </w:pPr>
      <w:r>
        <w:rPr>
          <w:rFonts w:hint="eastAsia" w:ascii="仿宋" w:hAnsi="仿宋" w:eastAsia="仿宋" w:cs="仿宋"/>
          <w:kern w:val="0"/>
          <w:sz w:val="32"/>
          <w:szCs w:val="32"/>
          <w:highlight w:val="none"/>
          <w:lang w:val="en-US" w:eastAsia="zh-CN" w:bidi="ar-SA"/>
        </w:rPr>
        <w:t>数量指标：</w:t>
      </w:r>
      <w:r>
        <w:rPr>
          <w:rFonts w:hint="eastAsia" w:ascii="仿宋" w:hAnsi="仿宋" w:eastAsia="仿宋" w:cs="仿宋"/>
          <w:sz w:val="32"/>
          <w:szCs w:val="32"/>
          <w:lang w:eastAsia="zh-CN"/>
        </w:rPr>
        <w:t>全市儿童主任人数</w:t>
      </w:r>
      <w:r>
        <w:rPr>
          <w:rFonts w:hint="eastAsia" w:ascii="仿宋" w:hAnsi="仿宋" w:eastAsia="仿宋" w:cs="仿宋"/>
          <w:sz w:val="32"/>
          <w:szCs w:val="32"/>
          <w:lang w:val="en-US" w:eastAsia="zh-CN"/>
        </w:rPr>
        <w:t>336人，</w:t>
      </w:r>
      <w:r>
        <w:rPr>
          <w:rFonts w:hint="eastAsia" w:ascii="仿宋" w:hAnsi="仿宋" w:eastAsia="仿宋" w:cs="仿宋"/>
          <w:sz w:val="32"/>
          <w:szCs w:val="32"/>
          <w:lang w:eastAsia="zh-CN"/>
        </w:rPr>
        <w:t>城市特困保障标准</w:t>
      </w:r>
      <w:r>
        <w:rPr>
          <w:rFonts w:hint="eastAsia" w:ascii="仿宋" w:hAnsi="仿宋" w:eastAsia="仿宋" w:cs="仿宋"/>
          <w:sz w:val="32"/>
          <w:szCs w:val="32"/>
          <w:lang w:val="en-US" w:eastAsia="zh-CN"/>
        </w:rPr>
        <w:t>10920元</w:t>
      </w:r>
      <w:r>
        <w:rPr>
          <w:rFonts w:hint="eastAsia" w:ascii="仿宋" w:hAnsi="仿宋" w:eastAsia="仿宋" w:cs="仿宋"/>
          <w:sz w:val="32"/>
          <w:szCs w:val="32"/>
        </w:rPr>
        <w:t>/</w:t>
      </w:r>
      <w:r>
        <w:rPr>
          <w:rFonts w:hint="eastAsia" w:ascii="仿宋" w:hAnsi="仿宋" w:eastAsia="仿宋" w:cs="仿宋"/>
          <w:sz w:val="32"/>
          <w:szCs w:val="32"/>
          <w:lang w:eastAsia="zh-CN"/>
        </w:rPr>
        <w:t>年，城市低保保障标准</w:t>
      </w:r>
      <w:r>
        <w:rPr>
          <w:rFonts w:hint="eastAsia" w:ascii="仿宋" w:hAnsi="仿宋" w:eastAsia="仿宋" w:cs="仿宋"/>
          <w:sz w:val="32"/>
          <w:szCs w:val="32"/>
          <w:lang w:val="en-US" w:eastAsia="zh-CN"/>
        </w:rPr>
        <w:t>700</w:t>
      </w:r>
      <w:r>
        <w:rPr>
          <w:rFonts w:hint="eastAsia" w:ascii="仿宋" w:hAnsi="仿宋" w:eastAsia="仿宋" w:cs="仿宋"/>
          <w:sz w:val="32"/>
          <w:szCs w:val="32"/>
        </w:rPr>
        <w:t>元/月</w:t>
      </w:r>
      <w:r>
        <w:rPr>
          <w:rFonts w:hint="eastAsia" w:ascii="仿宋" w:hAnsi="仿宋" w:eastAsia="仿宋" w:cs="仿宋"/>
          <w:sz w:val="32"/>
          <w:szCs w:val="32"/>
          <w:lang w:eastAsia="zh-CN"/>
        </w:rPr>
        <w:t>，农村特困保障标准</w:t>
      </w:r>
      <w:r>
        <w:rPr>
          <w:rFonts w:hint="eastAsia" w:ascii="仿宋" w:hAnsi="仿宋" w:eastAsia="仿宋" w:cs="仿宋"/>
          <w:sz w:val="32"/>
          <w:szCs w:val="32"/>
          <w:lang w:val="en-US" w:eastAsia="zh-CN"/>
        </w:rPr>
        <w:t>7200</w:t>
      </w:r>
      <w:r>
        <w:rPr>
          <w:rFonts w:hint="eastAsia" w:ascii="仿宋" w:hAnsi="仿宋" w:eastAsia="仿宋" w:cs="仿宋"/>
          <w:sz w:val="32"/>
          <w:szCs w:val="32"/>
        </w:rPr>
        <w:t>元/</w:t>
      </w:r>
      <w:r>
        <w:rPr>
          <w:rFonts w:hint="eastAsia" w:ascii="仿宋" w:hAnsi="仿宋" w:eastAsia="仿宋" w:cs="仿宋"/>
          <w:sz w:val="32"/>
          <w:szCs w:val="32"/>
          <w:lang w:eastAsia="zh-CN"/>
        </w:rPr>
        <w:t>年，农村低保保障标准</w:t>
      </w:r>
      <w:r>
        <w:rPr>
          <w:rFonts w:hint="eastAsia" w:ascii="仿宋" w:hAnsi="仿宋" w:eastAsia="仿宋" w:cs="仿宋"/>
          <w:sz w:val="32"/>
          <w:szCs w:val="32"/>
          <w:lang w:val="en-US" w:eastAsia="zh-CN"/>
        </w:rPr>
        <w:t>5520</w:t>
      </w:r>
      <w:r>
        <w:rPr>
          <w:rFonts w:hint="eastAsia" w:ascii="仿宋" w:hAnsi="仿宋" w:eastAsia="仿宋" w:cs="仿宋"/>
          <w:sz w:val="32"/>
          <w:szCs w:val="32"/>
        </w:rPr>
        <w:t>元/</w:t>
      </w:r>
      <w:r>
        <w:rPr>
          <w:rFonts w:hint="eastAsia" w:ascii="仿宋" w:hAnsi="仿宋" w:eastAsia="仿宋" w:cs="仿宋"/>
          <w:sz w:val="32"/>
          <w:szCs w:val="32"/>
          <w:lang w:eastAsia="zh-CN"/>
        </w:rPr>
        <w:t>年，购买农村留守儿童综合保障保险人数</w:t>
      </w:r>
      <w:r>
        <w:rPr>
          <w:rFonts w:hint="eastAsia" w:ascii="仿宋" w:hAnsi="仿宋" w:eastAsia="仿宋" w:cs="仿宋"/>
          <w:sz w:val="32"/>
          <w:szCs w:val="32"/>
          <w:lang w:val="en-US" w:eastAsia="zh-CN"/>
        </w:rPr>
        <w:t>2193人。</w:t>
      </w:r>
      <w:r>
        <w:rPr>
          <w:rFonts w:hint="eastAsia" w:ascii="仿宋" w:hAnsi="仿宋" w:eastAsia="仿宋" w:cs="仿宋"/>
          <w:kern w:val="0"/>
          <w:sz w:val="32"/>
          <w:szCs w:val="32"/>
          <w:highlight w:val="none"/>
          <w:lang w:val="en-US" w:eastAsia="zh-CN" w:bidi="ar-SA"/>
        </w:rPr>
        <w:t xml:space="preserve"> </w:t>
      </w:r>
    </w:p>
    <w:p w14:paraId="6EF1AEF5">
      <w:pPr>
        <w:widowControl/>
        <w:numPr>
          <w:ilvl w:val="0"/>
          <w:numId w:val="0"/>
        </w:numPr>
        <w:adjustRightInd w:val="0"/>
        <w:snapToGrid w:val="0"/>
        <w:spacing w:line="580" w:lineRule="exact"/>
        <w:ind w:firstLine="640" w:firstLineChars="200"/>
        <w:jc w:val="left"/>
        <w:rPr>
          <w:rFonts w:hint="eastAsia" w:ascii="仿宋" w:hAnsi="仿宋" w:eastAsia="仿宋" w:cs="仿宋"/>
          <w:kern w:val="0"/>
          <w:sz w:val="32"/>
          <w:szCs w:val="32"/>
          <w:highlight w:val="none"/>
          <w:lang w:val="en-US" w:eastAsia="zh-CN" w:bidi="ar-SA"/>
        </w:rPr>
      </w:pPr>
      <w:r>
        <w:rPr>
          <w:rFonts w:hint="eastAsia" w:ascii="仿宋" w:hAnsi="仿宋" w:eastAsia="仿宋" w:cs="仿宋"/>
          <w:kern w:val="0"/>
          <w:sz w:val="32"/>
          <w:szCs w:val="32"/>
          <w:highlight w:val="none"/>
          <w:lang w:val="en-US" w:eastAsia="zh-CN" w:bidi="ar-SA"/>
        </w:rPr>
        <w:t>质量指标：</w:t>
      </w:r>
      <w:r>
        <w:rPr>
          <w:rFonts w:hint="eastAsia" w:ascii="仿宋" w:hAnsi="仿宋" w:eastAsia="仿宋" w:cs="仿宋"/>
          <w:sz w:val="32"/>
          <w:szCs w:val="32"/>
          <w:lang w:eastAsia="zh-CN"/>
        </w:rPr>
        <w:t>儿童主任岗位津贴发放准确率</w:t>
      </w:r>
      <w:r>
        <w:rPr>
          <w:rFonts w:hint="eastAsia" w:ascii="仿宋" w:hAnsi="仿宋" w:eastAsia="仿宋" w:cs="仿宋"/>
          <w:sz w:val="32"/>
          <w:szCs w:val="32"/>
          <w:lang w:val="en-US" w:eastAsia="zh-CN"/>
        </w:rPr>
        <w:t>98</w:t>
      </w:r>
      <w:r>
        <w:rPr>
          <w:rFonts w:hint="eastAsia" w:ascii="仿宋" w:hAnsi="仿宋" w:eastAsia="仿宋" w:cs="仿宋"/>
          <w:sz w:val="32"/>
          <w:szCs w:val="32"/>
        </w:rPr>
        <w:t>%</w:t>
      </w:r>
      <w:r>
        <w:rPr>
          <w:rFonts w:hint="eastAsia" w:ascii="仿宋" w:hAnsi="仿宋" w:eastAsia="仿宋" w:cs="仿宋"/>
          <w:sz w:val="32"/>
          <w:szCs w:val="32"/>
          <w:lang w:eastAsia="zh-CN"/>
        </w:rPr>
        <w:t>，困难群众资金发放率</w:t>
      </w:r>
      <w:r>
        <w:rPr>
          <w:rFonts w:hint="eastAsia" w:ascii="仿宋" w:hAnsi="仿宋" w:eastAsia="仿宋" w:cs="仿宋"/>
          <w:sz w:val="32"/>
          <w:szCs w:val="32"/>
          <w:lang w:val="en-US" w:eastAsia="zh-CN"/>
        </w:rPr>
        <w:t>98</w:t>
      </w:r>
      <w:r>
        <w:rPr>
          <w:rFonts w:hint="eastAsia" w:ascii="仿宋" w:hAnsi="仿宋" w:eastAsia="仿宋" w:cs="仿宋"/>
          <w:sz w:val="32"/>
          <w:szCs w:val="32"/>
        </w:rPr>
        <w:t>%</w:t>
      </w:r>
      <w:r>
        <w:rPr>
          <w:rFonts w:hint="eastAsia" w:ascii="仿宋" w:hAnsi="仿宋" w:eastAsia="仿宋" w:cs="仿宋"/>
          <w:sz w:val="32"/>
          <w:szCs w:val="32"/>
          <w:lang w:eastAsia="zh-CN"/>
        </w:rPr>
        <w:t>。</w:t>
      </w:r>
    </w:p>
    <w:p w14:paraId="46D90CC2">
      <w:pPr>
        <w:pStyle w:val="4"/>
        <w:numPr>
          <w:ilvl w:val="0"/>
          <w:numId w:val="0"/>
        </w:numPr>
        <w:ind w:firstLine="640" w:firstLineChars="200"/>
        <w:rPr>
          <w:rFonts w:hint="eastAsia" w:ascii="仿宋" w:hAnsi="仿宋" w:eastAsia="仿宋" w:cs="仿宋"/>
          <w:kern w:val="0"/>
          <w:sz w:val="32"/>
          <w:szCs w:val="32"/>
          <w:highlight w:val="none"/>
          <w:lang w:val="en-US" w:eastAsia="zh-CN" w:bidi="ar-SA"/>
        </w:rPr>
      </w:pPr>
      <w:r>
        <w:rPr>
          <w:rFonts w:hint="eastAsia" w:ascii="仿宋" w:hAnsi="仿宋" w:eastAsia="仿宋" w:cs="仿宋"/>
          <w:kern w:val="0"/>
          <w:sz w:val="32"/>
          <w:szCs w:val="32"/>
          <w:highlight w:val="none"/>
          <w:lang w:val="en-US" w:eastAsia="zh-CN" w:bidi="ar-SA"/>
        </w:rPr>
        <w:t>时效指标：</w:t>
      </w:r>
      <w:r>
        <w:rPr>
          <w:rFonts w:hint="eastAsia" w:ascii="仿宋" w:hAnsi="仿宋" w:eastAsia="仿宋" w:cs="仿宋"/>
          <w:sz w:val="32"/>
          <w:szCs w:val="32"/>
          <w:lang w:eastAsia="zh-CN"/>
        </w:rPr>
        <w:t>困难群众资金发放时间按月发放。</w:t>
      </w:r>
      <w:r>
        <w:rPr>
          <w:rFonts w:hint="eastAsia" w:ascii="仿宋" w:hAnsi="仿宋" w:eastAsia="仿宋" w:cs="仿宋"/>
          <w:kern w:val="0"/>
          <w:sz w:val="32"/>
          <w:szCs w:val="32"/>
          <w:highlight w:val="none"/>
          <w:lang w:val="en-US" w:eastAsia="zh-CN" w:bidi="ar-SA"/>
        </w:rPr>
        <w:t xml:space="preserve"> </w:t>
      </w:r>
    </w:p>
    <w:p w14:paraId="475FA6B6">
      <w:pPr>
        <w:pStyle w:val="4"/>
        <w:numPr>
          <w:ilvl w:val="0"/>
          <w:numId w:val="0"/>
        </w:numPr>
        <w:ind w:firstLine="640" w:firstLineChars="200"/>
        <w:rPr>
          <w:rFonts w:hint="eastAsia" w:ascii="仿宋" w:hAnsi="仿宋" w:eastAsia="仿宋" w:cs="仿宋"/>
          <w:bCs/>
          <w:kern w:val="0"/>
          <w:sz w:val="32"/>
          <w:szCs w:val="32"/>
          <w:highlight w:val="none"/>
          <w:lang w:val="en-US" w:eastAsia="zh-CN" w:bidi="ar-SA"/>
        </w:rPr>
      </w:pPr>
      <w:r>
        <w:rPr>
          <w:rFonts w:hint="eastAsia" w:ascii="仿宋" w:hAnsi="仿宋" w:eastAsia="仿宋" w:cs="仿宋"/>
          <w:kern w:val="0"/>
          <w:sz w:val="32"/>
          <w:szCs w:val="32"/>
          <w:highlight w:val="none"/>
          <w:lang w:val="en-US" w:eastAsia="zh-CN" w:bidi="ar-SA"/>
        </w:rPr>
        <w:t>成本指标：</w:t>
      </w:r>
      <w:r>
        <w:rPr>
          <w:rFonts w:hint="eastAsia" w:ascii="仿宋" w:hAnsi="仿宋" w:eastAsia="仿宋" w:cs="仿宋"/>
          <w:sz w:val="32"/>
          <w:szCs w:val="32"/>
          <w:lang w:val="en-US" w:eastAsia="zh-CN"/>
        </w:rPr>
        <w:t>社会救助工作经费80万。</w:t>
      </w:r>
    </w:p>
    <w:p w14:paraId="215DD71C">
      <w:pPr>
        <w:numPr>
          <w:ilvl w:val="0"/>
          <w:numId w:val="0"/>
        </w:num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预算支出效益情况。</w:t>
      </w:r>
    </w:p>
    <w:p w14:paraId="5FF40410">
      <w:pPr>
        <w:pStyle w:val="4"/>
        <w:numPr>
          <w:ilvl w:val="0"/>
          <w:numId w:val="0"/>
        </w:numPr>
        <w:ind w:firstLine="640" w:firstLineChars="200"/>
        <w:rPr>
          <w:rFonts w:hint="eastAsia" w:ascii="仿宋" w:hAnsi="仿宋" w:eastAsia="仿宋" w:cs="仿宋"/>
          <w:sz w:val="32"/>
          <w:szCs w:val="32"/>
          <w:lang w:eastAsia="zh-CN"/>
        </w:rPr>
      </w:pPr>
      <w:r>
        <w:rPr>
          <w:rFonts w:hint="eastAsia" w:ascii="仿宋" w:hAnsi="仿宋" w:eastAsia="仿宋" w:cs="仿宋"/>
          <w:kern w:val="0"/>
          <w:sz w:val="32"/>
          <w:szCs w:val="32"/>
          <w:highlight w:val="none"/>
          <w:lang w:val="en-US" w:eastAsia="zh-CN" w:bidi="ar-SA"/>
        </w:rPr>
        <w:t>经济效益指标：</w:t>
      </w:r>
      <w:r>
        <w:rPr>
          <w:rFonts w:hint="eastAsia" w:ascii="仿宋" w:hAnsi="仿宋" w:eastAsia="仿宋" w:cs="仿宋"/>
          <w:sz w:val="32"/>
          <w:szCs w:val="32"/>
          <w:lang w:eastAsia="zh-CN"/>
        </w:rPr>
        <w:t>有效防范民政资金虚报、冒领、节约财政资金促进社会公平，减少贫困和灾害带来的经济损失。</w:t>
      </w:r>
    </w:p>
    <w:p w14:paraId="18E411A1">
      <w:pPr>
        <w:pStyle w:val="4"/>
        <w:numPr>
          <w:ilvl w:val="0"/>
          <w:numId w:val="0"/>
        </w:numPr>
        <w:ind w:firstLine="640" w:firstLineChars="200"/>
        <w:rPr>
          <w:rFonts w:hint="eastAsia" w:ascii="仿宋" w:hAnsi="仿宋" w:eastAsia="仿宋" w:cs="仿宋"/>
          <w:sz w:val="32"/>
          <w:szCs w:val="32"/>
          <w:lang w:eastAsia="zh-CN"/>
        </w:rPr>
      </w:pPr>
      <w:r>
        <w:rPr>
          <w:rFonts w:hint="eastAsia" w:ascii="仿宋" w:hAnsi="仿宋" w:eastAsia="仿宋" w:cs="仿宋"/>
          <w:kern w:val="0"/>
          <w:sz w:val="32"/>
          <w:szCs w:val="32"/>
          <w:highlight w:val="none"/>
          <w:lang w:val="en-US" w:eastAsia="zh-CN" w:bidi="ar-SA"/>
        </w:rPr>
        <w:t>社会效益指标：</w:t>
      </w:r>
      <w:r>
        <w:rPr>
          <w:rFonts w:hint="eastAsia" w:ascii="仿宋" w:hAnsi="仿宋" w:eastAsia="仿宋" w:cs="仿宋"/>
          <w:sz w:val="32"/>
          <w:szCs w:val="32"/>
          <w:lang w:eastAsia="zh-CN"/>
        </w:rPr>
        <w:t>保障留守儿童、孤儿、困境儿童基本生活需要，增强留守儿童、困境儿童的获得感和幸福感，增强困难群众的获得感和幸福感。</w:t>
      </w:r>
    </w:p>
    <w:p w14:paraId="4F37FAE8">
      <w:pPr>
        <w:pStyle w:val="4"/>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kern w:val="0"/>
          <w:sz w:val="32"/>
          <w:szCs w:val="32"/>
          <w:highlight w:val="none"/>
          <w:lang w:val="en-US" w:eastAsia="zh-CN" w:bidi="ar-SA"/>
        </w:rPr>
        <w:t>可持续影响指标：</w:t>
      </w:r>
      <w:r>
        <w:rPr>
          <w:rFonts w:hint="eastAsia" w:ascii="仿宋" w:hAnsi="仿宋" w:eastAsia="仿宋" w:cs="仿宋"/>
          <w:sz w:val="32"/>
          <w:szCs w:val="32"/>
          <w:lang w:eastAsia="zh-CN"/>
        </w:rPr>
        <w:t>确保惠民政策精准落实，民政保障履职能力适当提高。</w:t>
      </w:r>
    </w:p>
    <w:p w14:paraId="09C23F38">
      <w:pPr>
        <w:numPr>
          <w:ilvl w:val="0"/>
          <w:numId w:val="0"/>
        </w:numPr>
        <w:adjustRightInd w:val="0"/>
        <w:snapToGrid w:val="0"/>
        <w:spacing w:line="600" w:lineRule="exact"/>
        <w:ind w:firstLine="640" w:firstLineChars="200"/>
        <w:rPr>
          <w:rFonts w:eastAsia="黑体"/>
          <w:sz w:val="32"/>
          <w:szCs w:val="32"/>
        </w:rPr>
      </w:pPr>
      <w:r>
        <w:rPr>
          <w:rFonts w:hint="eastAsia" w:eastAsia="黑体"/>
          <w:sz w:val="32"/>
          <w:szCs w:val="32"/>
          <w:lang w:eastAsia="zh-CN"/>
        </w:rPr>
        <w:t>五、</w:t>
      </w:r>
      <w:r>
        <w:rPr>
          <w:rFonts w:eastAsia="黑体"/>
          <w:sz w:val="32"/>
          <w:szCs w:val="32"/>
        </w:rPr>
        <w:t>主要经验做法、存在的问题及原因分析</w:t>
      </w:r>
    </w:p>
    <w:p w14:paraId="45CEF47A">
      <w:pPr>
        <w:numPr>
          <w:ilvl w:val="0"/>
          <w:numId w:val="0"/>
        </w:numPr>
        <w:spacing w:line="560" w:lineRule="exact"/>
        <w:ind w:firstLine="640" w:firstLineChars="200"/>
        <w:rPr>
          <w:rFonts w:hint="eastAsia" w:ascii="仿宋" w:hAnsi="仿宋" w:eastAsia="仿宋" w:cs="仿宋"/>
          <w:sz w:val="32"/>
          <w:szCs w:val="32"/>
        </w:rPr>
      </w:pPr>
      <w:r>
        <w:rPr>
          <w:rFonts w:hint="eastAsia" w:ascii="仿宋" w:hAnsi="仿宋" w:eastAsia="仿宋" w:cs="仿宋"/>
          <w:b w:val="0"/>
          <w:bCs/>
          <w:sz w:val="32"/>
          <w:szCs w:val="32"/>
        </w:rPr>
        <w:t>（</w:t>
      </w: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rPr>
        <w:t>）全面清查，澄清底数。</w:t>
      </w:r>
      <w:r>
        <w:rPr>
          <w:rFonts w:hint="eastAsia" w:ascii="仿宋" w:hAnsi="仿宋" w:eastAsia="仿宋" w:cs="仿宋"/>
          <w:sz w:val="32"/>
          <w:szCs w:val="32"/>
        </w:rPr>
        <w:t>把民政对象的入户调查作为全年民政工作的重点内容</w:t>
      </w:r>
      <w:r>
        <w:rPr>
          <w:rFonts w:hint="eastAsia" w:ascii="仿宋" w:hAnsi="仿宋" w:eastAsia="仿宋" w:cs="仿宋"/>
          <w:sz w:val="32"/>
          <w:szCs w:val="32"/>
          <w:lang w:eastAsia="zh-CN"/>
        </w:rPr>
        <w:t>。</w:t>
      </w:r>
    </w:p>
    <w:p w14:paraId="0E89F3D5">
      <w:pPr>
        <w:spacing w:line="560" w:lineRule="exact"/>
        <w:ind w:firstLine="640" w:firstLineChars="200"/>
        <w:rPr>
          <w:rFonts w:hint="eastAsia" w:ascii="仿宋" w:hAnsi="仿宋" w:eastAsia="仿宋" w:cs="仿宋"/>
          <w:sz w:val="32"/>
          <w:szCs w:val="32"/>
        </w:rPr>
      </w:pPr>
      <w:r>
        <w:rPr>
          <w:rFonts w:hint="eastAsia" w:ascii="仿宋" w:hAnsi="仿宋" w:eastAsia="仿宋" w:cs="仿宋"/>
          <w:b w:val="0"/>
          <w:bCs/>
          <w:sz w:val="32"/>
          <w:szCs w:val="32"/>
        </w:rPr>
        <w:t>（</w:t>
      </w: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rPr>
        <w:t>）整章建制，常态监管。</w:t>
      </w:r>
      <w:r>
        <w:rPr>
          <w:rFonts w:hint="eastAsia" w:ascii="仿宋" w:hAnsi="仿宋" w:eastAsia="仿宋" w:cs="仿宋"/>
          <w:sz w:val="32"/>
          <w:szCs w:val="32"/>
        </w:rPr>
        <w:t>针对前期工作中存在的制度性短板和操作性偏差，整合各项规章制度，规范业务操作流程，突出纪律约束和责任追究，重点是建立民政救助补助对象异动月报制度，明确奖惩措施，强化日常管理，有效防范各种虚报冒领现象发生。</w:t>
      </w:r>
    </w:p>
    <w:p w14:paraId="676CBBEF">
      <w:pPr>
        <w:numPr>
          <w:ilvl w:val="0"/>
          <w:numId w:val="0"/>
        </w:numPr>
        <w:adjustRightInd w:val="0"/>
        <w:snapToGrid w:val="0"/>
        <w:spacing w:line="600" w:lineRule="exact"/>
        <w:ind w:firstLine="640" w:firstLineChars="200"/>
        <w:rPr>
          <w:rFonts w:eastAsia="黑体"/>
          <w:sz w:val="32"/>
          <w:szCs w:val="32"/>
        </w:rPr>
      </w:pPr>
      <w:r>
        <w:rPr>
          <w:rFonts w:hint="eastAsia" w:eastAsia="黑体"/>
          <w:sz w:val="32"/>
          <w:szCs w:val="32"/>
          <w:lang w:eastAsia="zh-CN"/>
        </w:rPr>
        <w:t>六、</w:t>
      </w:r>
      <w:r>
        <w:rPr>
          <w:rFonts w:eastAsia="黑体"/>
          <w:sz w:val="32"/>
          <w:szCs w:val="32"/>
        </w:rPr>
        <w:t>有关建议</w:t>
      </w:r>
    </w:p>
    <w:p w14:paraId="2CBE523B">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请市财政加大资金支持力度，保障资金及时拨付。</w:t>
      </w:r>
      <w:r>
        <w:rPr>
          <w:rFonts w:hint="eastAsia" w:ascii="仿宋" w:hAnsi="仿宋" w:eastAsia="仿宋" w:cs="仿宋"/>
          <w:sz w:val="32"/>
          <w:szCs w:val="32"/>
          <w:lang w:val="en-US" w:eastAsia="zh-CN"/>
        </w:rPr>
        <w:t>争取将民政补贴资金发放准确率纳入乡村绩效考核。</w:t>
      </w:r>
    </w:p>
    <w:p w14:paraId="550BD9E1">
      <w:pPr>
        <w:adjustRightInd w:val="0"/>
        <w:snapToGrid w:val="0"/>
        <w:spacing w:line="600" w:lineRule="exact"/>
        <w:ind w:firstLine="640" w:firstLineChars="200"/>
        <w:rPr>
          <w:rFonts w:eastAsia="黑体"/>
          <w:sz w:val="32"/>
          <w:szCs w:val="32"/>
        </w:rPr>
      </w:pPr>
      <w:r>
        <w:rPr>
          <w:rFonts w:eastAsia="黑体"/>
          <w:sz w:val="32"/>
          <w:szCs w:val="32"/>
        </w:rPr>
        <w:t>七、其他需要说明的问题</w:t>
      </w:r>
    </w:p>
    <w:p w14:paraId="4493182A">
      <w:pPr>
        <w:adjustRightInd w:val="0"/>
        <w:snapToGrid w:val="0"/>
        <w:spacing w:line="600" w:lineRule="exact"/>
        <w:ind w:firstLine="640" w:firstLineChars="200"/>
        <w:rPr>
          <w:rFonts w:hint="eastAsia" w:eastAsia="仿宋_GB2312"/>
          <w:sz w:val="32"/>
          <w:szCs w:val="32"/>
          <w:lang w:eastAsia="zh-CN"/>
        </w:rPr>
      </w:pPr>
      <w:r>
        <w:rPr>
          <w:rFonts w:hint="eastAsia" w:eastAsia="仿宋_GB2312"/>
          <w:sz w:val="32"/>
          <w:szCs w:val="32"/>
          <w:lang w:eastAsia="zh-CN"/>
        </w:rPr>
        <w:t>无。</w:t>
      </w:r>
    </w:p>
    <w:p w14:paraId="26B1EBC9">
      <w:pPr>
        <w:adjustRightInd w:val="0"/>
        <w:snapToGrid w:val="0"/>
        <w:spacing w:line="600" w:lineRule="exact"/>
        <w:ind w:firstLine="640" w:firstLineChars="200"/>
        <w:rPr>
          <w:rFonts w:eastAsia="仿宋_GB2312"/>
          <w:sz w:val="32"/>
          <w:szCs w:val="32"/>
        </w:rPr>
      </w:pPr>
    </w:p>
    <w:p w14:paraId="43CC3FB8">
      <w:pPr>
        <w:adjustRightInd w:val="0"/>
        <w:snapToGrid w:val="0"/>
        <w:spacing w:line="600" w:lineRule="exact"/>
        <w:ind w:firstLine="640" w:firstLineChars="200"/>
        <w:rPr>
          <w:rFonts w:eastAsia="仿宋_GB2312"/>
          <w:sz w:val="32"/>
          <w:szCs w:val="32"/>
        </w:rPr>
      </w:pPr>
      <w:r>
        <w:rPr>
          <w:rFonts w:eastAsia="仿宋_GB2312"/>
          <w:sz w:val="32"/>
          <w:szCs w:val="32"/>
        </w:rPr>
        <w:t>附件：</w:t>
      </w:r>
      <w:r>
        <w:rPr>
          <w:rFonts w:hint="eastAsia" w:eastAsia="仿宋_GB2312"/>
          <w:sz w:val="32"/>
          <w:szCs w:val="32"/>
        </w:rPr>
        <w:t>项目支出绩效自评表</w:t>
      </w:r>
    </w:p>
    <w:p w14:paraId="7CA7ED6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65E46F"/>
    <w:multiLevelType w:val="singleLevel"/>
    <w:tmpl w:val="A965E46F"/>
    <w:lvl w:ilvl="0" w:tentative="0">
      <w:start w:val="3"/>
      <w:numFmt w:val="chineseCounting"/>
      <w:suff w:val="nothing"/>
      <w:lvlText w:val="%1、"/>
      <w:lvlJc w:val="left"/>
      <w:rPr>
        <w:rFonts w:hint="eastAsia"/>
      </w:rPr>
    </w:lvl>
  </w:abstractNum>
  <w:abstractNum w:abstractNumId="1">
    <w:nsid w:val="26F2D550"/>
    <w:multiLevelType w:val="singleLevel"/>
    <w:tmpl w:val="26F2D550"/>
    <w:lvl w:ilvl="0" w:tentative="0">
      <w:start w:val="2"/>
      <w:numFmt w:val="chineseCounting"/>
      <w:suff w:val="nothing"/>
      <w:lvlText w:val="（%1）"/>
      <w:lvlJc w:val="left"/>
      <w:rPr>
        <w:rFonts w:hint="eastAsia"/>
      </w:rPr>
    </w:lvl>
  </w:abstractNum>
  <w:abstractNum w:abstractNumId="2">
    <w:nsid w:val="3CFDF3C8"/>
    <w:multiLevelType w:val="singleLevel"/>
    <w:tmpl w:val="3CFDF3C8"/>
    <w:lvl w:ilvl="0" w:tentative="0">
      <w:start w:val="2"/>
      <w:numFmt w:val="chineseCounting"/>
      <w:suff w:val="nothing"/>
      <w:lvlText w:val="（%1）"/>
      <w:lvlJc w:val="left"/>
      <w:rPr>
        <w:rFonts w:hint="eastAsia"/>
      </w:rPr>
    </w:lvl>
  </w:abstractNum>
  <w:abstractNum w:abstractNumId="3">
    <w:nsid w:val="6DAB33C5"/>
    <w:multiLevelType w:val="singleLevel"/>
    <w:tmpl w:val="6DAB33C5"/>
    <w:lvl w:ilvl="0" w:tentative="0">
      <w:start w:val="2"/>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B30E1D"/>
    <w:rsid w:val="136B5C2B"/>
    <w:rsid w:val="1837558B"/>
    <w:rsid w:val="2CCF68E3"/>
    <w:rsid w:val="35093A16"/>
    <w:rsid w:val="35F114A2"/>
    <w:rsid w:val="37A56F50"/>
    <w:rsid w:val="37C449D1"/>
    <w:rsid w:val="43981B10"/>
    <w:rsid w:val="5CC73D85"/>
    <w:rsid w:val="794D6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720" w:firstLineChars="225"/>
    </w:pPr>
    <w:rPr>
      <w:rFonts w:eastAsia="仿宋_GB2312"/>
    </w:rPr>
  </w:style>
  <w:style w:type="paragraph" w:styleId="4">
    <w:name w:val="Body Text"/>
    <w:basedOn w:val="1"/>
    <w:next w:val="5"/>
    <w:qFormat/>
    <w:uiPriority w:val="1"/>
    <w:rPr>
      <w:rFonts w:ascii="仿宋" w:hAnsi="仿宋" w:eastAsia="仿宋" w:cs="仿宋"/>
      <w:sz w:val="28"/>
      <w:szCs w:val="28"/>
      <w:lang w:val="zh-CN" w:bidi="zh-CN"/>
    </w:rPr>
  </w:style>
  <w:style w:type="paragraph" w:styleId="5">
    <w:name w:val="toc 5"/>
    <w:basedOn w:val="1"/>
    <w:next w:val="1"/>
    <w:unhideWhenUsed/>
    <w:qFormat/>
    <w:uiPriority w:val="39"/>
    <w:pPr>
      <w:ind w:left="840"/>
      <w:jc w:val="left"/>
    </w:pPr>
    <w:rPr>
      <w:rFonts w:ascii="Calibri" w:hAnsi="Calibri" w:cs="Calibri"/>
      <w:sz w:val="18"/>
      <w:szCs w:val="18"/>
    </w:rPr>
  </w:style>
  <w:style w:type="paragraph" w:styleId="6">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2174</Words>
  <Characters>2220</Characters>
  <Lines>0</Lines>
  <Paragraphs>0</Paragraphs>
  <TotalTime>6</TotalTime>
  <ScaleCrop>false</ScaleCrop>
  <LinksUpToDate>false</LinksUpToDate>
  <CharactersWithSpaces>2222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2025-03-25T08:59:00Z</dcterms:created>
  <dc:creator>Yoshi</dc:creator>
  <cp:lastModifiedBy>瑤々</cp:lastModifiedBy>
  <dcterms:modified xsi:type="dcterms:W3CDTF">2025-04-16T06:47:38Z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eyJoZGlkIjoiYzYzOGUyNjgwNWVmZTY3MjM1ZjQ2NzIwZWNhMzA4ODkiLCJ1c2VySWQiOiIyNDgxNjkzMDcifQ==</vt:lpwstr>
  </property>
  <property fmtid="{D5CDD505-2E9C-101B-9397-08002B2CF9AE}" pid="4" name="ICV">
    <vt:lpwstr>687382E11C6B42E4B71F79C68AEE8586_12</vt:lpwstr>
  </property>
</Properties>
</file>