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67ABB5">
      <w:pPr>
        <w:keepNext w:val="0"/>
        <w:keepLines w:val="0"/>
        <w:widowControl w:val="0"/>
        <w:suppressLineNumbers w:val="0"/>
        <w:spacing w:before="0" w:beforeAutospacing="0" w:after="0" w:afterAutospacing="0" w:line="600" w:lineRule="exact"/>
        <w:ind w:left="0" w:right="0"/>
        <w:jc w:val="center"/>
        <w:rPr>
          <w:rFonts w:hint="default" w:ascii="Times New Roman" w:hAnsi="Times New Roman" w:eastAsia="楷体_GB2312" w:cs="Times New Roman"/>
          <w:b/>
          <w:bCs/>
          <w:kern w:val="0"/>
          <w:sz w:val="32"/>
          <w:szCs w:val="32"/>
          <w:lang w:val="en-US"/>
        </w:rPr>
      </w:pPr>
      <w:r>
        <w:rPr>
          <w:rFonts w:hint="eastAsia" w:ascii="Times New Roman" w:hAnsi="Times New Roman" w:eastAsia="方正小标宋_GBK" w:cs="Times New Roman"/>
          <w:kern w:val="2"/>
          <w:sz w:val="44"/>
          <w:szCs w:val="44"/>
          <w:lang w:val="en-US" w:eastAsia="zh-CN" w:bidi="ar"/>
        </w:rPr>
        <w:t>高龄补贴项目支出</w:t>
      </w:r>
      <w:r>
        <w:rPr>
          <w:rFonts w:hint="default" w:ascii="Times New Roman" w:hAnsi="Times New Roman" w:eastAsia="方正小标宋_GBK" w:cs="Times New Roman"/>
          <w:kern w:val="2"/>
          <w:sz w:val="44"/>
          <w:szCs w:val="44"/>
          <w:lang w:val="en-US" w:eastAsia="zh-CN" w:bidi="ar"/>
        </w:rPr>
        <w:t>绩效自评报告</w:t>
      </w:r>
    </w:p>
    <w:p w14:paraId="23441FFE">
      <w:pPr>
        <w:widowControl/>
        <w:adjustRightInd w:val="0"/>
        <w:snapToGrid w:val="0"/>
        <w:spacing w:line="580" w:lineRule="exact"/>
        <w:ind w:firstLine="640" w:firstLineChars="200"/>
        <w:jc w:val="left"/>
        <w:rPr>
          <w:rFonts w:hint="default" w:ascii="Times New Roman" w:hAnsi="Times New Roman" w:eastAsia="黑体" w:cs="Times New Roman"/>
          <w:kern w:val="0"/>
          <w:sz w:val="32"/>
          <w:szCs w:val="32"/>
          <w:highlight w:val="none"/>
          <w:lang w:bidi="ar-SA"/>
        </w:rPr>
      </w:pPr>
    </w:p>
    <w:p w14:paraId="2E0A3EC3">
      <w:pPr>
        <w:widowControl/>
        <w:adjustRightInd w:val="0"/>
        <w:snapToGrid w:val="0"/>
        <w:spacing w:line="580" w:lineRule="exact"/>
        <w:ind w:firstLine="640" w:firstLineChars="200"/>
        <w:jc w:val="left"/>
        <w:rPr>
          <w:rFonts w:hint="default" w:ascii="Times New Roman" w:hAnsi="Times New Roman" w:eastAsia="黑体" w:cs="Times New Roman"/>
          <w:kern w:val="0"/>
          <w:sz w:val="32"/>
          <w:szCs w:val="32"/>
          <w:highlight w:val="none"/>
          <w:lang w:bidi="ar-SA"/>
        </w:rPr>
      </w:pPr>
      <w:r>
        <w:rPr>
          <w:rFonts w:hint="default" w:ascii="Times New Roman" w:hAnsi="Times New Roman" w:eastAsia="黑体" w:cs="Times New Roman"/>
          <w:kern w:val="0"/>
          <w:sz w:val="32"/>
          <w:szCs w:val="32"/>
          <w:highlight w:val="none"/>
          <w:lang w:bidi="ar-SA"/>
        </w:rPr>
        <w:t>一、预算支出基本情况</w:t>
      </w:r>
    </w:p>
    <w:p w14:paraId="2B602046">
      <w:pPr>
        <w:keepNext w:val="0"/>
        <w:keepLines w:val="0"/>
        <w:pageBreakBefore w:val="0"/>
        <w:widowControl w:val="0"/>
        <w:tabs>
          <w:tab w:val="left" w:pos="1560"/>
        </w:tabs>
        <w:kinsoku/>
        <w:wordWrap/>
        <w:overflowPunct/>
        <w:topLinePunct w:val="0"/>
        <w:autoSpaceDE/>
        <w:autoSpaceDN/>
        <w:bidi w:val="0"/>
        <w:adjustRightInd w:val="0"/>
        <w:snapToGrid w:val="0"/>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（一）项目实施单位基本情况</w:t>
      </w:r>
    </w:p>
    <w:p w14:paraId="20E75B76">
      <w:pPr>
        <w:keepNext w:val="0"/>
        <w:keepLines w:val="0"/>
        <w:pageBreakBefore w:val="0"/>
        <w:widowControl w:val="0"/>
        <w:tabs>
          <w:tab w:val="left" w:pos="1560"/>
        </w:tabs>
        <w:kinsoku/>
        <w:wordWrap/>
        <w:overflowPunct/>
        <w:topLinePunct w:val="0"/>
        <w:autoSpaceDE/>
        <w:autoSpaceDN/>
        <w:bidi w:val="0"/>
        <w:adjustRightInd w:val="0"/>
        <w:snapToGrid w:val="0"/>
        <w:spacing w:line="580" w:lineRule="exact"/>
        <w:ind w:firstLine="640" w:firstLineChars="200"/>
        <w:textAlignment w:val="auto"/>
        <w:rPr>
          <w:rFonts w:hint="eastAsia" w:ascii="仿宋" w:hAnsi="仿宋" w:eastAsia="仿宋" w:cs="仿宋"/>
          <w:sz w:val="32"/>
          <w:szCs w:val="32"/>
        </w:rPr>
      </w:pPr>
      <w:r>
        <w:rPr>
          <w:rFonts w:hint="eastAsia" w:ascii="仿宋" w:hAnsi="仿宋" w:eastAsia="仿宋" w:cs="仿宋"/>
          <w:color w:val="000000"/>
          <w:sz w:val="32"/>
          <w:szCs w:val="32"/>
          <w:highlight w:val="none"/>
          <w:lang w:eastAsia="zh-CN" w:bidi="ar-SA"/>
        </w:rPr>
        <w:t>湘乡市民政局是主管全市民政工作的市政府工作部门，养老服务股为市民政局内设</w:t>
      </w:r>
      <w:r>
        <w:rPr>
          <w:rFonts w:hint="eastAsia" w:ascii="仿宋" w:hAnsi="仿宋" w:eastAsia="仿宋" w:cs="仿宋"/>
          <w:color w:val="000000"/>
          <w:sz w:val="32"/>
          <w:szCs w:val="32"/>
          <w:highlight w:val="none"/>
          <w:lang w:val="en-US" w:eastAsia="zh-CN" w:bidi="ar-SA"/>
        </w:rPr>
        <w:t>股室</w:t>
      </w:r>
      <w:r>
        <w:rPr>
          <w:rFonts w:hint="eastAsia" w:ascii="仿宋" w:hAnsi="仿宋" w:eastAsia="仿宋" w:cs="仿宋"/>
          <w:color w:val="000000"/>
          <w:sz w:val="32"/>
          <w:szCs w:val="32"/>
          <w:highlight w:val="none"/>
          <w:lang w:eastAsia="zh-CN" w:bidi="ar-SA"/>
        </w:rPr>
        <w:t>，主要负责老年人福利工作，拟定老年人福利补贴制度和养老服务体系建设规划、政策、标准并协调组织实施；监督管理全市养老服务机构、特困人员救助供养机构；推进农村留守老年人关爱服务工作。</w:t>
      </w:r>
    </w:p>
    <w:p w14:paraId="231D61C4">
      <w:pPr>
        <w:numPr>
          <w:ilvl w:val="0"/>
          <w:numId w:val="1"/>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预算资金基本情况包括预算资金基本性质、用途和主要内容、涉及范围等。</w:t>
      </w:r>
    </w:p>
    <w:p w14:paraId="41C5DD9A">
      <w:pPr>
        <w:widowControl/>
        <w:adjustRightInd w:val="0"/>
        <w:snapToGrid w:val="0"/>
        <w:spacing w:line="580" w:lineRule="exact"/>
        <w:ind w:firstLine="640" w:firstLineChars="200"/>
        <w:jc w:val="left"/>
        <w:rPr>
          <w:rFonts w:hint="eastAsia" w:ascii="仿宋" w:hAnsi="仿宋" w:eastAsia="仿宋" w:cs="仿宋"/>
          <w:kern w:val="0"/>
          <w:sz w:val="32"/>
          <w:szCs w:val="32"/>
          <w:highlight w:val="none"/>
          <w:lang w:val="en-US" w:eastAsia="zh-CN" w:bidi="ar-SA"/>
        </w:rPr>
      </w:pPr>
      <w:r>
        <w:rPr>
          <w:rFonts w:hint="eastAsia" w:ascii="仿宋" w:hAnsi="仿宋" w:eastAsia="仿宋" w:cs="仿宋"/>
          <w:kern w:val="2"/>
          <w:sz w:val="32"/>
          <w:szCs w:val="32"/>
          <w:lang w:val="en-US" w:eastAsia="zh-CN" w:bidi="ar-SA"/>
        </w:rPr>
        <w:t>2024年高龄津贴支出为</w:t>
      </w:r>
      <w:r>
        <w:rPr>
          <w:rFonts w:hint="eastAsia" w:ascii="仿宋" w:hAnsi="仿宋" w:eastAsia="仿宋" w:cs="仿宋"/>
          <w:sz w:val="32"/>
          <w:szCs w:val="32"/>
          <w:lang w:val="en-US" w:eastAsia="zh-CN"/>
        </w:rPr>
        <w:t>一般公共预算拨款</w:t>
      </w:r>
      <w:r>
        <w:rPr>
          <w:rFonts w:hint="eastAsia" w:ascii="仿宋" w:hAnsi="仿宋" w:eastAsia="仿宋" w:cs="仿宋"/>
          <w:kern w:val="2"/>
          <w:sz w:val="32"/>
          <w:szCs w:val="32"/>
          <w:lang w:val="en-US" w:eastAsia="zh-CN" w:bidi="ar-SA"/>
        </w:rPr>
        <w:t>。</w:t>
      </w:r>
      <w:r>
        <w:rPr>
          <w:rFonts w:hint="eastAsia" w:ascii="仿宋" w:hAnsi="仿宋" w:eastAsia="仿宋" w:cs="仿宋"/>
          <w:sz w:val="32"/>
          <w:szCs w:val="32"/>
          <w:lang w:val="en-US" w:eastAsia="zh-CN"/>
        </w:rPr>
        <w:t>主要用于为全市</w:t>
      </w:r>
      <w:r>
        <w:rPr>
          <w:rFonts w:hint="eastAsia" w:ascii="仿宋" w:hAnsi="仿宋" w:eastAsia="仿宋" w:cs="仿宋"/>
          <w:kern w:val="2"/>
          <w:sz w:val="32"/>
          <w:szCs w:val="32"/>
          <w:lang w:val="en-US" w:eastAsia="zh-CN" w:bidi="ar-SA"/>
        </w:rPr>
        <w:t>80-89周岁低保、五保老人发放高龄津贴（50元／月）、90-99周岁高龄老人发放高龄津贴（100元／月），并随生活水平提高逐年提高补贴标准。</w:t>
      </w:r>
    </w:p>
    <w:p w14:paraId="6891A77D">
      <w:pPr>
        <w:numPr>
          <w:ilvl w:val="0"/>
          <w:numId w:val="1"/>
        </w:numPr>
        <w:adjustRightInd w:val="0"/>
        <w:snapToGrid w:val="0"/>
        <w:spacing w:line="60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预算资金绩效目标，包括总体目标和年度目标。</w:t>
      </w:r>
    </w:p>
    <w:p w14:paraId="72CA7850">
      <w:pPr>
        <w:pStyle w:val="2"/>
        <w:ind w:left="0" w:leftChars="0"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总体目标</w:t>
      </w:r>
      <w:r>
        <w:rPr>
          <w:rFonts w:hint="eastAsia" w:ascii="仿宋" w:hAnsi="仿宋" w:eastAsia="仿宋" w:cs="仿宋"/>
          <w:sz w:val="32"/>
          <w:szCs w:val="32"/>
          <w:lang w:eastAsia="zh-CN"/>
        </w:rPr>
        <w:t>：通过建立我市高龄老人补贴制度，发放全市</w:t>
      </w:r>
      <w:r>
        <w:rPr>
          <w:rFonts w:hint="eastAsia" w:ascii="仿宋" w:hAnsi="仿宋" w:eastAsia="仿宋" w:cs="仿宋"/>
          <w:sz w:val="32"/>
          <w:szCs w:val="32"/>
          <w:lang w:val="en-US" w:eastAsia="zh-CN"/>
        </w:rPr>
        <w:t>80岁以上高龄老人生活补贴，满足和提升老年人日益增长的物质文化需求，维护老年人的合法权益，增强高龄老人的幸福感，创建和谐社会。</w:t>
      </w:r>
    </w:p>
    <w:p w14:paraId="4D3A1262">
      <w:pPr>
        <w:pStyle w:val="2"/>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年度目标</w:t>
      </w:r>
      <w:r>
        <w:rPr>
          <w:rFonts w:hint="eastAsia" w:ascii="仿宋" w:hAnsi="仿宋" w:eastAsia="仿宋" w:cs="仿宋"/>
          <w:sz w:val="32"/>
          <w:szCs w:val="32"/>
          <w:lang w:eastAsia="zh-CN"/>
        </w:rPr>
        <w:t>：</w:t>
      </w:r>
      <w:r>
        <w:rPr>
          <w:rFonts w:hint="eastAsia" w:ascii="仿宋" w:hAnsi="仿宋" w:eastAsia="仿宋" w:cs="仿宋"/>
          <w:kern w:val="2"/>
          <w:sz w:val="32"/>
          <w:szCs w:val="32"/>
          <w:lang w:val="en-US" w:eastAsia="zh-CN" w:bidi="ar-SA"/>
        </w:rPr>
        <w:t>通过一卡通平台，每月向全市</w:t>
      </w:r>
      <w:r>
        <w:rPr>
          <w:rFonts w:hint="eastAsia" w:ascii="仿宋" w:hAnsi="仿宋" w:eastAsia="仿宋" w:cs="仿宋"/>
          <w:sz w:val="32"/>
          <w:szCs w:val="32"/>
        </w:rPr>
        <w:t>80-89岁的</w:t>
      </w:r>
      <w:r>
        <w:rPr>
          <w:rFonts w:hint="eastAsia" w:ascii="仿宋" w:hAnsi="仿宋" w:eastAsia="仿宋" w:cs="仿宋"/>
          <w:sz w:val="32"/>
          <w:szCs w:val="32"/>
          <w:lang w:eastAsia="zh-CN"/>
        </w:rPr>
        <w:t>低保、五保</w:t>
      </w:r>
      <w:r>
        <w:rPr>
          <w:rFonts w:hint="eastAsia" w:ascii="仿宋" w:hAnsi="仿宋" w:eastAsia="仿宋" w:cs="仿宋"/>
          <w:sz w:val="32"/>
          <w:szCs w:val="32"/>
        </w:rPr>
        <w:t>老人</w:t>
      </w:r>
      <w:r>
        <w:rPr>
          <w:rFonts w:hint="eastAsia" w:ascii="仿宋" w:hAnsi="仿宋" w:eastAsia="仿宋" w:cs="仿宋"/>
          <w:kern w:val="2"/>
          <w:sz w:val="32"/>
          <w:szCs w:val="32"/>
          <w:lang w:val="en-US" w:eastAsia="zh-CN" w:bidi="ar-SA"/>
        </w:rPr>
        <w:t>发放50元/月，</w:t>
      </w:r>
      <w:r>
        <w:rPr>
          <w:rFonts w:hint="eastAsia" w:ascii="仿宋" w:hAnsi="仿宋" w:eastAsia="仿宋" w:cs="仿宋"/>
          <w:sz w:val="32"/>
          <w:szCs w:val="32"/>
        </w:rPr>
        <w:t>90-99岁的老人</w:t>
      </w:r>
      <w:r>
        <w:rPr>
          <w:rFonts w:hint="eastAsia" w:ascii="仿宋" w:hAnsi="仿宋" w:eastAsia="仿宋" w:cs="仿宋"/>
          <w:sz w:val="32"/>
          <w:szCs w:val="32"/>
          <w:lang w:eastAsia="zh-CN"/>
        </w:rPr>
        <w:t>发放</w:t>
      </w:r>
      <w:r>
        <w:rPr>
          <w:rFonts w:hint="eastAsia" w:ascii="仿宋" w:hAnsi="仿宋" w:eastAsia="仿宋" w:cs="仿宋"/>
          <w:kern w:val="2"/>
          <w:sz w:val="32"/>
          <w:szCs w:val="32"/>
          <w:lang w:val="en-US" w:eastAsia="zh-CN" w:bidi="ar-SA"/>
        </w:rPr>
        <w:t>100元/月的生活补助，</w:t>
      </w:r>
      <w:r>
        <w:rPr>
          <w:rFonts w:hint="eastAsia" w:ascii="仿宋" w:hAnsi="仿宋" w:eastAsia="仿宋" w:cs="仿宋"/>
          <w:sz w:val="32"/>
          <w:szCs w:val="32"/>
        </w:rPr>
        <w:t>提高老年人优待水平，促进养老事业健康发展。</w:t>
      </w:r>
      <w:r>
        <w:rPr>
          <w:rFonts w:hint="eastAsia" w:ascii="仿宋" w:hAnsi="仿宋" w:eastAsia="仿宋" w:cs="仿宋"/>
          <w:sz w:val="32"/>
          <w:szCs w:val="32"/>
          <w:lang w:eastAsia="zh-CN"/>
        </w:rPr>
        <w:t>体</w:t>
      </w:r>
      <w:r>
        <w:rPr>
          <w:rFonts w:hint="eastAsia" w:ascii="仿宋" w:hAnsi="仿宋" w:eastAsia="仿宋" w:cs="仿宋"/>
          <w:kern w:val="2"/>
          <w:sz w:val="32"/>
          <w:szCs w:val="32"/>
          <w:lang w:val="en-US" w:eastAsia="zh-CN" w:bidi="ar-SA"/>
        </w:rPr>
        <w:t>现政府对老年人的关爱，进一步增强社会凝聚力，有力地促进了社会和谐稳定。</w:t>
      </w:r>
    </w:p>
    <w:p w14:paraId="4E8C3080">
      <w:pPr>
        <w:numPr>
          <w:ilvl w:val="0"/>
          <w:numId w:val="2"/>
        </w:numPr>
        <w:adjustRightInd w:val="0"/>
        <w:snapToGrid w:val="0"/>
        <w:spacing w:line="600" w:lineRule="exact"/>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预算资金使用及管理情况</w:t>
      </w:r>
    </w:p>
    <w:p w14:paraId="32CC9E58">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（一）预算资金及自筹资金的安排落实、总投入等情况。</w:t>
      </w:r>
    </w:p>
    <w:p w14:paraId="2E043CEF">
      <w:pPr>
        <w:adjustRightInd w:val="0"/>
        <w:snapToGrid w:val="0"/>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2024年本级配套高龄津贴为450万元。</w:t>
      </w:r>
    </w:p>
    <w:p w14:paraId="3B4059BF">
      <w:pPr>
        <w:numPr>
          <w:ilvl w:val="0"/>
          <w:numId w:val="3"/>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预算资金实际使用情况。</w:t>
      </w:r>
    </w:p>
    <w:p w14:paraId="71106C0C">
      <w:pPr>
        <w:pStyle w:val="2"/>
        <w:keepNext w:val="0"/>
        <w:keepLines w:val="0"/>
        <w:pageBreakBefore w:val="0"/>
        <w:widowControl w:val="0"/>
        <w:kinsoku/>
        <w:wordWrap/>
        <w:overflowPunct/>
        <w:topLinePunct w:val="0"/>
        <w:autoSpaceDE/>
        <w:autoSpaceDN/>
        <w:bidi w:val="0"/>
        <w:spacing w:line="520" w:lineRule="exact"/>
        <w:ind w:left="0" w:leftChars="0" w:firstLine="640" w:firstLineChars="200"/>
        <w:textAlignment w:val="auto"/>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2024年我市</w:t>
      </w:r>
      <w:r>
        <w:rPr>
          <w:rFonts w:hint="eastAsia" w:ascii="仿宋" w:hAnsi="仿宋" w:eastAsia="仿宋" w:cs="仿宋"/>
          <w:sz w:val="32"/>
          <w:szCs w:val="32"/>
          <w:lang w:val="en-US" w:eastAsia="zh-CN"/>
        </w:rPr>
        <w:t>高龄津贴</w:t>
      </w:r>
      <w:r>
        <w:rPr>
          <w:rFonts w:hint="eastAsia" w:ascii="仿宋" w:hAnsi="仿宋" w:eastAsia="仿宋" w:cs="仿宋"/>
          <w:kern w:val="0"/>
          <w:sz w:val="32"/>
          <w:szCs w:val="32"/>
          <w:highlight w:val="none"/>
          <w:lang w:val="en-US" w:eastAsia="zh-CN" w:bidi="ar-SA"/>
        </w:rPr>
        <w:t>支出427.4万元。</w:t>
      </w:r>
    </w:p>
    <w:p w14:paraId="1C581719">
      <w:pPr>
        <w:numPr>
          <w:ilvl w:val="0"/>
          <w:numId w:val="3"/>
        </w:numPr>
        <w:adjustRightInd w:val="0"/>
        <w:snapToGrid w:val="0"/>
        <w:spacing w:line="600" w:lineRule="exact"/>
        <w:ind w:left="0" w:leftChars="0" w:firstLine="640" w:firstLineChars="200"/>
        <w:rPr>
          <w:rFonts w:hint="eastAsia" w:ascii="仿宋" w:hAnsi="仿宋" w:eastAsia="仿宋" w:cs="仿宋"/>
          <w:sz w:val="32"/>
          <w:szCs w:val="32"/>
        </w:rPr>
      </w:pPr>
      <w:r>
        <w:rPr>
          <w:rFonts w:hint="eastAsia" w:ascii="仿宋" w:hAnsi="仿宋" w:eastAsia="仿宋" w:cs="仿宋"/>
          <w:sz w:val="32"/>
          <w:szCs w:val="32"/>
        </w:rPr>
        <w:t>预算资金管理情况分析，主要包括管理制度、办法的制订及执行情况。</w:t>
      </w:r>
    </w:p>
    <w:p w14:paraId="6E6EFC2A">
      <w:pPr>
        <w:pStyle w:val="2"/>
        <w:ind w:left="0" w:leftChars="0"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0"/>
          <w:sz w:val="32"/>
          <w:szCs w:val="32"/>
          <w:highlight w:val="none"/>
          <w:lang w:eastAsia="zh-CN" w:bidi="ar-SA"/>
        </w:rPr>
        <w:t>湘乡市涉及</w:t>
      </w:r>
      <w:r>
        <w:rPr>
          <w:rFonts w:hint="eastAsia" w:ascii="仿宋" w:hAnsi="仿宋" w:eastAsia="仿宋" w:cs="仿宋"/>
          <w:kern w:val="0"/>
          <w:sz w:val="32"/>
          <w:szCs w:val="32"/>
          <w:highlight w:val="none"/>
          <w:lang w:val="en-US" w:eastAsia="zh-CN" w:bidi="ar-SA"/>
        </w:rPr>
        <w:t>22个乡镇（街道），总人口90万人，2024年全市发放高龄津贴45903人次。</w:t>
      </w:r>
      <w:r>
        <w:rPr>
          <w:rFonts w:hint="eastAsia" w:ascii="仿宋" w:hAnsi="仿宋" w:eastAsia="仿宋" w:cs="仿宋"/>
          <w:kern w:val="0"/>
          <w:sz w:val="32"/>
          <w:szCs w:val="32"/>
          <w:highlight w:val="none"/>
          <w:lang w:eastAsia="zh-CN" w:bidi="ar-SA"/>
        </w:rPr>
        <w:t>为贯彻落实</w:t>
      </w:r>
      <w:r>
        <w:rPr>
          <w:rFonts w:hint="eastAsia" w:ascii="仿宋" w:hAnsi="仿宋" w:eastAsia="仿宋" w:cs="仿宋"/>
          <w:kern w:val="0"/>
          <w:sz w:val="32"/>
          <w:szCs w:val="32"/>
          <w:highlight w:val="none"/>
          <w:lang w:val="en-US" w:eastAsia="zh-CN" w:bidi="ar-SA"/>
        </w:rPr>
        <w:t>湘潭市民政局、湘潭市财政局《关于扩大高龄老人津贴发放和政府购买居家养老服务对象范畴的通知》（潭民发〔2024〕20号）</w:t>
      </w:r>
      <w:r>
        <w:rPr>
          <w:rFonts w:hint="eastAsia" w:ascii="仿宋" w:hAnsi="仿宋" w:eastAsia="仿宋" w:cs="仿宋"/>
          <w:kern w:val="0"/>
          <w:sz w:val="32"/>
          <w:szCs w:val="32"/>
          <w:highlight w:val="none"/>
          <w:lang w:eastAsia="zh-CN" w:bidi="ar-SA"/>
        </w:rPr>
        <w:t>精神，切实维护</w:t>
      </w:r>
      <w:r>
        <w:rPr>
          <w:rFonts w:hint="eastAsia" w:ascii="仿宋" w:hAnsi="仿宋" w:eastAsia="仿宋" w:cs="仿宋"/>
          <w:kern w:val="0"/>
          <w:sz w:val="32"/>
          <w:szCs w:val="32"/>
          <w:highlight w:val="none"/>
          <w:lang w:val="en-US" w:eastAsia="zh-CN" w:bidi="ar-SA"/>
        </w:rPr>
        <w:t>高龄</w:t>
      </w:r>
      <w:r>
        <w:rPr>
          <w:rFonts w:hint="eastAsia" w:ascii="仿宋" w:hAnsi="仿宋" w:eastAsia="仿宋" w:cs="仿宋"/>
          <w:kern w:val="0"/>
          <w:sz w:val="32"/>
          <w:szCs w:val="32"/>
          <w:highlight w:val="none"/>
          <w:lang w:eastAsia="zh-CN" w:bidi="ar-SA"/>
        </w:rPr>
        <w:t>老人基本权益，</w:t>
      </w:r>
      <w:r>
        <w:rPr>
          <w:rFonts w:hint="eastAsia" w:ascii="仿宋" w:hAnsi="仿宋" w:eastAsia="仿宋" w:cs="仿宋"/>
          <w:kern w:val="2"/>
          <w:sz w:val="32"/>
          <w:szCs w:val="32"/>
          <w:lang w:val="en-US" w:eastAsia="zh-CN" w:bidi="ar-SA"/>
        </w:rPr>
        <w:t>全面建立高龄津贴发放制度。所有项目资金的使用和管理，我局严格按照《湖南省民政专项资金使用管理办法》、《湘潭市民政事业资金使用管理暂行办法》（潭民发</w:t>
      </w:r>
      <w:r>
        <w:rPr>
          <w:rFonts w:hint="eastAsia" w:ascii="仿宋" w:hAnsi="仿宋" w:eastAsia="仿宋" w:cs="仿宋"/>
          <w:kern w:val="0"/>
          <w:sz w:val="32"/>
          <w:szCs w:val="32"/>
          <w:highlight w:val="none"/>
          <w:lang w:val="en-US" w:eastAsia="zh-CN" w:bidi="ar-SA"/>
        </w:rPr>
        <w:t>〔2020〕11号</w:t>
      </w:r>
      <w:r>
        <w:rPr>
          <w:rFonts w:hint="eastAsia" w:ascii="仿宋" w:hAnsi="仿宋" w:eastAsia="仿宋" w:cs="仿宋"/>
          <w:kern w:val="2"/>
          <w:sz w:val="32"/>
          <w:szCs w:val="32"/>
          <w:lang w:val="en-US" w:eastAsia="zh-CN" w:bidi="ar-SA"/>
        </w:rPr>
        <w:t>）执行和实施，遵循“谁批准，谁负责、谁办理，谁把关”的原则，进行责任制管理，切实做到专款专用，专科目核算。</w:t>
      </w:r>
    </w:p>
    <w:p w14:paraId="3A80AAE8">
      <w:pPr>
        <w:pStyle w:val="2"/>
        <w:numPr>
          <w:ilvl w:val="0"/>
          <w:numId w:val="2"/>
        </w:numPr>
        <w:ind w:left="0" w:leftChars="0" w:firstLine="640" w:firstLineChars="200"/>
        <w:rPr>
          <w:rFonts w:eastAsia="黑体"/>
          <w:sz w:val="32"/>
          <w:szCs w:val="32"/>
        </w:rPr>
      </w:pPr>
      <w:r>
        <w:rPr>
          <w:rFonts w:eastAsia="黑体"/>
          <w:sz w:val="32"/>
          <w:szCs w:val="32"/>
        </w:rPr>
        <w:t>预算支出组织实施情况</w:t>
      </w:r>
    </w:p>
    <w:p w14:paraId="679DDACF">
      <w:pPr>
        <w:pStyle w:val="2"/>
        <w:numPr>
          <w:ilvl w:val="0"/>
          <w:numId w:val="0"/>
        </w:numPr>
        <w:ind w:firstLine="640" w:firstLineChars="20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每月初进行申报、审批，做到符合年龄的对象在到龄的下个月即享受，申报时提供个人申请审批表、户口簿或身份证原件及复印件、农商银行账号复印件、照片，申请报告先由村上签述意见，再由乡镇（街道）社会事务中心统一受理，进行上门调查，审核后签述意见上报市民政局养老服务股，由我局进行核实后统一审批，审批对象在申报地行政村及乡镇进行公示，如无异议后在每月末通过一卡通平台进行发放。在公示期间公布举报电话，统一接受社会各界的监督。</w:t>
      </w:r>
    </w:p>
    <w:p w14:paraId="08DE6A36">
      <w:pPr>
        <w:adjustRightInd w:val="0"/>
        <w:snapToGrid w:val="0"/>
        <w:spacing w:line="600" w:lineRule="exact"/>
        <w:ind w:firstLine="640" w:firstLineChars="200"/>
        <w:rPr>
          <w:rFonts w:eastAsia="黑体"/>
          <w:sz w:val="32"/>
          <w:szCs w:val="32"/>
        </w:rPr>
      </w:pPr>
      <w:r>
        <w:rPr>
          <w:rFonts w:eastAsia="黑体"/>
          <w:sz w:val="32"/>
          <w:szCs w:val="32"/>
        </w:rPr>
        <w:t>四、预算支出绩效情况</w:t>
      </w:r>
    </w:p>
    <w:p w14:paraId="654331AF">
      <w:p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（一）预算支出决策情况。</w:t>
      </w:r>
    </w:p>
    <w:p w14:paraId="02384033">
      <w:pPr>
        <w:widowControl/>
        <w:adjustRightInd w:val="0"/>
        <w:snapToGrid w:val="0"/>
        <w:spacing w:line="580" w:lineRule="exact"/>
        <w:ind w:firstLine="640" w:firstLineChars="200"/>
        <w:jc w:val="left"/>
        <w:rPr>
          <w:rFonts w:hint="eastAsia" w:ascii="仿宋" w:hAnsi="仿宋" w:eastAsia="仿宋" w:cs="仿宋"/>
          <w:b w:val="0"/>
          <w:bCs/>
          <w:kern w:val="0"/>
          <w:sz w:val="32"/>
          <w:szCs w:val="32"/>
          <w:highlight w:val="none"/>
          <w:lang w:eastAsia="zh-CN" w:bidi="ar-SA"/>
        </w:rPr>
      </w:pPr>
      <w:r>
        <w:rPr>
          <w:rFonts w:hint="eastAsia" w:ascii="仿宋" w:hAnsi="仿宋" w:eastAsia="仿宋" w:cs="仿宋"/>
          <w:b w:val="0"/>
          <w:bCs/>
          <w:kern w:val="0"/>
          <w:sz w:val="32"/>
          <w:szCs w:val="32"/>
          <w:highlight w:val="none"/>
          <w:lang w:eastAsia="zh-CN" w:bidi="ar-SA"/>
        </w:rPr>
        <w:t>本项目每年年初根据资金支持范围设立绩效目标，绩效目标设置合规，因素选择全面合理，预算确定的投资额与资金需求量相匹配。</w:t>
      </w:r>
    </w:p>
    <w:p w14:paraId="7F1C7C5E">
      <w:pPr>
        <w:numPr>
          <w:ilvl w:val="0"/>
          <w:numId w:val="0"/>
        </w:numPr>
        <w:adjustRightInd w:val="0"/>
        <w:snapToGrid w:val="0"/>
        <w:spacing w:line="600" w:lineRule="exact"/>
        <w:ind w:leftChars="200"/>
        <w:rPr>
          <w:rFonts w:hint="eastAsia" w:ascii="仿宋" w:hAnsi="仿宋" w:eastAsia="仿宋" w:cs="仿宋"/>
          <w:sz w:val="32"/>
          <w:szCs w:val="32"/>
        </w:rPr>
      </w:pPr>
      <w:r>
        <w:rPr>
          <w:rFonts w:hint="eastAsia" w:ascii="仿宋" w:hAnsi="仿宋" w:eastAsia="仿宋" w:cs="仿宋"/>
          <w:sz w:val="32"/>
          <w:szCs w:val="32"/>
          <w:lang w:eastAsia="zh-CN"/>
        </w:rPr>
        <w:t>（二）</w:t>
      </w:r>
      <w:r>
        <w:rPr>
          <w:rFonts w:hint="eastAsia" w:ascii="仿宋" w:hAnsi="仿宋" w:eastAsia="仿宋" w:cs="仿宋"/>
          <w:sz w:val="32"/>
          <w:szCs w:val="32"/>
        </w:rPr>
        <w:t>预算支出过程情况。</w:t>
      </w:r>
    </w:p>
    <w:p w14:paraId="7E37BDBB">
      <w:pPr>
        <w:pStyle w:val="2"/>
        <w:ind w:left="0" w:leftChars="0" w:firstLine="640" w:firstLineChars="200"/>
        <w:rPr>
          <w:rFonts w:hint="eastAsia"/>
          <w:sz w:val="32"/>
          <w:szCs w:val="32"/>
          <w:lang w:val="en-US" w:eastAsia="zh-CN"/>
        </w:rPr>
      </w:pPr>
      <w:r>
        <w:rPr>
          <w:rFonts w:hint="eastAsia" w:ascii="仿宋" w:hAnsi="仿宋" w:eastAsia="仿宋" w:cs="仿宋"/>
          <w:bCs/>
          <w:kern w:val="0"/>
          <w:sz w:val="32"/>
          <w:szCs w:val="32"/>
          <w:highlight w:val="none"/>
          <w:lang w:val="en-US" w:eastAsia="zh-CN" w:bidi="ar-SA"/>
        </w:rPr>
        <w:t>资金使用符合国家财经法规和财务管理制度，严格按照</w:t>
      </w:r>
      <w:r>
        <w:rPr>
          <w:rFonts w:hint="eastAsia" w:ascii="仿宋" w:hAnsi="仿宋" w:eastAsia="仿宋" w:cs="仿宋"/>
          <w:sz w:val="32"/>
          <w:szCs w:val="32"/>
        </w:rPr>
        <w:t>《湖南省民政专项资金使用管理办法》、</w:t>
      </w:r>
      <w:r>
        <w:rPr>
          <w:rFonts w:hint="eastAsia" w:ascii="仿宋" w:hAnsi="仿宋" w:eastAsia="仿宋" w:cs="仿宋"/>
          <w:sz w:val="32"/>
          <w:szCs w:val="32"/>
          <w:lang w:eastAsia="zh-CN"/>
        </w:rPr>
        <w:t>《湘乡市民政局救助补助资金及民政项目资金监督管理实施办法》执行和实施，按照“专款专用、单独核算”的原则进行财务核算，高龄津贴全部通过惠民惠农财政补助资金“一卡通”发放。</w:t>
      </w:r>
    </w:p>
    <w:p w14:paraId="2F1BC766">
      <w:pPr>
        <w:numPr>
          <w:ilvl w:val="0"/>
          <w:numId w:val="0"/>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（三）</w:t>
      </w:r>
      <w:r>
        <w:rPr>
          <w:rFonts w:hint="eastAsia" w:ascii="仿宋" w:hAnsi="仿宋" w:eastAsia="仿宋" w:cs="仿宋"/>
          <w:sz w:val="32"/>
          <w:szCs w:val="32"/>
        </w:rPr>
        <w:t>预算支出产出情况。</w:t>
      </w:r>
    </w:p>
    <w:p w14:paraId="56D7647F">
      <w:pPr>
        <w:pStyle w:val="4"/>
        <w:numPr>
          <w:ilvl w:val="0"/>
          <w:numId w:val="0"/>
        </w:numPr>
        <w:ind w:firstLine="640" w:firstLineChars="200"/>
        <w:rPr>
          <w:rFonts w:hint="eastAsia" w:ascii="仿宋" w:hAnsi="仿宋" w:eastAsia="仿宋" w:cs="仿宋"/>
          <w:sz w:val="32"/>
          <w:szCs w:val="32"/>
          <w:lang w:val="en-US"/>
        </w:rPr>
      </w:pPr>
      <w:r>
        <w:rPr>
          <w:rFonts w:hint="eastAsia" w:ascii="仿宋" w:hAnsi="仿宋" w:eastAsia="仿宋" w:cs="仿宋"/>
          <w:kern w:val="0"/>
          <w:sz w:val="32"/>
          <w:szCs w:val="32"/>
          <w:highlight w:val="none"/>
          <w:lang w:val="en-US" w:eastAsia="zh-CN" w:bidi="ar-SA"/>
        </w:rPr>
        <w:t>数量指标：</w:t>
      </w:r>
      <w:r>
        <w:rPr>
          <w:rFonts w:hint="eastAsia" w:ascii="仿宋" w:hAnsi="仿宋" w:eastAsia="仿宋" w:cs="仿宋"/>
          <w:sz w:val="32"/>
          <w:szCs w:val="32"/>
          <w:lang w:eastAsia="zh-CN"/>
        </w:rPr>
        <w:t>全市全市</w:t>
      </w:r>
      <w:r>
        <w:rPr>
          <w:rFonts w:hint="eastAsia" w:ascii="仿宋" w:hAnsi="仿宋" w:eastAsia="仿宋" w:cs="仿宋"/>
          <w:sz w:val="32"/>
          <w:szCs w:val="32"/>
        </w:rPr>
        <w:t>80-89岁的</w:t>
      </w:r>
      <w:r>
        <w:rPr>
          <w:rFonts w:hint="eastAsia" w:ascii="仿宋" w:hAnsi="仿宋" w:eastAsia="仿宋" w:cs="仿宋"/>
          <w:sz w:val="32"/>
          <w:szCs w:val="32"/>
          <w:lang w:eastAsia="zh-CN"/>
        </w:rPr>
        <w:t>低保、五保</w:t>
      </w:r>
      <w:r>
        <w:rPr>
          <w:rFonts w:hint="eastAsia" w:ascii="仿宋" w:hAnsi="仿宋" w:eastAsia="仿宋" w:cs="仿宋"/>
          <w:sz w:val="32"/>
          <w:szCs w:val="32"/>
        </w:rPr>
        <w:t>老人</w:t>
      </w:r>
      <w:r>
        <w:rPr>
          <w:rFonts w:hint="eastAsia" w:ascii="仿宋" w:hAnsi="仿宋" w:eastAsia="仿宋" w:cs="仿宋"/>
          <w:sz w:val="32"/>
          <w:szCs w:val="32"/>
          <w:lang w:eastAsia="zh-CN"/>
        </w:rPr>
        <w:t>人数</w:t>
      </w:r>
      <w:r>
        <w:rPr>
          <w:rFonts w:hint="eastAsia" w:ascii="仿宋" w:hAnsi="仿宋" w:eastAsia="仿宋" w:cs="仿宋"/>
          <w:sz w:val="32"/>
          <w:szCs w:val="32"/>
          <w:lang w:val="en-US" w:eastAsia="zh-CN"/>
        </w:rPr>
        <w:t>930人，</w:t>
      </w:r>
      <w:r>
        <w:rPr>
          <w:rFonts w:hint="eastAsia" w:ascii="仿宋" w:hAnsi="仿宋" w:eastAsia="仿宋" w:cs="仿宋"/>
          <w:sz w:val="32"/>
          <w:szCs w:val="32"/>
          <w:lang w:eastAsia="zh-CN"/>
        </w:rPr>
        <w:t>全市</w:t>
      </w:r>
      <w:r>
        <w:rPr>
          <w:rFonts w:hint="eastAsia" w:ascii="仿宋" w:hAnsi="仿宋" w:eastAsia="仿宋" w:cs="仿宋"/>
          <w:sz w:val="32"/>
          <w:szCs w:val="32"/>
          <w:lang w:val="en-US" w:eastAsia="zh-CN"/>
        </w:rPr>
        <w:t>90</w:t>
      </w: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9岁的老人</w:t>
      </w:r>
      <w:r>
        <w:rPr>
          <w:rFonts w:hint="eastAsia" w:ascii="仿宋" w:hAnsi="仿宋" w:eastAsia="仿宋" w:cs="仿宋"/>
          <w:sz w:val="32"/>
          <w:szCs w:val="32"/>
          <w:lang w:eastAsia="zh-CN"/>
        </w:rPr>
        <w:t>人数</w:t>
      </w:r>
      <w:r>
        <w:rPr>
          <w:rFonts w:hint="eastAsia" w:ascii="仿宋" w:hAnsi="仿宋" w:eastAsia="仿宋" w:cs="仿宋"/>
          <w:sz w:val="32"/>
          <w:szCs w:val="32"/>
          <w:lang w:val="en-US" w:eastAsia="zh-CN"/>
        </w:rPr>
        <w:t>3093人，</w:t>
      </w:r>
      <w:r>
        <w:rPr>
          <w:rFonts w:hint="eastAsia" w:ascii="仿宋" w:hAnsi="仿宋" w:eastAsia="仿宋" w:cs="仿宋"/>
          <w:sz w:val="32"/>
          <w:szCs w:val="32"/>
          <w:lang w:eastAsia="zh-CN"/>
        </w:rPr>
        <w:t>全市</w:t>
      </w:r>
      <w:r>
        <w:rPr>
          <w:rFonts w:hint="eastAsia" w:ascii="仿宋" w:hAnsi="仿宋" w:eastAsia="仿宋" w:cs="仿宋"/>
          <w:sz w:val="32"/>
          <w:szCs w:val="32"/>
        </w:rPr>
        <w:t>80-89岁的</w:t>
      </w:r>
      <w:r>
        <w:rPr>
          <w:rFonts w:hint="eastAsia" w:ascii="仿宋" w:hAnsi="仿宋" w:eastAsia="仿宋" w:cs="仿宋"/>
          <w:sz w:val="32"/>
          <w:szCs w:val="32"/>
          <w:lang w:eastAsia="zh-CN"/>
        </w:rPr>
        <w:t>低保、五保</w:t>
      </w:r>
      <w:r>
        <w:rPr>
          <w:rFonts w:hint="eastAsia" w:ascii="仿宋" w:hAnsi="仿宋" w:eastAsia="仿宋" w:cs="仿宋"/>
          <w:sz w:val="32"/>
          <w:szCs w:val="32"/>
        </w:rPr>
        <w:t>老人</w:t>
      </w:r>
      <w:r>
        <w:rPr>
          <w:rFonts w:hint="eastAsia" w:ascii="仿宋" w:hAnsi="仿宋" w:eastAsia="仿宋" w:cs="仿宋"/>
          <w:sz w:val="32"/>
          <w:szCs w:val="32"/>
          <w:lang w:eastAsia="zh-CN"/>
        </w:rPr>
        <w:t>补贴发放标准</w:t>
      </w:r>
      <w:r>
        <w:rPr>
          <w:rFonts w:hint="eastAsia" w:ascii="仿宋" w:hAnsi="仿宋" w:eastAsia="仿宋" w:cs="仿宋"/>
          <w:sz w:val="32"/>
          <w:szCs w:val="32"/>
        </w:rPr>
        <w:t>50元/月</w:t>
      </w:r>
      <w:r>
        <w:rPr>
          <w:rFonts w:hint="eastAsia" w:ascii="仿宋" w:hAnsi="仿宋" w:eastAsia="仿宋" w:cs="仿宋"/>
          <w:sz w:val="32"/>
          <w:szCs w:val="32"/>
          <w:lang w:eastAsia="zh-CN"/>
        </w:rPr>
        <w:t>，全市</w:t>
      </w:r>
      <w:r>
        <w:rPr>
          <w:rFonts w:hint="eastAsia" w:ascii="仿宋" w:hAnsi="仿宋" w:eastAsia="仿宋" w:cs="仿宋"/>
          <w:sz w:val="32"/>
          <w:szCs w:val="32"/>
          <w:lang w:val="en-US" w:eastAsia="zh-CN"/>
        </w:rPr>
        <w:t>90</w:t>
      </w:r>
      <w:r>
        <w:rPr>
          <w:rFonts w:hint="eastAsia" w:ascii="仿宋" w:hAnsi="仿宋" w:eastAsia="仿宋" w:cs="仿宋"/>
          <w:sz w:val="32"/>
          <w:szCs w:val="32"/>
        </w:rPr>
        <w:t>-</w:t>
      </w:r>
      <w:r>
        <w:rPr>
          <w:rFonts w:hint="eastAsia" w:ascii="仿宋" w:hAnsi="仿宋" w:eastAsia="仿宋" w:cs="仿宋"/>
          <w:sz w:val="32"/>
          <w:szCs w:val="32"/>
          <w:lang w:val="en-US" w:eastAsia="zh-CN"/>
        </w:rPr>
        <w:t>9</w:t>
      </w:r>
      <w:r>
        <w:rPr>
          <w:rFonts w:hint="eastAsia" w:ascii="仿宋" w:hAnsi="仿宋" w:eastAsia="仿宋" w:cs="仿宋"/>
          <w:sz w:val="32"/>
          <w:szCs w:val="32"/>
        </w:rPr>
        <w:t>9岁的老人</w:t>
      </w:r>
      <w:r>
        <w:rPr>
          <w:rFonts w:hint="eastAsia" w:ascii="仿宋" w:hAnsi="仿宋" w:eastAsia="仿宋" w:cs="仿宋"/>
          <w:sz w:val="32"/>
          <w:szCs w:val="32"/>
          <w:lang w:eastAsia="zh-CN"/>
        </w:rPr>
        <w:t>补贴发放标准</w:t>
      </w:r>
      <w:r>
        <w:rPr>
          <w:rFonts w:hint="eastAsia" w:ascii="仿宋" w:hAnsi="仿宋" w:eastAsia="仿宋" w:cs="仿宋"/>
          <w:sz w:val="32"/>
          <w:szCs w:val="32"/>
          <w:lang w:val="en-US" w:eastAsia="zh-CN"/>
        </w:rPr>
        <w:t>100</w:t>
      </w:r>
      <w:r>
        <w:rPr>
          <w:rFonts w:hint="eastAsia" w:ascii="仿宋" w:hAnsi="仿宋" w:eastAsia="仿宋" w:cs="仿宋"/>
          <w:sz w:val="32"/>
          <w:szCs w:val="32"/>
        </w:rPr>
        <w:t>元/月</w:t>
      </w:r>
      <w:r>
        <w:rPr>
          <w:rFonts w:hint="eastAsia" w:ascii="仿宋" w:hAnsi="仿宋" w:eastAsia="仿宋" w:cs="仿宋"/>
          <w:sz w:val="32"/>
          <w:szCs w:val="32"/>
          <w:lang w:val="en-US" w:eastAsia="zh-CN"/>
        </w:rPr>
        <w:t>。</w:t>
      </w:r>
      <w:r>
        <w:rPr>
          <w:rFonts w:hint="eastAsia" w:ascii="仿宋" w:hAnsi="仿宋" w:eastAsia="仿宋" w:cs="仿宋"/>
          <w:kern w:val="0"/>
          <w:sz w:val="32"/>
          <w:szCs w:val="32"/>
          <w:highlight w:val="none"/>
          <w:lang w:val="en-US" w:eastAsia="zh-CN" w:bidi="ar-SA"/>
        </w:rPr>
        <w:t xml:space="preserve"> </w:t>
      </w:r>
    </w:p>
    <w:p w14:paraId="6EF1AEF5">
      <w:pPr>
        <w:widowControl/>
        <w:numPr>
          <w:ilvl w:val="0"/>
          <w:numId w:val="0"/>
        </w:numPr>
        <w:adjustRightInd w:val="0"/>
        <w:snapToGrid w:val="0"/>
        <w:spacing w:line="580" w:lineRule="exact"/>
        <w:ind w:firstLine="640" w:firstLineChars="200"/>
        <w:jc w:val="left"/>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质量指标：</w:t>
      </w:r>
      <w:r>
        <w:rPr>
          <w:rFonts w:hint="eastAsia" w:ascii="仿宋" w:hAnsi="仿宋" w:eastAsia="仿宋" w:cs="仿宋"/>
          <w:sz w:val="32"/>
          <w:szCs w:val="32"/>
          <w:lang w:eastAsia="zh-CN"/>
        </w:rPr>
        <w:t>高龄老人档案资料完善率</w:t>
      </w:r>
      <w:r>
        <w:rPr>
          <w:rFonts w:hint="eastAsia" w:ascii="仿宋" w:hAnsi="仿宋" w:eastAsia="仿宋" w:cs="仿宋"/>
          <w:sz w:val="32"/>
          <w:szCs w:val="32"/>
          <w:lang w:val="en-US" w:eastAsia="zh-CN"/>
        </w:rPr>
        <w:t>98</w:t>
      </w:r>
      <w:r>
        <w:rPr>
          <w:rFonts w:hint="eastAsia" w:ascii="仿宋" w:hAnsi="仿宋" w:eastAsia="仿宋" w:cs="仿宋"/>
          <w:sz w:val="32"/>
          <w:szCs w:val="32"/>
        </w:rPr>
        <w:t>%</w:t>
      </w:r>
      <w:r>
        <w:rPr>
          <w:rFonts w:hint="eastAsia" w:ascii="仿宋" w:hAnsi="仿宋" w:eastAsia="仿宋" w:cs="仿宋"/>
          <w:sz w:val="32"/>
          <w:szCs w:val="32"/>
          <w:lang w:eastAsia="zh-CN"/>
        </w:rPr>
        <w:t>，</w:t>
      </w:r>
      <w:r>
        <w:rPr>
          <w:rFonts w:hint="eastAsia" w:ascii="仿宋" w:hAnsi="仿宋" w:eastAsia="仿宋" w:cs="仿宋"/>
          <w:color w:val="000000"/>
          <w:kern w:val="0"/>
          <w:sz w:val="32"/>
          <w:szCs w:val="32"/>
          <w:lang w:eastAsia="zh-CN"/>
        </w:rPr>
        <w:t>符合政策的老年人纳入补贴范围覆盖率</w:t>
      </w:r>
      <w:r>
        <w:rPr>
          <w:rFonts w:hint="eastAsia" w:ascii="仿宋" w:hAnsi="仿宋" w:eastAsia="仿宋" w:cs="仿宋"/>
          <w:sz w:val="32"/>
          <w:szCs w:val="32"/>
          <w:lang w:val="en-US" w:eastAsia="zh-CN"/>
        </w:rPr>
        <w:t>98</w:t>
      </w:r>
      <w:r>
        <w:rPr>
          <w:rFonts w:hint="eastAsia" w:ascii="仿宋" w:hAnsi="仿宋" w:eastAsia="仿宋" w:cs="仿宋"/>
          <w:sz w:val="32"/>
          <w:szCs w:val="32"/>
        </w:rPr>
        <w:t>%</w:t>
      </w:r>
      <w:r>
        <w:rPr>
          <w:rFonts w:hint="eastAsia" w:ascii="仿宋" w:hAnsi="仿宋" w:eastAsia="仿宋" w:cs="仿宋"/>
          <w:sz w:val="32"/>
          <w:szCs w:val="32"/>
          <w:lang w:eastAsia="zh-CN"/>
        </w:rPr>
        <w:t>。</w:t>
      </w:r>
    </w:p>
    <w:p w14:paraId="46D90CC2">
      <w:pPr>
        <w:pStyle w:val="4"/>
        <w:numPr>
          <w:ilvl w:val="0"/>
          <w:numId w:val="0"/>
        </w:numPr>
        <w:ind w:firstLine="640" w:firstLineChars="200"/>
        <w:rPr>
          <w:rFonts w:hint="eastAsia" w:ascii="仿宋" w:hAnsi="仿宋" w:eastAsia="仿宋" w:cs="仿宋"/>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时效指标：</w:t>
      </w:r>
      <w:r>
        <w:rPr>
          <w:rFonts w:hint="eastAsia" w:ascii="仿宋" w:hAnsi="仿宋" w:eastAsia="仿宋" w:cs="仿宋"/>
          <w:sz w:val="32"/>
          <w:szCs w:val="32"/>
          <w:lang w:eastAsia="zh-CN"/>
        </w:rPr>
        <w:t>资金发放时间按月发放。</w:t>
      </w:r>
      <w:r>
        <w:rPr>
          <w:rFonts w:hint="eastAsia" w:ascii="仿宋" w:hAnsi="仿宋" w:eastAsia="仿宋" w:cs="仿宋"/>
          <w:kern w:val="0"/>
          <w:sz w:val="32"/>
          <w:szCs w:val="32"/>
          <w:highlight w:val="none"/>
          <w:lang w:val="en-US" w:eastAsia="zh-CN" w:bidi="ar-SA"/>
        </w:rPr>
        <w:t xml:space="preserve"> </w:t>
      </w:r>
      <w:bookmarkStart w:id="0" w:name="_GoBack"/>
      <w:bookmarkEnd w:id="0"/>
    </w:p>
    <w:p w14:paraId="475FA6B6">
      <w:pPr>
        <w:pStyle w:val="4"/>
        <w:numPr>
          <w:ilvl w:val="0"/>
          <w:numId w:val="0"/>
        </w:numPr>
        <w:ind w:firstLine="640" w:firstLineChars="200"/>
        <w:rPr>
          <w:rFonts w:hint="eastAsia" w:ascii="仿宋" w:hAnsi="仿宋" w:eastAsia="仿宋" w:cs="仿宋"/>
          <w:bCs/>
          <w:kern w:val="0"/>
          <w:sz w:val="32"/>
          <w:szCs w:val="32"/>
          <w:highlight w:val="none"/>
          <w:lang w:val="en-US" w:eastAsia="zh-CN" w:bidi="ar-SA"/>
        </w:rPr>
      </w:pPr>
      <w:r>
        <w:rPr>
          <w:rFonts w:hint="eastAsia" w:ascii="仿宋" w:hAnsi="仿宋" w:eastAsia="仿宋" w:cs="仿宋"/>
          <w:kern w:val="0"/>
          <w:sz w:val="32"/>
          <w:szCs w:val="32"/>
          <w:highlight w:val="none"/>
          <w:lang w:val="en-US" w:eastAsia="zh-CN" w:bidi="ar-SA"/>
        </w:rPr>
        <w:t>成本指标：</w:t>
      </w:r>
      <w:r>
        <w:rPr>
          <w:rFonts w:hint="eastAsia" w:ascii="仿宋" w:hAnsi="仿宋" w:eastAsia="仿宋" w:cs="仿宋"/>
          <w:sz w:val="32"/>
          <w:szCs w:val="32"/>
          <w:lang w:val="en-US" w:eastAsia="zh-CN"/>
        </w:rPr>
        <w:t>高龄补贴450万。</w:t>
      </w:r>
    </w:p>
    <w:p w14:paraId="215DD71C">
      <w:pPr>
        <w:numPr>
          <w:ilvl w:val="0"/>
          <w:numId w:val="0"/>
        </w:numPr>
        <w:adjustRightInd w:val="0"/>
        <w:snapToGrid w:val="0"/>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（四）</w:t>
      </w:r>
      <w:r>
        <w:rPr>
          <w:rFonts w:hint="eastAsia" w:ascii="仿宋" w:hAnsi="仿宋" w:eastAsia="仿宋" w:cs="仿宋"/>
          <w:sz w:val="32"/>
          <w:szCs w:val="32"/>
        </w:rPr>
        <w:t>预算支出效益情况。</w:t>
      </w:r>
    </w:p>
    <w:p w14:paraId="5FF40410">
      <w:pPr>
        <w:pStyle w:val="4"/>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kern w:val="0"/>
          <w:sz w:val="32"/>
          <w:szCs w:val="32"/>
          <w:highlight w:val="none"/>
          <w:lang w:val="en-US" w:eastAsia="zh-CN" w:bidi="ar-SA"/>
        </w:rPr>
        <w:t>经济效益指标：</w:t>
      </w:r>
      <w:r>
        <w:rPr>
          <w:rFonts w:hint="eastAsia" w:ascii="仿宋" w:hAnsi="仿宋" w:eastAsia="仿宋" w:cs="仿宋"/>
          <w:sz w:val="32"/>
          <w:szCs w:val="32"/>
          <w:lang w:eastAsia="zh-CN"/>
        </w:rPr>
        <w:t>适当减轻减轻高龄老人生活负担。</w:t>
      </w:r>
    </w:p>
    <w:p w14:paraId="18E411A1">
      <w:pPr>
        <w:pStyle w:val="4"/>
        <w:numPr>
          <w:ilvl w:val="0"/>
          <w:numId w:val="0"/>
        </w:numPr>
        <w:ind w:firstLine="640" w:firstLineChars="200"/>
        <w:rPr>
          <w:rFonts w:hint="eastAsia" w:ascii="仿宋" w:hAnsi="仿宋" w:eastAsia="仿宋" w:cs="仿宋"/>
          <w:sz w:val="32"/>
          <w:szCs w:val="32"/>
          <w:lang w:eastAsia="zh-CN"/>
        </w:rPr>
      </w:pPr>
      <w:r>
        <w:rPr>
          <w:rFonts w:hint="eastAsia" w:ascii="仿宋" w:hAnsi="仿宋" w:eastAsia="仿宋" w:cs="仿宋"/>
          <w:kern w:val="0"/>
          <w:sz w:val="32"/>
          <w:szCs w:val="32"/>
          <w:highlight w:val="none"/>
          <w:lang w:val="en-US" w:eastAsia="zh-CN" w:bidi="ar-SA"/>
        </w:rPr>
        <w:t>社会效益指标：</w:t>
      </w:r>
      <w:r>
        <w:rPr>
          <w:rFonts w:hint="eastAsia" w:ascii="仿宋" w:hAnsi="仿宋" w:eastAsia="仿宋" w:cs="仿宋"/>
          <w:sz w:val="32"/>
          <w:szCs w:val="32"/>
          <w:lang w:eastAsia="zh-CN"/>
        </w:rPr>
        <w:t>适当提升高龄老人的幸福感和获得感。</w:t>
      </w:r>
    </w:p>
    <w:p w14:paraId="4F37FAE8">
      <w:pPr>
        <w:pStyle w:val="4"/>
        <w:numPr>
          <w:ilvl w:val="0"/>
          <w:numId w:val="0"/>
        </w:numPr>
        <w:ind w:firstLine="640" w:firstLineChars="200"/>
        <w:rPr>
          <w:rFonts w:hint="eastAsia" w:ascii="仿宋" w:hAnsi="仿宋" w:eastAsia="仿宋" w:cs="仿宋"/>
          <w:sz w:val="32"/>
          <w:szCs w:val="32"/>
          <w:lang w:val="en-US" w:eastAsia="zh-CN"/>
        </w:rPr>
      </w:pPr>
      <w:r>
        <w:rPr>
          <w:rFonts w:hint="eastAsia" w:ascii="仿宋" w:hAnsi="仿宋" w:eastAsia="仿宋" w:cs="仿宋"/>
          <w:kern w:val="0"/>
          <w:sz w:val="32"/>
          <w:szCs w:val="32"/>
          <w:highlight w:val="none"/>
          <w:lang w:val="en-US" w:eastAsia="zh-CN" w:bidi="ar-SA"/>
        </w:rPr>
        <w:t>可持续影响指标：</w:t>
      </w:r>
      <w:r>
        <w:rPr>
          <w:rFonts w:hint="eastAsia" w:ascii="仿宋" w:hAnsi="仿宋" w:eastAsia="仿宋" w:cs="仿宋"/>
          <w:sz w:val="32"/>
          <w:szCs w:val="32"/>
          <w:lang w:eastAsia="zh-CN"/>
        </w:rPr>
        <w:t>健全补贴制度、每月上报异动，老人福利制度建设情况实行动态管理。</w:t>
      </w:r>
    </w:p>
    <w:p w14:paraId="03E3502B">
      <w:pPr>
        <w:widowControl/>
        <w:numPr>
          <w:ilvl w:val="0"/>
          <w:numId w:val="0"/>
        </w:numPr>
        <w:adjustRightInd w:val="0"/>
        <w:snapToGrid w:val="0"/>
        <w:spacing w:line="580" w:lineRule="exact"/>
        <w:ind w:firstLine="640" w:firstLineChars="200"/>
        <w:jc w:val="left"/>
        <w:rPr>
          <w:rFonts w:hint="default" w:ascii="Times New Roman" w:hAnsi="Times New Roman" w:eastAsia="黑体" w:cs="Times New Roman"/>
          <w:kern w:val="0"/>
          <w:sz w:val="32"/>
          <w:szCs w:val="32"/>
          <w:highlight w:val="none"/>
          <w:lang w:bidi="ar-SA"/>
        </w:rPr>
      </w:pPr>
      <w:r>
        <w:rPr>
          <w:rFonts w:hint="eastAsia" w:ascii="Times New Roman" w:hAnsi="Times New Roman" w:eastAsia="黑体" w:cs="Times New Roman"/>
          <w:kern w:val="0"/>
          <w:sz w:val="32"/>
          <w:szCs w:val="32"/>
          <w:highlight w:val="none"/>
          <w:lang w:eastAsia="zh-CN" w:bidi="ar-SA"/>
        </w:rPr>
        <w:t>五、</w:t>
      </w:r>
      <w:r>
        <w:rPr>
          <w:rFonts w:hint="default" w:ascii="Times New Roman" w:hAnsi="Times New Roman" w:eastAsia="黑体" w:cs="Times New Roman"/>
          <w:kern w:val="0"/>
          <w:sz w:val="32"/>
          <w:szCs w:val="32"/>
          <w:highlight w:val="none"/>
          <w:lang w:bidi="ar-SA"/>
        </w:rPr>
        <w:t>主要经验及做法、存在的问题及原因分析</w:t>
      </w:r>
    </w:p>
    <w:p w14:paraId="2C2E2DDE">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高龄津贴发放实行集中统一，分级管理的运行机制，各项工作责任到人、逐级审批、层层分管、形成部门联动的管理机制，确保项目顺利开展。尽管高龄津贴发放项目运行平稳，但动态管理难度大，死亡后继续发放高龄津贴的事仍有发生。</w:t>
      </w:r>
      <w:r>
        <w:rPr>
          <w:rFonts w:hint="eastAsia" w:ascii="Times New Roman" w:hAnsi="Times New Roman" w:eastAsia="仿宋_GB2312" w:cs="Times New Roman"/>
          <w:b/>
          <w:bCs/>
          <w:kern w:val="0"/>
          <w:sz w:val="32"/>
          <w:szCs w:val="32"/>
          <w:highlight w:val="none"/>
          <w:lang w:val="en-US" w:eastAsia="zh-CN" w:bidi="ar-SA"/>
        </w:rPr>
        <w:t>一是</w:t>
      </w:r>
      <w:r>
        <w:rPr>
          <w:rFonts w:hint="eastAsia" w:ascii="Times New Roman" w:hAnsi="Times New Roman" w:eastAsia="仿宋_GB2312" w:cs="Times New Roman"/>
          <w:kern w:val="0"/>
          <w:sz w:val="32"/>
          <w:szCs w:val="32"/>
          <w:highlight w:val="none"/>
          <w:lang w:val="en-US" w:eastAsia="zh-CN" w:bidi="ar-SA"/>
        </w:rPr>
        <w:t>享受高龄津贴人员信息更新不及时，导致出现死亡人员继续享受补助情况。</w:t>
      </w:r>
      <w:r>
        <w:rPr>
          <w:rFonts w:hint="eastAsia" w:ascii="Times New Roman" w:hAnsi="Times New Roman" w:eastAsia="仿宋_GB2312" w:cs="Times New Roman"/>
          <w:b/>
          <w:bCs/>
          <w:kern w:val="0"/>
          <w:sz w:val="32"/>
          <w:szCs w:val="32"/>
          <w:highlight w:val="none"/>
          <w:lang w:val="en-US" w:eastAsia="zh-CN" w:bidi="ar-SA"/>
        </w:rPr>
        <w:t>二是</w:t>
      </w:r>
      <w:r>
        <w:rPr>
          <w:rFonts w:hint="eastAsia" w:ascii="Times New Roman" w:hAnsi="Times New Roman" w:eastAsia="仿宋_GB2312" w:cs="Times New Roman"/>
          <w:kern w:val="0"/>
          <w:sz w:val="32"/>
          <w:szCs w:val="32"/>
          <w:highlight w:val="none"/>
          <w:lang w:val="en-US" w:eastAsia="zh-CN" w:bidi="ar-SA"/>
        </w:rPr>
        <w:t>人手不足，各乡镇社会事务中心对接全市民政工作，工作任务繁重，做不到每月信息排查。</w:t>
      </w:r>
    </w:p>
    <w:p w14:paraId="4FAFADA7">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kern w:val="0"/>
          <w:sz w:val="32"/>
          <w:szCs w:val="32"/>
          <w:highlight w:val="none"/>
          <w:lang w:bidi="ar-SA"/>
        </w:rPr>
      </w:pPr>
      <w:r>
        <w:rPr>
          <w:rFonts w:hint="eastAsia" w:ascii="Times New Roman" w:hAnsi="Times New Roman" w:eastAsia="黑体" w:cs="Times New Roman"/>
          <w:kern w:val="0"/>
          <w:sz w:val="32"/>
          <w:szCs w:val="32"/>
          <w:highlight w:val="none"/>
          <w:lang w:eastAsia="zh-CN" w:bidi="ar-SA"/>
        </w:rPr>
        <w:t>六、</w:t>
      </w:r>
      <w:r>
        <w:rPr>
          <w:rFonts w:hint="default" w:ascii="Times New Roman" w:hAnsi="Times New Roman" w:eastAsia="黑体" w:cs="Times New Roman"/>
          <w:kern w:val="0"/>
          <w:sz w:val="32"/>
          <w:szCs w:val="32"/>
          <w:highlight w:val="none"/>
          <w:lang w:bidi="ar-SA"/>
        </w:rPr>
        <w:t>有关建议</w:t>
      </w:r>
    </w:p>
    <w:p w14:paraId="75A1912A">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640" w:firstLineChars="200"/>
        <w:textAlignment w:val="auto"/>
        <w:rPr>
          <w:rFonts w:hint="default" w:ascii="Times New Roman" w:hAnsi="Times New Roman" w:eastAsia="黑体" w:cs="Times New Roman"/>
          <w:kern w:val="0"/>
          <w:sz w:val="32"/>
          <w:szCs w:val="32"/>
          <w:highlight w:val="none"/>
          <w:lang w:bidi="ar-SA"/>
        </w:rPr>
      </w:pPr>
      <w:r>
        <w:rPr>
          <w:rFonts w:hint="eastAsia" w:ascii="Times New Roman" w:hAnsi="Times New Roman" w:eastAsia="仿宋_GB2312" w:cs="Times New Roman"/>
          <w:kern w:val="0"/>
          <w:sz w:val="32"/>
          <w:szCs w:val="32"/>
          <w:highlight w:val="none"/>
          <w:lang w:val="en-US" w:eastAsia="zh-CN" w:bidi="ar-SA"/>
        </w:rPr>
        <w:t>高龄人群随着生活水平的提高人数越来越多，生活、护理支出成本进一步加大，建议进一步加大资金配套比例，保障高龄人群的基本生活的改善。</w:t>
      </w:r>
    </w:p>
    <w:p w14:paraId="0FAF1D1E">
      <w:pPr>
        <w:keepNext w:val="0"/>
        <w:keepLines w:val="0"/>
        <w:pageBreakBefore w:val="0"/>
        <w:widowControl/>
        <w:kinsoku/>
        <w:wordWrap/>
        <w:overflowPunct/>
        <w:topLinePunct w:val="0"/>
        <w:autoSpaceDE/>
        <w:autoSpaceDN/>
        <w:bidi w:val="0"/>
        <w:adjustRightInd w:val="0"/>
        <w:snapToGrid w:val="0"/>
        <w:spacing w:line="580" w:lineRule="exact"/>
        <w:ind w:firstLine="640" w:firstLineChars="200"/>
        <w:jc w:val="left"/>
        <w:textAlignment w:val="auto"/>
        <w:rPr>
          <w:rFonts w:hint="default" w:ascii="Times New Roman" w:hAnsi="Times New Roman" w:eastAsia="黑体" w:cs="Times New Roman"/>
          <w:kern w:val="0"/>
          <w:sz w:val="32"/>
          <w:szCs w:val="32"/>
          <w:highlight w:val="none"/>
          <w:lang w:bidi="ar-SA"/>
        </w:rPr>
      </w:pPr>
      <w:r>
        <w:rPr>
          <w:rFonts w:hint="default" w:ascii="Times New Roman" w:hAnsi="Times New Roman" w:eastAsia="黑体" w:cs="Times New Roman"/>
          <w:kern w:val="0"/>
          <w:sz w:val="32"/>
          <w:szCs w:val="32"/>
          <w:highlight w:val="none"/>
          <w:lang w:bidi="ar-SA"/>
        </w:rPr>
        <w:t>七、其他需要说明的问题</w:t>
      </w:r>
    </w:p>
    <w:p w14:paraId="47EE8C7E">
      <w:pPr>
        <w:keepNext w:val="0"/>
        <w:keepLines w:val="0"/>
        <w:pageBreakBefore w:val="0"/>
        <w:widowControl/>
        <w:kinsoku/>
        <w:wordWrap/>
        <w:overflowPunct/>
        <w:topLinePunct w:val="0"/>
        <w:autoSpaceDE/>
        <w:autoSpaceDN/>
        <w:bidi w:val="0"/>
        <w:adjustRightInd w:val="0"/>
        <w:snapToGrid w:val="0"/>
        <w:spacing w:line="580" w:lineRule="exact"/>
        <w:ind w:firstLine="640"/>
        <w:jc w:val="left"/>
        <w:textAlignment w:val="auto"/>
        <w:rPr>
          <w:rFonts w:hint="eastAsia" w:ascii="Times New Roman" w:hAnsi="Times New Roman" w:eastAsia="仿宋_GB2312" w:cs="Times New Roman"/>
          <w:kern w:val="0"/>
          <w:sz w:val="32"/>
          <w:szCs w:val="32"/>
          <w:highlight w:val="none"/>
          <w:lang w:val="en-US" w:eastAsia="zh-CN" w:bidi="ar-SA"/>
        </w:rPr>
      </w:pPr>
      <w:r>
        <w:rPr>
          <w:rFonts w:hint="eastAsia" w:ascii="Times New Roman" w:hAnsi="Times New Roman" w:eastAsia="仿宋_GB2312" w:cs="Times New Roman"/>
          <w:kern w:val="0"/>
          <w:sz w:val="32"/>
          <w:szCs w:val="32"/>
          <w:highlight w:val="none"/>
          <w:lang w:val="en-US" w:eastAsia="zh-CN" w:bidi="ar-SA"/>
        </w:rPr>
        <w:t>无。</w:t>
      </w:r>
    </w:p>
    <w:p w14:paraId="54793460">
      <w:pPr>
        <w:keepNext w:val="0"/>
        <w:keepLines w:val="0"/>
        <w:pageBreakBefore w:val="0"/>
        <w:widowControl w:val="0"/>
        <w:suppressLineNumbers w:val="0"/>
        <w:kinsoku/>
        <w:wordWrap/>
        <w:overflowPunct/>
        <w:topLinePunct w:val="0"/>
        <w:autoSpaceDE/>
        <w:autoSpaceDN/>
        <w:bidi w:val="0"/>
        <w:adjustRightInd w:val="0"/>
        <w:snapToGrid w:val="0"/>
        <w:spacing w:beforeAutospacing="0" w:afterAutospacing="0" w:line="580" w:lineRule="exact"/>
        <w:ind w:left="0" w:leftChars="0" w:right="0" w:rightChars="0"/>
        <w:jc w:val="both"/>
        <w:textAlignment w:val="auto"/>
        <w:outlineLvl w:val="9"/>
        <w:rPr>
          <w:rFonts w:hint="default" w:ascii="Times New Roman" w:hAnsi="Times New Roman" w:eastAsia="黑体" w:cs="Times New Roman"/>
          <w:kern w:val="0"/>
          <w:sz w:val="32"/>
          <w:szCs w:val="32"/>
          <w:lang w:val="en-US"/>
        </w:rPr>
      </w:pPr>
    </w:p>
    <w:p w14:paraId="43CC3FB8">
      <w:pPr>
        <w:adjustRightInd w:val="0"/>
        <w:snapToGrid w:val="0"/>
        <w:spacing w:line="600" w:lineRule="exact"/>
        <w:ind w:firstLine="640" w:firstLineChars="200"/>
        <w:rPr>
          <w:rFonts w:eastAsia="仿宋_GB2312"/>
          <w:sz w:val="32"/>
          <w:szCs w:val="32"/>
        </w:rPr>
      </w:pPr>
      <w:r>
        <w:rPr>
          <w:rFonts w:eastAsia="仿宋_GB2312"/>
          <w:sz w:val="32"/>
          <w:szCs w:val="32"/>
        </w:rPr>
        <w:t>附件：</w:t>
      </w:r>
      <w:r>
        <w:rPr>
          <w:rFonts w:hint="eastAsia" w:eastAsia="仿宋_GB2312"/>
          <w:sz w:val="32"/>
          <w:szCs w:val="32"/>
        </w:rPr>
        <w:t>项目支出绩效自评表</w:t>
      </w:r>
    </w:p>
    <w:p w14:paraId="40930862">
      <w:pPr>
        <w:keepNext w:val="0"/>
        <w:keepLines w:val="0"/>
        <w:pageBreakBefore w:val="0"/>
        <w:widowControl w:val="0"/>
        <w:suppressLineNumbers w:val="0"/>
        <w:kinsoku/>
        <w:wordWrap/>
        <w:overflowPunct/>
        <w:topLinePunct w:val="0"/>
        <w:autoSpaceDE/>
        <w:autoSpaceDN/>
        <w:bidi w:val="0"/>
        <w:spacing w:beforeAutospacing="0" w:afterAutospacing="0" w:line="580" w:lineRule="exact"/>
        <w:ind w:left="0" w:leftChars="0" w:right="0" w:rightChars="0"/>
        <w:jc w:val="both"/>
        <w:textAlignment w:val="auto"/>
        <w:outlineLvl w:val="9"/>
        <w:rPr>
          <w:rFonts w:hint="default" w:ascii="Times New Roman" w:hAnsi="Times New Roman" w:eastAsia="黑体" w:cs="Times New Roman"/>
          <w:kern w:val="0"/>
          <w:sz w:val="32"/>
          <w:szCs w:val="32"/>
          <w:lang w:val="en-US"/>
        </w:rPr>
      </w:pPr>
    </w:p>
    <w:p w14:paraId="2C08B729">
      <w:pPr>
        <w:keepNext w:val="0"/>
        <w:keepLines w:val="0"/>
        <w:widowControl w:val="0"/>
        <w:suppressLineNumbers w:val="0"/>
        <w:spacing w:before="0" w:beforeAutospacing="0" w:after="0" w:afterAutospacing="0"/>
        <w:ind w:left="0" w:right="0"/>
        <w:jc w:val="both"/>
        <w:rPr>
          <w:rFonts w:hint="default" w:ascii="Times New Roman" w:hAnsi="Times New Roman" w:eastAsia="黑体" w:cs="Times New Roman"/>
          <w:sz w:val="32"/>
          <w:szCs w:val="32"/>
          <w:lang w:val="en-US"/>
        </w:rPr>
      </w:pPr>
    </w:p>
    <w:p w14:paraId="0E5A709B"/>
    <w:sectPr>
      <w:pgSz w:w="11917" w:h="16838"/>
      <w:pgMar w:top="2098" w:right="1474" w:bottom="1984" w:left="1587" w:header="0" w:footer="1417" w:gutter="0"/>
      <w:pgNumType w:fmt="decimal"/>
      <w:cols w:space="72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2010609030101010101"/>
    <w:charset w:val="86"/>
    <w:family w:val="auto"/>
    <w:pitch w:val="default"/>
    <w:sig w:usb0="00000000" w:usb1="00000000" w:usb2="00000000" w:usb3="00000000" w:csb0="00040000"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6F2D550"/>
    <w:multiLevelType w:val="singleLevel"/>
    <w:tmpl w:val="26F2D550"/>
    <w:lvl w:ilvl="0" w:tentative="0">
      <w:start w:val="2"/>
      <w:numFmt w:val="chineseCounting"/>
      <w:suff w:val="nothing"/>
      <w:lvlText w:val="（%1）"/>
      <w:lvlJc w:val="left"/>
      <w:rPr>
        <w:rFonts w:hint="eastAsia"/>
      </w:rPr>
    </w:lvl>
  </w:abstractNum>
  <w:abstractNum w:abstractNumId="1">
    <w:nsid w:val="3CFDF3C8"/>
    <w:multiLevelType w:val="singleLevel"/>
    <w:tmpl w:val="3CFDF3C8"/>
    <w:lvl w:ilvl="0" w:tentative="0">
      <w:start w:val="2"/>
      <w:numFmt w:val="chineseCounting"/>
      <w:suff w:val="nothing"/>
      <w:lvlText w:val="（%1）"/>
      <w:lvlJc w:val="left"/>
      <w:rPr>
        <w:rFonts w:hint="eastAsia"/>
      </w:rPr>
    </w:lvl>
  </w:abstractNum>
  <w:abstractNum w:abstractNumId="2">
    <w:nsid w:val="6DAB33C5"/>
    <w:multiLevelType w:val="singleLevel"/>
    <w:tmpl w:val="6DAB33C5"/>
    <w:lvl w:ilvl="0" w:tentative="0">
      <w:start w:val="2"/>
      <w:numFmt w:val="chineseCounting"/>
      <w:suff w:val="nothing"/>
      <w:lvlText w:val="%1、"/>
      <w:lvlJc w:val="left"/>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2031CE"/>
    <w:rsid w:val="28CB28A4"/>
    <w:rsid w:val="35837878"/>
    <w:rsid w:val="3D5C70D1"/>
    <w:rsid w:val="40B26D59"/>
    <w:rsid w:val="61155538"/>
    <w:rsid w:val="66F05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iPriority="39"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style>
  <w:style w:type="paragraph" w:styleId="3">
    <w:name w:val="Body Text Indent"/>
    <w:basedOn w:val="1"/>
    <w:qFormat/>
    <w:uiPriority w:val="0"/>
    <w:pPr>
      <w:spacing w:after="120"/>
      <w:ind w:left="420" w:leftChars="200"/>
    </w:pPr>
  </w:style>
  <w:style w:type="paragraph" w:styleId="4">
    <w:name w:val="Body Text"/>
    <w:basedOn w:val="1"/>
    <w:next w:val="5"/>
    <w:qFormat/>
    <w:uiPriority w:val="1"/>
    <w:rPr>
      <w:rFonts w:ascii="仿宋" w:hAnsi="仿宋" w:eastAsia="仿宋" w:cs="仿宋"/>
      <w:sz w:val="28"/>
      <w:szCs w:val="28"/>
      <w:lang w:val="zh-CN" w:bidi="zh-CN"/>
    </w:rPr>
  </w:style>
  <w:style w:type="paragraph" w:styleId="5">
    <w:name w:val="toc 5"/>
    <w:basedOn w:val="1"/>
    <w:next w:val="1"/>
    <w:unhideWhenUsed/>
    <w:qFormat/>
    <w:uiPriority w:val="39"/>
    <w:pPr>
      <w:ind w:left="840"/>
      <w:jc w:val="left"/>
    </w:pPr>
    <w:rPr>
      <w:rFonts w:ascii="Calibri" w:hAnsi="Calibri" w:cs="Calibri"/>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1819</Words>
  <Characters>1904</Characters>
  <Lines>0</Lines>
  <Paragraphs>0</Paragraphs>
  <TotalTime>0</TotalTime>
  <ScaleCrop>false</ScaleCrop>
  <LinksUpToDate>false</LinksUpToDate>
  <CharactersWithSpaces>1906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2025-03-27T01:34:00Z</dcterms:created>
  <dc:creator>Administrator</dc:creator>
  <cp:lastModifiedBy>瑤々</cp:lastModifiedBy>
  <dcterms:modified xsi:type="dcterms:W3CDTF">2025-04-16T07:02:38Z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eyJoZGlkIjoiYzYzOGUyNjgwNWVmZTY3MjM1ZjQ2NzIwZWNhMzA4ODkiLCJ1c2VySWQiOiIyNDgxNjkzMDcifQ==</vt:lpwstr>
  </property>
  <property fmtid="{D5CDD505-2E9C-101B-9397-08002B2CF9AE}" pid="4" name="ICV">
    <vt:lpwstr>80970702B78D4600834DD3CA278C6F6F_13</vt:lpwstr>
  </property>
</Properties>
</file>