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7ABB5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  <w:lang w:val="en-US"/>
        </w:rPr>
      </w:pPr>
      <w:r>
        <w:rPr>
          <w:rFonts w:hint="eastAsia" w:eastAsia="方正小标宋_GBK" w:cs="Times New Roman"/>
          <w:kern w:val="2"/>
          <w:sz w:val="44"/>
          <w:szCs w:val="44"/>
          <w:lang w:val="en-US" w:eastAsia="zh-CN" w:bidi="ar"/>
        </w:rPr>
        <w:t>敬老院运行</w:t>
      </w: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</w:rPr>
        <w:t>项目支出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"/>
        </w:rPr>
        <w:t>绩效自评报告</w:t>
      </w:r>
    </w:p>
    <w:p w14:paraId="6382E819">
      <w:pPr>
        <w:adjustRightInd w:val="0"/>
        <w:spacing w:line="600" w:lineRule="exact"/>
        <w:ind w:right="641"/>
        <w:rPr>
          <w:rFonts w:eastAsia="仿宋_GB2312"/>
          <w:sz w:val="32"/>
          <w:szCs w:val="32"/>
        </w:rPr>
      </w:pPr>
    </w:p>
    <w:p w14:paraId="01C56282">
      <w:pPr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一、预算支出概况</w:t>
      </w:r>
    </w:p>
    <w:p w14:paraId="2B602046">
      <w:pPr>
        <w:keepNext w:val="0"/>
        <w:keepLines w:val="0"/>
        <w:pageBreakBefore w:val="0"/>
        <w:widowControl w:val="0"/>
        <w:tabs>
          <w:tab w:val="left" w:pos="1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（一）项目实施单位基本情况</w:t>
      </w:r>
    </w:p>
    <w:p w14:paraId="20E75B76">
      <w:pPr>
        <w:keepNext w:val="0"/>
        <w:keepLines w:val="0"/>
        <w:pageBreakBefore w:val="0"/>
        <w:widowControl w:val="0"/>
        <w:tabs>
          <w:tab w:val="left" w:pos="1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 w:bidi="ar-SA"/>
        </w:rPr>
        <w:t>湘乡市民政局是主管全市民政工作的市政府工作部门，养老服务股为市民政局内设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 w:bidi="ar-SA"/>
        </w:rPr>
        <w:t>股室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 w:bidi="ar-SA"/>
        </w:rPr>
        <w:t>，主要负责老年人福利工作，拟定老年人福利补贴制度和养老服务体系建设规划、政策、标准并协调组织实施；监督管理全市养老服务机构、特困人员救助供养机构；推进农村留守老年人关爱服务工作。</w:t>
      </w:r>
    </w:p>
    <w:p w14:paraId="231D61C4">
      <w:pPr>
        <w:numPr>
          <w:ilvl w:val="0"/>
          <w:numId w:val="1"/>
        </w:num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预算资金基本情况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包括预算资金基本性质、用途和主要内容、涉及范围等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 w14:paraId="57F353AB">
      <w:pPr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2024年敬老院运行支出为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一般公共预算拨款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主要用于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为落实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全市乡镇公办养老机构和市福利中心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运转经费及管理人员经费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 w14:paraId="2B4A098C">
      <w:pPr>
        <w:numPr>
          <w:ilvl w:val="0"/>
          <w:numId w:val="0"/>
        </w:numPr>
        <w:adjustRightInd w:val="0"/>
        <w:snapToGrid w:val="0"/>
        <w:spacing w:line="600" w:lineRule="exact"/>
        <w:ind w:left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预算资金绩效目标，包括总体目标和年度目标。</w:t>
      </w:r>
    </w:p>
    <w:p w14:paraId="3764ACA2">
      <w:pPr>
        <w:numPr>
          <w:ilvl w:val="0"/>
          <w:numId w:val="0"/>
        </w:num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总体目标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通过对敬老院运行经费的投入，改善全市乡镇（街道）敬老院的各项管理工作，全面提升养老服务质量，推动敬老院的持续健康发展。</w:t>
      </w:r>
    </w:p>
    <w:p w14:paraId="0A5C0051">
      <w:pPr>
        <w:pStyle w:val="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年度目标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：按时拨付敬老院运行经费，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保证各敬老院运行基本稳定，管理日趋完善，人员配置到位，工作职责明确。提高敬老院的服务质量，特困人员的生活和护理得到保障，推动敬老院的持续健康发展。</w:t>
      </w:r>
    </w:p>
    <w:p w14:paraId="4E8C3080">
      <w:pPr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二、预算资金使用及管理情况</w:t>
      </w:r>
    </w:p>
    <w:p w14:paraId="32CC9E58">
      <w:p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（一）预算资金及自筹资金的安排落实、总投入等情况。</w:t>
      </w:r>
    </w:p>
    <w:p w14:paraId="6804DA5C">
      <w:p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按照</w:t>
      </w:r>
      <w:r>
        <w:rPr>
          <w:rFonts w:hint="eastAsia" w:ascii="仿宋" w:hAnsi="仿宋" w:eastAsia="仿宋" w:cs="仿宋"/>
          <w:sz w:val="32"/>
          <w:szCs w:val="32"/>
          <w:lang w:bidi="ar"/>
        </w:rPr>
        <w:t>湖南省民政厅湖南省发展和改革委员会、湖南省财政厅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《</w:t>
      </w:r>
      <w:r>
        <w:rPr>
          <w:rFonts w:hint="eastAsia" w:ascii="仿宋" w:hAnsi="仿宋" w:eastAsia="仿宋" w:cs="仿宋"/>
          <w:sz w:val="32"/>
          <w:szCs w:val="32"/>
          <w:lang w:bidi="ar"/>
        </w:rPr>
        <w:t>关于印发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〈</w:t>
      </w:r>
      <w:r>
        <w:rPr>
          <w:rFonts w:hint="eastAsia" w:ascii="仿宋" w:hAnsi="仿宋" w:eastAsia="仿宋" w:cs="仿宋"/>
          <w:sz w:val="32"/>
          <w:szCs w:val="32"/>
          <w:lang w:bidi="ar"/>
        </w:rPr>
        <w:t>2023年度养老服务真抓实干督查激励实施方案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〉</w:t>
      </w:r>
      <w:r>
        <w:rPr>
          <w:rFonts w:hint="eastAsia" w:ascii="仿宋" w:hAnsi="仿宋" w:eastAsia="仿宋" w:cs="仿宋"/>
          <w:sz w:val="32"/>
          <w:szCs w:val="32"/>
          <w:lang w:bidi="ar"/>
        </w:rPr>
        <w:t>的通知》（湘民发〔2023〕36 号）</w:t>
      </w: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精神，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足额保障特困人员集中供养服务对象及机构运转经费，其中特困人员护理费人均不低于800元/月，敬老院运转经费人均不低于3000元/年，确保机构健康持续运行，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本市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财政安排敬老院运转经费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240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万元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 w14:paraId="4865072B">
      <w:pPr>
        <w:numPr>
          <w:ilvl w:val="0"/>
          <w:numId w:val="2"/>
        </w:numPr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预算资金实际使用情况</w:t>
      </w:r>
    </w:p>
    <w:p w14:paraId="71106C0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2024年我市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敬老院运行经费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支出238.4万元。</w:t>
      </w:r>
    </w:p>
    <w:p w14:paraId="7E1C3AAD">
      <w:pPr>
        <w:keepNext w:val="0"/>
        <w:keepLines w:val="0"/>
        <w:pageBreakBefore w:val="0"/>
        <w:widowControl w:val="0"/>
        <w:tabs>
          <w:tab w:val="left" w:pos="1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（三）预算资金管理情况分析，主要包括管理制度、办法的制订及执行情况</w:t>
      </w:r>
    </w:p>
    <w:p w14:paraId="4883D69A">
      <w:pPr>
        <w:keepNext w:val="0"/>
        <w:keepLines w:val="0"/>
        <w:pageBreakBefore w:val="0"/>
        <w:widowControl w:val="0"/>
        <w:tabs>
          <w:tab w:val="left" w:pos="1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所有项目资金的使用和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管理，我局严格按照《湖南省民政事务专项资金管理办法》（湘财社〔2021〕11号）、《湘乡市民政局财务管理制度》（湘乡民发〔2023〕19号）文件执行和实施，遵循“谁批准，谁负责、谁办理，谁把关”的原则，进行责任制管理，切实做到专款专用，专科目核算。未出现截留、挤占、挪用或擅自调整等问题。</w:t>
      </w:r>
    </w:p>
    <w:p w14:paraId="57D06914">
      <w:pPr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三、预算支出组织实施情况</w:t>
      </w:r>
    </w:p>
    <w:p w14:paraId="3154E27E">
      <w:p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按月拨付各乡镇公办敬老院及市福利中心运转经费，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制定了《敬老院财务管理制度》，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无挤占挪用或套取资金等现象。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局规财股负责资金使用过程的整体监控和绩效评价，局机关纪委负责资金使用管理过程中的监督执纪问责，严格监督资金发放管理，严禁截留、挪用资金，确保资金专款专用。</w:t>
      </w:r>
    </w:p>
    <w:p w14:paraId="08DE6A36">
      <w:pPr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四、预算支出绩效情况</w:t>
      </w:r>
    </w:p>
    <w:p w14:paraId="5DE1586E">
      <w:p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（一）预算支出决策情况。</w:t>
      </w:r>
    </w:p>
    <w:p w14:paraId="02384033"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b w:val="0"/>
          <w:bCs/>
          <w:kern w:val="0"/>
          <w:sz w:val="32"/>
          <w:szCs w:val="32"/>
          <w:highlight w:val="none"/>
          <w:lang w:eastAsia="zh-CN" w:bidi="ar-SA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highlight w:val="none"/>
          <w:lang w:eastAsia="zh-CN" w:bidi="ar-SA"/>
        </w:rPr>
        <w:t>本项目每年年初根据资金支持范围设立绩效目标，绩效目标设置合规，因素选择全面合理，预算确定的投资额与资金需求量相匹配。</w:t>
      </w:r>
    </w:p>
    <w:p w14:paraId="1646E857">
      <w:pPr>
        <w:numPr>
          <w:ilvl w:val="0"/>
          <w:numId w:val="0"/>
        </w:numPr>
        <w:adjustRightInd w:val="0"/>
        <w:snapToGrid w:val="0"/>
        <w:spacing w:line="600" w:lineRule="exact"/>
        <w:ind w:left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预算支出过程情况。</w:t>
      </w:r>
    </w:p>
    <w:p w14:paraId="01B500AF">
      <w:pPr>
        <w:widowControl/>
        <w:numPr>
          <w:ilvl w:val="0"/>
          <w:numId w:val="0"/>
        </w:num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 w:bidi="ar-SA"/>
        </w:rPr>
        <w:t>资金使用符合国家财经法规和财务管理制度，严格按照</w:t>
      </w:r>
      <w:r>
        <w:rPr>
          <w:rFonts w:hint="eastAsia" w:ascii="仿宋" w:hAnsi="仿宋" w:eastAsia="仿宋" w:cs="仿宋"/>
          <w:sz w:val="32"/>
          <w:szCs w:val="32"/>
        </w:rPr>
        <w:t>《湖南省民政专项资金使用管理办法》、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《湘乡市民政局救助补助资金及民政项目资金监督管理实施办法》执行和实施，按照“专款专用、单独核算”的原则进行财务核算，其余</w:t>
      </w:r>
      <w:r>
        <w:rPr>
          <w:rFonts w:hint="eastAsia" w:ascii="仿宋" w:hAnsi="仿宋" w:eastAsia="仿宋" w:cs="仿宋"/>
          <w:sz w:val="32"/>
          <w:szCs w:val="32"/>
        </w:rPr>
        <w:t>严格按《湘乡市政府采购办法》的相关规定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执行。</w:t>
      </w:r>
    </w:p>
    <w:p w14:paraId="3D5F4491">
      <w:pPr>
        <w:numPr>
          <w:ilvl w:val="0"/>
          <w:numId w:val="0"/>
        </w:numPr>
        <w:adjustRightInd w:val="0"/>
        <w:snapToGrid w:val="0"/>
        <w:spacing w:line="600" w:lineRule="exact"/>
        <w:ind w:left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预算支出产出情况。</w:t>
      </w:r>
    </w:p>
    <w:p w14:paraId="56D7647F">
      <w:pPr>
        <w:pStyle w:val="4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数量指标：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全市公办养老机构数量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13个，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全年公办养老机构收住老人人次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6043人。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 xml:space="preserve"> </w:t>
      </w:r>
    </w:p>
    <w:p w14:paraId="6EF1AEF5">
      <w:pPr>
        <w:widowControl/>
        <w:numPr>
          <w:ilvl w:val="0"/>
          <w:numId w:val="0"/>
        </w:num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质量指标：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收住老人信息及时更新率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98%，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有入住意愿的特困人员入住率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安全事故发生率为零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46D90CC2">
      <w:pPr>
        <w:pStyle w:val="4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时效指标：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资金发放时间按月发放。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 xml:space="preserve"> </w:t>
      </w:r>
    </w:p>
    <w:p w14:paraId="475FA6B6">
      <w:pPr>
        <w:pStyle w:val="4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成本指标：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敬老院</w:t>
      </w:r>
      <w:r>
        <w:rPr>
          <w:rFonts w:hint="eastAsia" w:ascii="仿宋" w:hAnsi="仿宋" w:eastAsia="仿宋" w:cs="仿宋"/>
          <w:sz w:val="32"/>
          <w:szCs w:val="32"/>
        </w:rPr>
        <w:t>运行经费</w:t>
      </w:r>
      <w:r>
        <w:rPr>
          <w:rFonts w:hint="eastAsia" w:cs="仿宋"/>
          <w:sz w:val="32"/>
          <w:szCs w:val="32"/>
          <w:lang w:val="en-US" w:eastAsia="zh-CN"/>
        </w:rPr>
        <w:t>240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万。</w:t>
      </w:r>
    </w:p>
    <w:p w14:paraId="215DD71C">
      <w:pPr>
        <w:numPr>
          <w:ilvl w:val="0"/>
          <w:numId w:val="0"/>
        </w:num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</w:rPr>
        <w:t>预算支出效益情况。</w:t>
      </w:r>
    </w:p>
    <w:p w14:paraId="5FF40410">
      <w:pPr>
        <w:pStyle w:val="4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经济效益指标：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保障敬老院正常运转，入住老人生活质量适当提高。</w:t>
      </w:r>
    </w:p>
    <w:p w14:paraId="18E411A1">
      <w:pPr>
        <w:pStyle w:val="4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社会效益指标：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老人得到更周到的照顾，提高老人的幸福感和获得感。</w:t>
      </w:r>
    </w:p>
    <w:p w14:paraId="4F37FAE8">
      <w:pPr>
        <w:pStyle w:val="4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可持续影响指标：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特困人员救助保障进一步完善。</w:t>
      </w:r>
    </w:p>
    <w:p w14:paraId="09C23F38">
      <w:pPr>
        <w:numPr>
          <w:ilvl w:val="0"/>
          <w:numId w:val="3"/>
        </w:numPr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主要经验做法、存在的问题及原因分析</w:t>
      </w:r>
    </w:p>
    <w:p w14:paraId="2B44B316">
      <w:p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项目资金支出实行集中统一，分级管理的运行机制，各项工作责任到人、逐级审批、层层分管、形成部门联动的管理机制，资金按时足额发放，无投诉记录。虽然项目资金发放平稳，但仍有不足，部分敬老院存在设施陈旧情况，影响服务体验，原因为历史投入不足，维修资金缺口较大。</w:t>
      </w:r>
    </w:p>
    <w:p w14:paraId="676CBBEF">
      <w:pPr>
        <w:numPr>
          <w:ilvl w:val="0"/>
          <w:numId w:val="3"/>
        </w:numPr>
        <w:adjustRightInd w:val="0"/>
        <w:snapToGrid w:val="0"/>
        <w:spacing w:line="600" w:lineRule="exact"/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有关建议</w:t>
      </w:r>
    </w:p>
    <w:p w14:paraId="049C746C">
      <w:pPr>
        <w:numPr>
          <w:ilvl w:val="0"/>
          <w:numId w:val="0"/>
        </w:numPr>
        <w:adjustRightInd w:val="0"/>
        <w:snapToGrid w:val="0"/>
        <w:spacing w:line="600" w:lineRule="exact"/>
        <w:ind w:firstLine="640" w:firstLineChars="200"/>
        <w:rPr>
          <w:rFonts w:hint="eastAsia" w:eastAsia="仿宋_GB2312" w:cs="Times New Roman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建议加大对敬老院财政投入，设立敬老院设施维护专项资金，用于提高养老设施质量。</w:t>
      </w:r>
    </w:p>
    <w:p w14:paraId="550BD9E1">
      <w:pPr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七、其他需要说明的问题</w:t>
      </w:r>
    </w:p>
    <w:p w14:paraId="4493182A">
      <w:pPr>
        <w:numPr>
          <w:ilvl w:val="0"/>
          <w:numId w:val="0"/>
        </w:numPr>
        <w:adjustRightInd w:val="0"/>
        <w:snapToGrid w:val="0"/>
        <w:spacing w:line="600" w:lineRule="exact"/>
        <w:ind w:firstLine="640" w:firstLineChars="200"/>
        <w:rPr>
          <w:rFonts w:hint="eastAsia" w:eastAsia="仿宋_GB2312" w:cs="Times New Roman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 w:bidi="ar-SA"/>
        </w:rPr>
        <w:t>依托全国养老服务创新试点项目，2025年拟试点智慧养老服务平台，进一步提升公办养老机构管理运行效率。</w:t>
      </w:r>
    </w:p>
    <w:p w14:paraId="77B9A8DC"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p w14:paraId="43CC3FB8"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附件：</w:t>
      </w:r>
      <w:r>
        <w:rPr>
          <w:rFonts w:hint="eastAsia" w:eastAsia="仿宋_GB2312"/>
          <w:sz w:val="32"/>
          <w:szCs w:val="32"/>
        </w:rPr>
        <w:t>项目支出绩效自评表</w:t>
      </w:r>
    </w:p>
    <w:p w14:paraId="7CA7ED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4FAFCD"/>
    <w:multiLevelType w:val="singleLevel"/>
    <w:tmpl w:val="0D4FAFC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D80BE34"/>
    <w:multiLevelType w:val="singleLevel"/>
    <w:tmpl w:val="4D80BE3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85313C"/>
    <w:multiLevelType w:val="singleLevel"/>
    <w:tmpl w:val="7F85313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85B2F"/>
    <w:rsid w:val="21437E63"/>
    <w:rsid w:val="2B5B0DAD"/>
    <w:rsid w:val="2C9A1171"/>
    <w:rsid w:val="2D50051D"/>
    <w:rsid w:val="37A56F50"/>
    <w:rsid w:val="62A22CB1"/>
    <w:rsid w:val="6A4872ED"/>
    <w:rsid w:val="74771ABB"/>
    <w:rsid w:val="794D63E2"/>
    <w:rsid w:val="7952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5"/>
    <w:qFormat/>
    <w:uiPriority w:val="1"/>
    <w:rPr>
      <w:rFonts w:ascii="仿宋" w:hAnsi="仿宋" w:eastAsia="仿宋" w:cs="仿宋"/>
      <w:sz w:val="28"/>
      <w:szCs w:val="28"/>
      <w:lang w:val="zh-CN" w:bidi="zh-CN"/>
    </w:rPr>
  </w:style>
  <w:style w:type="paragraph" w:styleId="5">
    <w:name w:val="toc 5"/>
    <w:basedOn w:val="1"/>
    <w:next w:val="1"/>
    <w:unhideWhenUsed/>
    <w:qFormat/>
    <w:uiPriority w:val="39"/>
    <w:pPr>
      <w:ind w:left="840"/>
      <w:jc w:val="left"/>
    </w:pPr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1658</Words>
  <Characters>1708</Characters>
  <Lines>0</Lines>
  <Paragraphs>0</Paragraphs>
  <TotalTime>0</TotalTime>
  <ScaleCrop>false</ScaleCrop>
  <LinksUpToDate>false</LinksUpToDate>
  <CharactersWithSpaces>1711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2025-03-25T08:59:00Z</dcterms:created>
  <dc:creator>Yoshi</dc:creator>
  <cp:lastModifiedBy>瑤々</cp:lastModifiedBy>
  <dcterms:modified xsi:type="dcterms:W3CDTF">2025-04-18T01:35:07Z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eyJoZGlkIjoiYzYzOGUyNjgwNWVmZTY3MjM1ZjQ2NzIwZWNhMzA4ODkiLCJ1c2VySWQiOiIyNDgxNjkzMDcifQ==</vt:lpwstr>
  </property>
  <property fmtid="{D5CDD505-2E9C-101B-9397-08002B2CF9AE}" pid="4" name="ICV">
    <vt:lpwstr>955F2C3D7C644C73A73DA28AC85719F2_13</vt:lpwstr>
  </property>
</Properties>
</file>