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0" w:line="600" w:lineRule="exact"/>
        <w:jc w:val="center"/>
        <w:rPr>
          <w:rFonts w:hint="eastAsia" w:ascii="黑体" w:hAnsi="黑体" w:eastAsia="黑体" w:cs="黑体"/>
          <w:sz w:val="52"/>
          <w:szCs w:val="52"/>
        </w:rPr>
      </w:pPr>
      <w:bookmarkStart w:id="0" w:name="_GoBack"/>
      <w:r>
        <w:rPr>
          <w:rFonts w:hint="eastAsia" w:ascii="黑体" w:hAnsi="黑体" w:eastAsia="黑体" w:cs="黑体"/>
          <w:sz w:val="52"/>
          <w:szCs w:val="52"/>
        </w:rPr>
        <w:t>湘乡市</w:t>
      </w:r>
      <w:r>
        <w:rPr>
          <w:rFonts w:hint="eastAsia" w:ascii="黑体" w:hAnsi="黑体" w:eastAsia="黑体" w:cs="黑体"/>
          <w:sz w:val="52"/>
          <w:szCs w:val="52"/>
          <w:lang w:eastAsia="zh-CN"/>
        </w:rPr>
        <w:t>2026年</w:t>
      </w:r>
      <w:r>
        <w:rPr>
          <w:rFonts w:hint="eastAsia" w:ascii="黑体" w:hAnsi="黑体" w:eastAsia="黑体" w:cs="黑体"/>
          <w:sz w:val="52"/>
          <w:szCs w:val="52"/>
        </w:rPr>
        <w:t>社会保险基金预算</w:t>
      </w:r>
    </w:p>
    <w:p>
      <w:pPr>
        <w:adjustRightInd w:val="0"/>
        <w:snapToGrid w:val="0"/>
        <w:spacing w:after="0" w:line="600" w:lineRule="exact"/>
        <w:jc w:val="center"/>
        <w:rPr>
          <w:rFonts w:hint="eastAsia" w:ascii="黑体" w:hAnsi="黑体" w:eastAsia="黑体" w:cs="黑体"/>
          <w:sz w:val="52"/>
          <w:szCs w:val="52"/>
        </w:rPr>
      </w:pPr>
      <w:r>
        <w:rPr>
          <w:rFonts w:hint="eastAsia" w:ascii="黑体" w:hAnsi="黑体" w:eastAsia="黑体" w:cs="黑体"/>
          <w:sz w:val="52"/>
          <w:szCs w:val="52"/>
        </w:rPr>
        <w:t>编制说明</w:t>
      </w:r>
    </w:p>
    <w:bookmarkEnd w:id="0"/>
    <w:p>
      <w:pPr>
        <w:adjustRightInd w:val="0"/>
        <w:snapToGrid w:val="0"/>
        <w:spacing w:after="0" w:line="600" w:lineRule="exact"/>
        <w:ind w:firstLine="641"/>
        <w:rPr>
          <w:rFonts w:ascii="黑体" w:hAnsi="黑体" w:eastAsia="黑体" w:cs="黑体"/>
        </w:rPr>
      </w:pPr>
    </w:p>
    <w:p>
      <w:pPr>
        <w:adjustRightInd w:val="0"/>
        <w:snapToGrid w:val="0"/>
        <w:spacing w:after="0" w:line="600" w:lineRule="exact"/>
        <w:ind w:firstLine="641"/>
        <w:rPr>
          <w:rFonts w:ascii="黑体" w:hAnsi="黑体" w:eastAsia="黑体" w:cs="黑体"/>
        </w:rPr>
      </w:pPr>
      <w:r>
        <w:rPr>
          <w:rFonts w:hint="eastAsia" w:ascii="黑体" w:hAnsi="黑体" w:eastAsia="黑体" w:cs="黑体"/>
        </w:rPr>
        <w:t>一、城乡居民基本养老保险</w:t>
      </w:r>
    </w:p>
    <w:p>
      <w:pPr>
        <w:adjustRightInd w:val="0"/>
        <w:snapToGrid w:val="0"/>
        <w:spacing w:after="0" w:line="600" w:lineRule="exact"/>
        <w:ind w:firstLine="641"/>
        <w:rPr>
          <w:spacing w:val="-2"/>
          <w:lang w:val="en"/>
        </w:rPr>
      </w:pPr>
      <w:r>
        <w:rPr>
          <w:rFonts w:hint="eastAsia" w:ascii="仿宋_GB2312" w:hAnsi="仿宋_GB2312" w:cs="仿宋_GB2312"/>
        </w:rPr>
        <w:t>（一）预算收支情况</w:t>
      </w:r>
    </w:p>
    <w:p>
      <w:pPr>
        <w:adjustRightInd w:val="0"/>
        <w:snapToGrid w:val="0"/>
        <w:spacing w:after="0" w:line="600" w:lineRule="exact"/>
        <w:ind w:firstLine="641"/>
        <w:rPr>
          <w:spacing w:val="-2"/>
        </w:rPr>
      </w:pPr>
      <w:r>
        <w:rPr>
          <w:rFonts w:hint="eastAsia"/>
          <w:spacing w:val="-2"/>
          <w:lang w:val="en" w:eastAsia="zh-CN"/>
        </w:rPr>
        <w:t>2026年</w:t>
      </w:r>
      <w:r>
        <w:rPr>
          <w:rFonts w:hint="eastAsia"/>
          <w:spacing w:val="-2"/>
          <w:lang w:val="en"/>
        </w:rPr>
        <w:t>湘乡市城乡居民基本养老保险缴费收入预算数</w:t>
      </w:r>
      <w:r>
        <w:rPr>
          <w:rFonts w:hint="eastAsia"/>
          <w:spacing w:val="-2"/>
          <w:lang w:val="en-US" w:eastAsia="zh-CN"/>
        </w:rPr>
        <w:t>44,210</w:t>
      </w:r>
      <w:r>
        <w:rPr>
          <w:rFonts w:hint="eastAsia"/>
          <w:spacing w:val="-2"/>
        </w:rPr>
        <w:t>万元,与</w:t>
      </w:r>
      <w:r>
        <w:rPr>
          <w:rFonts w:hint="eastAsia"/>
          <w:spacing w:val="-2"/>
          <w:lang w:eastAsia="zh-CN"/>
        </w:rPr>
        <w:t>2025年</w:t>
      </w:r>
      <w:r>
        <w:rPr>
          <w:rFonts w:hint="eastAsia"/>
          <w:spacing w:val="-2"/>
        </w:rPr>
        <w:t>预算数比较增长率</w:t>
      </w:r>
      <w:r>
        <w:rPr>
          <w:rFonts w:hint="eastAsia"/>
          <w:spacing w:val="-2"/>
          <w:lang w:val="en-US" w:eastAsia="zh-CN"/>
        </w:rPr>
        <w:t>136.40%</w:t>
      </w:r>
      <w:r>
        <w:rPr>
          <w:rFonts w:hint="eastAsia"/>
          <w:spacing w:val="-2"/>
        </w:rPr>
        <w:t>；财政补贴收入</w:t>
      </w:r>
      <w:r>
        <w:rPr>
          <w:rFonts w:hint="eastAsia"/>
          <w:color w:val="auto"/>
          <w:spacing w:val="-2"/>
        </w:rPr>
        <w:t>37878</w:t>
      </w:r>
      <w:r>
        <w:rPr>
          <w:rFonts w:hint="eastAsia"/>
          <w:spacing w:val="-2"/>
        </w:rPr>
        <w:t>万元，增长率</w:t>
      </w:r>
      <w:r>
        <w:rPr>
          <w:rFonts w:hint="eastAsia"/>
          <w:color w:val="auto"/>
          <w:spacing w:val="-2"/>
        </w:rPr>
        <w:t>7.95%</w:t>
      </w:r>
      <w:r>
        <w:rPr>
          <w:rFonts w:hint="eastAsia"/>
          <w:spacing w:val="-2"/>
        </w:rPr>
        <w:t>；集体补助收入</w:t>
      </w:r>
      <w:r>
        <w:rPr>
          <w:rFonts w:hint="eastAsia"/>
          <w:color w:val="auto"/>
          <w:spacing w:val="-2"/>
        </w:rPr>
        <w:t>23</w:t>
      </w:r>
      <w:r>
        <w:rPr>
          <w:rFonts w:hint="eastAsia"/>
          <w:spacing w:val="-2"/>
        </w:rPr>
        <w:t>万元，因</w:t>
      </w:r>
      <w:r>
        <w:rPr>
          <w:rFonts w:hint="eastAsia"/>
          <w:spacing w:val="-2"/>
          <w:lang w:val="en-US" w:eastAsia="zh-CN"/>
        </w:rPr>
        <w:t>2025年</w:t>
      </w:r>
      <w:r>
        <w:rPr>
          <w:rFonts w:hint="eastAsia"/>
          <w:spacing w:val="-2"/>
        </w:rPr>
        <w:t>前无集体补助收益，故</w:t>
      </w:r>
      <w:r>
        <w:rPr>
          <w:rFonts w:hint="eastAsia"/>
          <w:spacing w:val="-2"/>
          <w:lang w:val="en-US" w:eastAsia="zh-CN"/>
        </w:rPr>
        <w:t>2025年</w:t>
      </w:r>
      <w:r>
        <w:rPr>
          <w:rFonts w:hint="eastAsia"/>
          <w:spacing w:val="-2"/>
        </w:rPr>
        <w:t>未做预算；利息收入</w:t>
      </w:r>
      <w:r>
        <w:rPr>
          <w:rFonts w:hint="eastAsia"/>
          <w:color w:val="auto"/>
          <w:spacing w:val="-2"/>
        </w:rPr>
        <w:t>60万</w:t>
      </w:r>
      <w:r>
        <w:rPr>
          <w:rFonts w:hint="eastAsia"/>
          <w:spacing w:val="-2"/>
        </w:rPr>
        <w:t>元，增长率</w:t>
      </w:r>
      <w:r>
        <w:rPr>
          <w:rFonts w:hint="eastAsia"/>
          <w:color w:val="auto"/>
          <w:spacing w:val="-2"/>
        </w:rPr>
        <w:t>500%；</w:t>
      </w:r>
      <w:r>
        <w:rPr>
          <w:rFonts w:hint="eastAsia"/>
          <w:spacing w:val="-2"/>
        </w:rPr>
        <w:t>转移收入</w:t>
      </w:r>
      <w:r>
        <w:rPr>
          <w:rFonts w:hint="eastAsia"/>
          <w:color w:val="auto"/>
          <w:spacing w:val="-2"/>
        </w:rPr>
        <w:t>2</w:t>
      </w:r>
      <w:r>
        <w:rPr>
          <w:rFonts w:hint="eastAsia"/>
          <w:spacing w:val="-2"/>
        </w:rPr>
        <w:t>万元，增长率</w:t>
      </w:r>
      <w:r>
        <w:rPr>
          <w:rFonts w:hint="eastAsia"/>
          <w:color w:val="auto"/>
          <w:spacing w:val="-2"/>
        </w:rPr>
        <w:t>-97.78%</w:t>
      </w:r>
      <w:r>
        <w:rPr>
          <w:rFonts w:hint="eastAsia"/>
          <w:spacing w:val="-2"/>
        </w:rPr>
        <w:t>；其他收入</w:t>
      </w:r>
      <w:r>
        <w:rPr>
          <w:rFonts w:hint="eastAsia"/>
          <w:color w:val="auto"/>
          <w:spacing w:val="-2"/>
        </w:rPr>
        <w:t>6</w:t>
      </w:r>
      <w:r>
        <w:rPr>
          <w:rFonts w:hint="eastAsia"/>
          <w:spacing w:val="-2"/>
        </w:rPr>
        <w:t>万元，两年预算数不变，全部属于追回的多发养老金待遇。综上所述，</w:t>
      </w:r>
      <w:r>
        <w:rPr>
          <w:rFonts w:hint="eastAsia"/>
          <w:spacing w:val="-2"/>
          <w:lang w:val="en-US" w:eastAsia="zh-CN"/>
        </w:rPr>
        <w:t>2026年</w:t>
      </w:r>
      <w:r>
        <w:rPr>
          <w:rFonts w:hint="eastAsia"/>
          <w:spacing w:val="-2"/>
        </w:rPr>
        <w:t>基金收入预算数为</w:t>
      </w:r>
      <w:r>
        <w:rPr>
          <w:rFonts w:hint="eastAsia"/>
          <w:spacing w:val="-2"/>
          <w:lang w:val="en-US" w:eastAsia="zh-CN"/>
        </w:rPr>
        <w:t>82,179</w:t>
      </w:r>
      <w:r>
        <w:rPr>
          <w:rFonts w:hint="eastAsia"/>
          <w:spacing w:val="-2"/>
        </w:rPr>
        <w:t>万元，增长率</w:t>
      </w:r>
      <w:r>
        <w:rPr>
          <w:rFonts w:hint="eastAsia"/>
          <w:spacing w:val="-2"/>
          <w:lang w:val="en-US" w:eastAsia="zh-CN"/>
        </w:rPr>
        <w:t>52.47%</w:t>
      </w:r>
      <w:r>
        <w:rPr>
          <w:rFonts w:hint="eastAsia"/>
          <w:spacing w:val="-2"/>
        </w:rPr>
        <w:t>。</w:t>
      </w:r>
    </w:p>
    <w:p>
      <w:pPr>
        <w:adjustRightInd w:val="0"/>
        <w:snapToGrid w:val="0"/>
        <w:spacing w:after="0" w:line="600" w:lineRule="exact"/>
        <w:ind w:firstLine="641"/>
        <w:rPr>
          <w:spacing w:val="-2"/>
        </w:rPr>
      </w:pPr>
      <w:r>
        <w:rPr>
          <w:rFonts w:hint="eastAsia"/>
          <w:spacing w:val="-2"/>
          <w:lang w:eastAsia="zh-CN"/>
        </w:rPr>
        <w:t>2026年</w:t>
      </w:r>
      <w:r>
        <w:rPr>
          <w:rFonts w:hint="eastAsia"/>
          <w:spacing w:val="-2"/>
          <w:lang w:val="en"/>
        </w:rPr>
        <w:t>湘乡市城乡居民基本养老保险基础养老金支出预算数</w:t>
      </w:r>
      <w:r>
        <w:rPr>
          <w:rFonts w:hint="eastAsia"/>
          <w:color w:val="auto"/>
          <w:spacing w:val="-2"/>
        </w:rPr>
        <w:t>37</w:t>
      </w:r>
      <w:r>
        <w:rPr>
          <w:rFonts w:hint="eastAsia"/>
          <w:color w:val="auto"/>
          <w:spacing w:val="-2"/>
          <w:lang w:val="en-US" w:eastAsia="zh-CN"/>
        </w:rPr>
        <w:t>,</w:t>
      </w:r>
      <w:r>
        <w:rPr>
          <w:rFonts w:hint="eastAsia"/>
          <w:color w:val="auto"/>
          <w:spacing w:val="-2"/>
        </w:rPr>
        <w:t>131</w:t>
      </w:r>
      <w:r>
        <w:rPr>
          <w:rFonts w:hint="eastAsia"/>
          <w:spacing w:val="-2"/>
        </w:rPr>
        <w:t>万元，增长率</w:t>
      </w:r>
      <w:r>
        <w:rPr>
          <w:rFonts w:hint="eastAsia"/>
          <w:color w:val="auto"/>
          <w:spacing w:val="-2"/>
        </w:rPr>
        <w:t>15.52%</w:t>
      </w:r>
      <w:r>
        <w:rPr>
          <w:rFonts w:hint="eastAsia"/>
          <w:spacing w:val="-2"/>
        </w:rPr>
        <w:t>；个人账户养老金支出预算数</w:t>
      </w:r>
      <w:r>
        <w:rPr>
          <w:rFonts w:hint="eastAsia"/>
          <w:color w:val="auto"/>
          <w:spacing w:val="-2"/>
        </w:rPr>
        <w:t>6995</w:t>
      </w:r>
      <w:r>
        <w:rPr>
          <w:rFonts w:hint="eastAsia"/>
          <w:spacing w:val="-2"/>
        </w:rPr>
        <w:t>万元，增长率</w:t>
      </w:r>
      <w:r>
        <w:rPr>
          <w:rFonts w:hint="eastAsia"/>
          <w:spacing w:val="-2"/>
          <w:lang w:val="en-US" w:eastAsia="zh-CN"/>
        </w:rPr>
        <w:t>41.39%</w:t>
      </w:r>
      <w:r>
        <w:rPr>
          <w:rFonts w:hint="eastAsia"/>
          <w:spacing w:val="-2"/>
        </w:rPr>
        <w:t>；转移支出预算数</w:t>
      </w:r>
      <w:r>
        <w:rPr>
          <w:rFonts w:hint="eastAsia"/>
          <w:color w:val="auto"/>
          <w:spacing w:val="-2"/>
        </w:rPr>
        <w:t>26</w:t>
      </w:r>
      <w:r>
        <w:rPr>
          <w:rFonts w:hint="eastAsia"/>
          <w:spacing w:val="-2"/>
        </w:rPr>
        <w:t>万元，增长率</w:t>
      </w:r>
      <w:r>
        <w:rPr>
          <w:rFonts w:hint="eastAsia"/>
          <w:color w:val="auto"/>
          <w:spacing w:val="-2"/>
        </w:rPr>
        <w:t>-49%</w:t>
      </w:r>
      <w:r>
        <w:rPr>
          <w:rFonts w:hint="eastAsia"/>
          <w:spacing w:val="-2"/>
        </w:rPr>
        <w:t>；其他支出预算数</w:t>
      </w:r>
      <w:r>
        <w:rPr>
          <w:rFonts w:hint="eastAsia"/>
          <w:color w:val="auto"/>
          <w:spacing w:val="-2"/>
        </w:rPr>
        <w:t>120</w:t>
      </w:r>
      <w:r>
        <w:rPr>
          <w:rFonts w:hint="eastAsia"/>
          <w:spacing w:val="-2"/>
        </w:rPr>
        <w:t>万元，全部属于社会保险费退费，增长率</w:t>
      </w:r>
      <w:r>
        <w:rPr>
          <w:rFonts w:hint="eastAsia"/>
          <w:color w:val="auto"/>
          <w:spacing w:val="-2"/>
        </w:rPr>
        <w:t>140%</w:t>
      </w:r>
      <w:r>
        <w:rPr>
          <w:rFonts w:hint="eastAsia"/>
          <w:spacing w:val="-2"/>
        </w:rPr>
        <w:t>。综上所述，</w:t>
      </w:r>
      <w:r>
        <w:rPr>
          <w:rFonts w:hint="eastAsia"/>
          <w:spacing w:val="-2"/>
          <w:lang w:val="en-US" w:eastAsia="zh-CN"/>
        </w:rPr>
        <w:t>2026年</w:t>
      </w:r>
      <w:r>
        <w:rPr>
          <w:rFonts w:hint="eastAsia"/>
          <w:spacing w:val="-2"/>
        </w:rPr>
        <w:t>基金支出预算数为</w:t>
      </w:r>
      <w:r>
        <w:rPr>
          <w:rFonts w:hint="eastAsia"/>
          <w:color w:val="auto"/>
          <w:spacing w:val="-2"/>
        </w:rPr>
        <w:t>44</w:t>
      </w:r>
      <w:r>
        <w:rPr>
          <w:rFonts w:hint="eastAsia"/>
          <w:color w:val="auto"/>
          <w:spacing w:val="-2"/>
          <w:lang w:val="en-US" w:eastAsia="zh-CN"/>
        </w:rPr>
        <w:t>,</w:t>
      </w:r>
      <w:r>
        <w:rPr>
          <w:rFonts w:hint="eastAsia"/>
          <w:color w:val="auto"/>
          <w:spacing w:val="-2"/>
        </w:rPr>
        <w:t>272</w:t>
      </w:r>
      <w:r>
        <w:rPr>
          <w:rFonts w:hint="eastAsia"/>
          <w:spacing w:val="-2"/>
        </w:rPr>
        <w:t>万元，</w:t>
      </w:r>
      <w:r>
        <w:rPr>
          <w:rFonts w:hint="eastAsia"/>
          <w:color w:val="auto"/>
          <w:spacing w:val="-2"/>
        </w:rPr>
        <w:t>增长率19.04%</w:t>
      </w:r>
      <w:r>
        <w:rPr>
          <w:rFonts w:hint="eastAsia"/>
          <w:spacing w:val="-2"/>
        </w:rPr>
        <w:t>。</w:t>
      </w:r>
    </w:p>
    <w:p>
      <w:pPr>
        <w:adjustRightInd w:val="0"/>
        <w:snapToGrid w:val="0"/>
        <w:spacing w:after="0" w:line="600" w:lineRule="exact"/>
        <w:ind w:firstLine="632" w:firstLineChars="200"/>
        <w:rPr>
          <w:spacing w:val="-2"/>
          <w:lang w:val="en"/>
        </w:rPr>
      </w:pPr>
      <w:r>
        <w:rPr>
          <w:rFonts w:hint="eastAsia"/>
          <w:spacing w:val="-2"/>
          <w:lang w:eastAsia="zh-CN"/>
        </w:rPr>
        <w:t>2026年</w:t>
      </w:r>
      <w:r>
        <w:rPr>
          <w:rFonts w:hint="eastAsia"/>
          <w:spacing w:val="-2"/>
          <w:lang w:val="en"/>
        </w:rPr>
        <w:t>湘乡市城乡居民基本养老保险当年收支结余</w:t>
      </w:r>
      <w:r>
        <w:rPr>
          <w:rFonts w:hint="eastAsia"/>
          <w:spacing w:val="-2"/>
          <w:lang w:val="en-US" w:eastAsia="zh-CN"/>
        </w:rPr>
        <w:t>37,907</w:t>
      </w:r>
      <w:r>
        <w:rPr>
          <w:rFonts w:hint="eastAsia"/>
          <w:spacing w:val="-2"/>
        </w:rPr>
        <w:t>万元。累计结余</w:t>
      </w:r>
      <w:r>
        <w:rPr>
          <w:rFonts w:hint="eastAsia"/>
          <w:spacing w:val="-2"/>
          <w:lang w:val="en-US" w:eastAsia="zh-CN"/>
        </w:rPr>
        <w:t>174,703</w:t>
      </w:r>
      <w:r>
        <w:rPr>
          <w:rFonts w:hint="eastAsia"/>
          <w:spacing w:val="-2"/>
        </w:rPr>
        <w:t>万元，其中个人账户累计结余180</w:t>
      </w:r>
      <w:r>
        <w:rPr>
          <w:rFonts w:hint="eastAsia"/>
          <w:spacing w:val="-2"/>
          <w:lang w:val="en-US" w:eastAsia="zh-CN"/>
        </w:rPr>
        <w:t>,</w:t>
      </w:r>
      <w:r>
        <w:rPr>
          <w:rFonts w:hint="eastAsia"/>
          <w:spacing w:val="-2"/>
        </w:rPr>
        <w:t>885万元，个人账户月支付能力310.32个月。</w:t>
      </w:r>
    </w:p>
    <w:p>
      <w:pPr>
        <w:adjustRightInd w:val="0"/>
        <w:snapToGrid w:val="0"/>
        <w:spacing w:after="0" w:line="600" w:lineRule="exact"/>
        <w:ind w:firstLine="641"/>
        <w:rPr>
          <w:rFonts w:ascii="仿宋_GB2312" w:hAnsi="仿宋_GB2312" w:cs="仿宋_GB2312"/>
        </w:rPr>
      </w:pPr>
      <w:r>
        <w:rPr>
          <w:rFonts w:hint="eastAsia" w:ascii="仿宋_GB2312" w:hAnsi="仿宋_GB2312" w:cs="仿宋_GB2312"/>
        </w:rPr>
        <w:t>（二）预算基本口径及参数</w:t>
      </w:r>
    </w:p>
    <w:p>
      <w:pPr>
        <w:pStyle w:val="2"/>
        <w:spacing w:after="0" w:line="600" w:lineRule="exact"/>
        <w:ind w:firstLine="641"/>
        <w:rPr>
          <w:rFonts w:eastAsia="仿宋_GB2312"/>
          <w:spacing w:val="-2"/>
          <w:sz w:val="32"/>
          <w:szCs w:val="32"/>
        </w:rPr>
      </w:pPr>
      <w:r>
        <w:rPr>
          <w:rFonts w:hint="eastAsia" w:eastAsia="仿宋_GB2312"/>
          <w:spacing w:val="-2"/>
          <w:sz w:val="32"/>
          <w:szCs w:val="32"/>
          <w:lang w:val="en" w:eastAsia="zh-CN"/>
        </w:rPr>
        <w:t>2026年</w:t>
      </w:r>
      <w:r>
        <w:rPr>
          <w:rFonts w:hint="eastAsia" w:eastAsia="仿宋_GB2312"/>
          <w:spacing w:val="-2"/>
          <w:sz w:val="32"/>
          <w:szCs w:val="32"/>
          <w:lang w:val="en"/>
        </w:rPr>
        <w:t>湘乡市城乡居民基本养老保险</w:t>
      </w:r>
      <w:r>
        <w:rPr>
          <w:rFonts w:hint="eastAsia" w:eastAsia="仿宋_GB2312"/>
          <w:spacing w:val="-2"/>
          <w:sz w:val="32"/>
          <w:szCs w:val="32"/>
        </w:rPr>
        <w:t>15-59周岁参保人数为26.18万人，</w:t>
      </w:r>
      <w:r>
        <w:rPr>
          <w:rFonts w:hint="eastAsia" w:eastAsia="仿宋_GB2312"/>
          <w:spacing w:val="-2"/>
          <w:sz w:val="32"/>
          <w:szCs w:val="32"/>
          <w:lang w:eastAsia="zh-CN"/>
        </w:rPr>
        <w:t>2026年</w:t>
      </w:r>
      <w:r>
        <w:rPr>
          <w:rFonts w:hint="eastAsia" w:eastAsia="仿宋_GB2312"/>
          <w:spacing w:val="-2"/>
          <w:sz w:val="32"/>
          <w:szCs w:val="32"/>
        </w:rPr>
        <w:t>预算数较</w:t>
      </w:r>
      <w:r>
        <w:rPr>
          <w:rFonts w:hint="eastAsia" w:eastAsia="仿宋_GB2312"/>
          <w:spacing w:val="-2"/>
          <w:sz w:val="32"/>
          <w:szCs w:val="32"/>
          <w:lang w:eastAsia="zh-CN"/>
        </w:rPr>
        <w:t>2025年</w:t>
      </w:r>
      <w:r>
        <w:rPr>
          <w:rFonts w:hint="eastAsia" w:eastAsia="仿宋_GB2312"/>
          <w:spacing w:val="-2"/>
          <w:sz w:val="32"/>
          <w:szCs w:val="32"/>
        </w:rPr>
        <w:t>参保人数下降4万多人。实际缴费人数预算数为14.5万人，减少1.6万人。一次性补缴人数预算数为1.36万人，与</w:t>
      </w:r>
      <w:r>
        <w:rPr>
          <w:rFonts w:hint="eastAsia" w:eastAsia="仿宋_GB2312"/>
          <w:spacing w:val="-2"/>
          <w:sz w:val="32"/>
          <w:szCs w:val="32"/>
          <w:lang w:eastAsia="zh-CN"/>
        </w:rPr>
        <w:t>2025年</w:t>
      </w:r>
      <w:r>
        <w:rPr>
          <w:rFonts w:hint="eastAsia" w:eastAsia="仿宋_GB2312"/>
          <w:spacing w:val="-2"/>
          <w:sz w:val="32"/>
          <w:szCs w:val="32"/>
        </w:rPr>
        <w:t>人数基本持平。征缴率达到58.82%，主要原因是根据《湖南省人民政府关于完善城乡居民基本养老保险制度的实施意见》（湘政发</w:t>
      </w:r>
      <w:r>
        <w:rPr>
          <w:rFonts w:hint="eastAsia" w:ascii="宋体" w:hAnsi="宋体" w:cs="宋体"/>
          <w:spacing w:val="-2"/>
          <w:sz w:val="32"/>
          <w:szCs w:val="32"/>
        </w:rPr>
        <w:t>〔2020〕19号</w:t>
      </w:r>
      <w:r>
        <w:rPr>
          <w:rFonts w:hint="eastAsia" w:eastAsia="仿宋_GB2312"/>
          <w:spacing w:val="-2"/>
          <w:sz w:val="32"/>
          <w:szCs w:val="32"/>
        </w:rPr>
        <w:t>）要求，城乡居民参保人员领取待遇条件是只需在60岁前缴满十五年保险费且允许补缴，导致部分参保人员并未每年进行保费的缴纳。实际领取待遇全年平均预算数为17.10万人，与</w:t>
      </w:r>
      <w:r>
        <w:rPr>
          <w:rFonts w:hint="eastAsia" w:eastAsia="仿宋_GB2312"/>
          <w:spacing w:val="-2"/>
          <w:sz w:val="32"/>
          <w:szCs w:val="32"/>
          <w:lang w:eastAsia="zh-CN"/>
        </w:rPr>
        <w:t>2025年</w:t>
      </w:r>
      <w:r>
        <w:rPr>
          <w:rFonts w:hint="eastAsia" w:eastAsia="仿宋_GB2312"/>
          <w:spacing w:val="-2"/>
          <w:sz w:val="32"/>
          <w:szCs w:val="32"/>
        </w:rPr>
        <w:t>预算数增加6000人。个人缴费标准554元，人均补缴水平2.67万元，人均养老金支出225.80元。根据《湖南省人力资源和社会保障厅 湖南省财政厅关于</w:t>
      </w:r>
      <w:r>
        <w:rPr>
          <w:rFonts w:hint="eastAsia" w:eastAsia="仿宋_GB2312"/>
          <w:spacing w:val="-2"/>
          <w:sz w:val="32"/>
          <w:szCs w:val="32"/>
          <w:lang w:eastAsia="zh-CN"/>
        </w:rPr>
        <w:t>2025年</w:t>
      </w:r>
      <w:r>
        <w:rPr>
          <w:rFonts w:hint="eastAsia" w:eastAsia="仿宋_GB2312"/>
          <w:spacing w:val="-2"/>
          <w:sz w:val="32"/>
          <w:szCs w:val="32"/>
        </w:rPr>
        <w:t>提高城乡居民基本养老保险全省基础养老金最低标准的通知》（湘人社发</w:t>
      </w:r>
      <w:r>
        <w:rPr>
          <w:rFonts w:hint="eastAsia" w:ascii="宋体" w:hAnsi="宋体" w:cs="宋体"/>
          <w:spacing w:val="-2"/>
          <w:sz w:val="32"/>
          <w:szCs w:val="32"/>
        </w:rPr>
        <w:t>〔2025〕27号</w:t>
      </w:r>
      <w:r>
        <w:rPr>
          <w:rFonts w:hint="eastAsia" w:eastAsia="仿宋_GB2312"/>
          <w:spacing w:val="-2"/>
          <w:sz w:val="32"/>
          <w:szCs w:val="32"/>
        </w:rPr>
        <w:t>）要求，从</w:t>
      </w:r>
      <w:r>
        <w:rPr>
          <w:rFonts w:hint="eastAsia" w:eastAsia="仿宋_GB2312"/>
          <w:spacing w:val="-2"/>
          <w:sz w:val="32"/>
          <w:szCs w:val="32"/>
          <w:lang w:eastAsia="zh-CN"/>
        </w:rPr>
        <w:t>2025年</w:t>
      </w:r>
      <w:r>
        <w:rPr>
          <w:rFonts w:hint="eastAsia" w:eastAsia="仿宋_GB2312"/>
          <w:spacing w:val="-2"/>
          <w:sz w:val="32"/>
          <w:szCs w:val="32"/>
        </w:rPr>
        <w:t>7月开始，全省基础养老金最低标准由每人每月151元提高至176元。加上本市自主提标的每人每月5元，湘乡市基础养老金标准已达到每人每月181元。</w:t>
      </w:r>
    </w:p>
    <w:p>
      <w:pPr>
        <w:adjustRightInd w:val="0"/>
        <w:snapToGrid w:val="0"/>
        <w:spacing w:after="0" w:line="600" w:lineRule="exact"/>
        <w:ind w:firstLine="641"/>
        <w:rPr>
          <w:rFonts w:ascii="仿宋_GB2312" w:hAnsi="仿宋_GB2312" w:cs="仿宋_GB2312"/>
        </w:rPr>
      </w:pPr>
      <w:r>
        <w:rPr>
          <w:rFonts w:hint="eastAsia" w:ascii="仿宋_GB2312" w:hAnsi="仿宋_GB2312" w:cs="仿宋_GB2312"/>
        </w:rPr>
        <w:t>（三）各项指标不在审核合理区间的说明</w:t>
      </w:r>
    </w:p>
    <w:p>
      <w:pPr>
        <w:adjustRightInd w:val="0"/>
        <w:snapToGrid w:val="0"/>
        <w:spacing w:after="0" w:line="600" w:lineRule="exact"/>
        <w:ind w:firstLine="641"/>
      </w:pPr>
      <w:r>
        <w:rPr>
          <w:rFonts w:hint="eastAsia"/>
          <w:spacing w:val="-2"/>
        </w:rPr>
        <w:t>缴费收入说明：主要原因是根据湘人社规〔2023〕22号文件，缴费标准由3</w:t>
      </w:r>
      <w:r>
        <w:rPr>
          <w:rFonts w:hint="eastAsia"/>
          <w:spacing w:val="-2"/>
          <w:lang w:val="en-US" w:eastAsia="zh-CN"/>
        </w:rPr>
        <w:t>,</w:t>
      </w:r>
      <w:r>
        <w:rPr>
          <w:rFonts w:hint="eastAsia"/>
          <w:spacing w:val="-2"/>
        </w:rPr>
        <w:t>000元提高至6</w:t>
      </w:r>
      <w:r>
        <w:rPr>
          <w:rFonts w:hint="eastAsia"/>
          <w:spacing w:val="-2"/>
          <w:lang w:val="en-US" w:eastAsia="zh-CN"/>
        </w:rPr>
        <w:t>,</w:t>
      </w:r>
      <w:r>
        <w:rPr>
          <w:rFonts w:hint="eastAsia"/>
          <w:spacing w:val="-2"/>
        </w:rPr>
        <w:t>000元，再加上企业职工保险退休政策的变化影响，大大刺激了城乡居保参保人员通过补缴提档的积极性，且人均补缴金额大幅度提升由</w:t>
      </w:r>
      <w:r>
        <w:rPr>
          <w:rFonts w:hint="eastAsia"/>
          <w:spacing w:val="-2"/>
          <w:lang w:val="en-US" w:eastAsia="zh-CN"/>
        </w:rPr>
        <w:t>2024年</w:t>
      </w:r>
      <w:r>
        <w:rPr>
          <w:rFonts w:hint="eastAsia"/>
          <w:spacing w:val="-2"/>
        </w:rPr>
        <w:t>的7</w:t>
      </w:r>
      <w:r>
        <w:rPr>
          <w:rFonts w:hint="eastAsia"/>
          <w:spacing w:val="-2"/>
          <w:lang w:val="en-US" w:eastAsia="zh-CN"/>
        </w:rPr>
        <w:t>,</w:t>
      </w:r>
      <w:r>
        <w:rPr>
          <w:rFonts w:hint="eastAsia"/>
          <w:spacing w:val="-2"/>
        </w:rPr>
        <w:t>000元提高至10</w:t>
      </w:r>
      <w:r>
        <w:rPr>
          <w:rFonts w:hint="eastAsia"/>
          <w:spacing w:val="-2"/>
          <w:lang w:val="en-US" w:eastAsia="zh-CN"/>
        </w:rPr>
        <w:t>,</w:t>
      </w:r>
      <w:r>
        <w:rPr>
          <w:rFonts w:hint="eastAsia"/>
          <w:spacing w:val="-2"/>
        </w:rPr>
        <w:t>000元，</w:t>
      </w:r>
      <w:r>
        <w:rPr>
          <w:rFonts w:hint="eastAsia"/>
          <w:spacing w:val="-2"/>
          <w:lang w:eastAsia="zh-CN"/>
        </w:rPr>
        <w:t>截止</w:t>
      </w:r>
      <w:r>
        <w:rPr>
          <w:rFonts w:hint="eastAsia"/>
          <w:spacing w:val="-2"/>
        </w:rPr>
        <w:t>10月，补缴收入较去年同期增加1.89亿元达到3.04亿元，预计全年将达到3.63亿元，导致个人缴费收入增长率偏大。利息收入说明：一是上半年地方财政拨付了2.57亿元的以前年度欠拨资金；二是下半年湘乡市开始实施省财政厅直拨上级补助资金，保证了财政专户长期保持有1至2个亿的余额，利息收入大幅度增加。转移收入说明：省内转移自新系统建立后，各保险间的转移业务大部分采取账户合并，转移业务产生的资金划转大量减少。基础养老金支出说明：一是根据《湖南省人力资源和社会保障厅 湖南省财政厅关于</w:t>
      </w:r>
      <w:r>
        <w:rPr>
          <w:rFonts w:hint="eastAsia"/>
          <w:spacing w:val="-2"/>
          <w:lang w:eastAsia="zh-CN"/>
        </w:rPr>
        <w:t>2025年</w:t>
      </w:r>
      <w:r>
        <w:rPr>
          <w:rFonts w:hint="eastAsia"/>
          <w:spacing w:val="-2"/>
        </w:rPr>
        <w:t>提高城乡居民基本养老保险全省基础养老金最低标准的通知》（湘人社发</w:t>
      </w:r>
      <w:r>
        <w:rPr>
          <w:rFonts w:hint="eastAsia" w:ascii="宋体" w:hAnsi="宋体" w:eastAsia="宋体" w:cs="宋体"/>
          <w:spacing w:val="-2"/>
        </w:rPr>
        <w:t>〔</w:t>
      </w:r>
      <w:r>
        <w:rPr>
          <w:rFonts w:hint="eastAsia" w:ascii="宋体" w:hAnsi="宋体" w:cs="宋体"/>
          <w:spacing w:val="-2"/>
        </w:rPr>
        <w:t>2025</w:t>
      </w:r>
      <w:r>
        <w:rPr>
          <w:rFonts w:hint="eastAsia" w:ascii="宋体" w:hAnsi="宋体" w:eastAsia="宋体" w:cs="宋体"/>
          <w:spacing w:val="-2"/>
        </w:rPr>
        <w:t>〕</w:t>
      </w:r>
      <w:r>
        <w:rPr>
          <w:rFonts w:hint="eastAsia" w:ascii="宋体" w:hAnsi="宋体" w:cs="宋体"/>
          <w:spacing w:val="-2"/>
        </w:rPr>
        <w:t>27号</w:t>
      </w:r>
      <w:r>
        <w:rPr>
          <w:rFonts w:hint="eastAsia"/>
          <w:spacing w:val="-2"/>
        </w:rPr>
        <w:t>）要求，从</w:t>
      </w:r>
      <w:r>
        <w:rPr>
          <w:rFonts w:hint="eastAsia"/>
          <w:spacing w:val="-2"/>
          <w:lang w:eastAsia="zh-CN"/>
        </w:rPr>
        <w:t>2025年</w:t>
      </w:r>
      <w:r>
        <w:rPr>
          <w:rFonts w:hint="eastAsia"/>
          <w:spacing w:val="-2"/>
        </w:rPr>
        <w:t>7月开始，全省基础养老金最低标准由每人每月151元提高至176元。加上本市自主提标的每人每月5元，湘乡市基础养老金标准已达到每人每月181元；二是每年一万多待遇人员的增加，导致基础养老金支出增幅较大。个人账户支出说明：一是原未缴费享待人员的大量死亡和大量新增的缴费享待人员，导致缴费享待人员在待遇人员中比率不断增高；三是缴费档次由200元-3000元提高至300元-6</w:t>
      </w:r>
      <w:r>
        <w:rPr>
          <w:rFonts w:hint="eastAsia"/>
          <w:spacing w:val="-2"/>
          <w:lang w:val="en-US" w:eastAsia="zh-CN"/>
        </w:rPr>
        <w:t>,</w:t>
      </w:r>
      <w:r>
        <w:rPr>
          <w:rFonts w:hint="eastAsia"/>
          <w:spacing w:val="-2"/>
        </w:rPr>
        <w:t>000元，极大了刺激了通过一次性补缴提高缴费档次来提高待遇水平，</w:t>
      </w:r>
      <w:r>
        <w:rPr>
          <w:rFonts w:hint="eastAsia"/>
          <w:spacing w:val="-2"/>
          <w:lang w:val="en-US" w:eastAsia="zh-CN"/>
        </w:rPr>
        <w:t>2026年</w:t>
      </w:r>
      <w:r>
        <w:rPr>
          <w:rFonts w:hint="eastAsia"/>
          <w:spacing w:val="-2"/>
        </w:rPr>
        <w:t>仍会</w:t>
      </w:r>
      <w:r>
        <w:rPr>
          <w:rFonts w:hint="eastAsia"/>
          <w:spacing w:val="-2"/>
          <w:lang w:eastAsia="zh-CN"/>
        </w:rPr>
        <w:t>像2025年</w:t>
      </w:r>
      <w:r>
        <w:rPr>
          <w:rFonts w:hint="eastAsia"/>
          <w:spacing w:val="-2"/>
        </w:rPr>
        <w:t>一样近半数新增待遇人员都进行了补缴提档，人均个人账户支出增长率达到44%，根据此趋势，</w:t>
      </w:r>
      <w:r>
        <w:rPr>
          <w:rFonts w:hint="eastAsia"/>
          <w:spacing w:val="-2"/>
          <w:lang w:val="en-US" w:eastAsia="zh-CN"/>
        </w:rPr>
        <w:t>2026年</w:t>
      </w:r>
      <w:r>
        <w:rPr>
          <w:rFonts w:hint="eastAsia"/>
          <w:spacing w:val="-2"/>
        </w:rPr>
        <w:t>较</w:t>
      </w:r>
      <w:r>
        <w:rPr>
          <w:rFonts w:hint="eastAsia"/>
          <w:spacing w:val="-2"/>
          <w:lang w:val="en-US" w:eastAsia="zh-CN"/>
        </w:rPr>
        <w:t>2025年</w:t>
      </w:r>
      <w:r>
        <w:rPr>
          <w:rFonts w:hint="eastAsia"/>
          <w:spacing w:val="-2"/>
        </w:rPr>
        <w:t>个人账户支出增长较大。转移支出说明：省内转移自新系统建立后，各保险间的转移业务大部分采取账户合并，转移业务产生的资金划转大量减少。其他支出说明：由于大量参保人员提档缴费，人均缴费标准已达500多元，进行缴费退费时，人均退费金额相应增加。参保人数说明：一是每年近万的缴费人员转为退休人员，新增参保人员只有百位数；二是按照上级要求，对城乡居保的参保对象，若同时参加了企保或者机关保险的话，需在统计人数进行剔除，故</w:t>
      </w:r>
      <w:r>
        <w:rPr>
          <w:rFonts w:hint="eastAsia"/>
          <w:spacing w:val="-2"/>
          <w:lang w:eastAsia="zh-CN"/>
        </w:rPr>
        <w:t>2025年</w:t>
      </w:r>
      <w:r>
        <w:rPr>
          <w:rFonts w:hint="eastAsia"/>
          <w:spacing w:val="-2"/>
        </w:rPr>
        <w:t>省工程师剔除了此类人员的在统计报表人数，导致参保人员数下降近3.5万人。实际缴费人数说明：受企保和城乡居保缴费政策影响，一般当年缴纳企保后不得</w:t>
      </w:r>
      <w:r>
        <w:rPr>
          <w:rFonts w:hint="eastAsia"/>
          <w:spacing w:val="-2"/>
          <w:lang w:eastAsia="zh-CN"/>
        </w:rPr>
        <w:t>再</w:t>
      </w:r>
      <w:r>
        <w:rPr>
          <w:rFonts w:hint="eastAsia"/>
          <w:spacing w:val="-2"/>
        </w:rPr>
        <w:t>缴纳</w:t>
      </w:r>
      <w:r>
        <w:rPr>
          <w:rFonts w:hint="eastAsia"/>
          <w:spacing w:val="-2"/>
          <w:lang w:eastAsia="zh-CN"/>
        </w:rPr>
        <w:t>城乡</w:t>
      </w:r>
      <w:r>
        <w:rPr>
          <w:rFonts w:hint="eastAsia"/>
          <w:spacing w:val="-2"/>
        </w:rPr>
        <w:t>居</w:t>
      </w:r>
      <w:r>
        <w:rPr>
          <w:rFonts w:hint="eastAsia"/>
          <w:spacing w:val="-2"/>
          <w:lang w:val="en-US" w:eastAsia="zh-CN"/>
        </w:rPr>
        <w:t>民医疗</w:t>
      </w:r>
      <w:r>
        <w:rPr>
          <w:rFonts w:hint="eastAsia"/>
          <w:spacing w:val="-2"/>
        </w:rPr>
        <w:t>保</w:t>
      </w:r>
      <w:r>
        <w:rPr>
          <w:rFonts w:hint="eastAsia"/>
          <w:spacing w:val="-2"/>
          <w:lang w:val="en-US" w:eastAsia="zh-CN"/>
        </w:rPr>
        <w:t>险</w:t>
      </w:r>
      <w:r>
        <w:rPr>
          <w:rFonts w:hint="eastAsia"/>
          <w:spacing w:val="-2"/>
        </w:rPr>
        <w:t>保费，近几年城乡居民养老保险实缴人员呈现逐年下降趋势，导致实缴人数增长率为负。</w:t>
      </w:r>
    </w:p>
    <w:p>
      <w:pPr>
        <w:pStyle w:val="3"/>
        <w:spacing w:line="600" w:lineRule="exact"/>
        <w:ind w:firstLine="624"/>
      </w:pPr>
    </w:p>
    <w:p>
      <w:pPr>
        <w:adjustRightInd w:val="0"/>
        <w:snapToGrid w:val="0"/>
        <w:spacing w:after="0" w:line="600" w:lineRule="exact"/>
        <w:ind w:firstLine="641"/>
        <w:rPr>
          <w:rFonts w:ascii="黑体" w:hAnsi="黑体" w:eastAsia="黑体" w:cs="黑体"/>
        </w:rPr>
      </w:pPr>
      <w:r>
        <w:rPr>
          <w:rFonts w:hint="eastAsia" w:ascii="黑体" w:hAnsi="黑体" w:eastAsia="黑体" w:cs="黑体"/>
        </w:rPr>
        <w:t>二、机关事业单位基本养老保险</w:t>
      </w:r>
    </w:p>
    <w:p>
      <w:pPr>
        <w:adjustRightInd w:val="0"/>
        <w:snapToGrid w:val="0"/>
        <w:spacing w:after="0" w:line="600" w:lineRule="exact"/>
        <w:ind w:firstLine="641"/>
        <w:rPr>
          <w:rFonts w:ascii="仿宋_GB2312" w:hAnsi="仿宋_GB2312" w:cs="仿宋_GB2312"/>
        </w:rPr>
      </w:pPr>
      <w:r>
        <w:rPr>
          <w:rFonts w:hint="eastAsia" w:ascii="仿宋_GB2312" w:hAnsi="仿宋_GB2312" w:cs="仿宋_GB2312"/>
        </w:rPr>
        <w:t>（一）预算收支情况</w:t>
      </w:r>
    </w:p>
    <w:p>
      <w:pPr>
        <w:adjustRightInd w:val="0"/>
        <w:snapToGrid w:val="0"/>
        <w:spacing w:after="0" w:line="600" w:lineRule="exact"/>
        <w:ind w:firstLine="641"/>
        <w:rPr>
          <w:spacing w:val="-2"/>
        </w:rPr>
      </w:pPr>
      <w:r>
        <w:rPr>
          <w:rFonts w:hint="eastAsia"/>
          <w:spacing w:val="-2"/>
          <w:lang w:eastAsia="zh-CN"/>
        </w:rPr>
        <w:t>2026年</w:t>
      </w:r>
      <w:r>
        <w:rPr>
          <w:rFonts w:hint="eastAsia"/>
          <w:spacing w:val="-2"/>
        </w:rPr>
        <w:t>湘乡市机关事业单位基本养老保险征缴收入预算数</w:t>
      </w:r>
      <w:r>
        <w:rPr>
          <w:rFonts w:hint="eastAsia"/>
          <w:color w:val="auto"/>
          <w:spacing w:val="-2"/>
        </w:rPr>
        <w:t>31</w:t>
      </w:r>
      <w:r>
        <w:rPr>
          <w:rFonts w:hint="eastAsia"/>
          <w:color w:val="auto"/>
          <w:spacing w:val="-2"/>
          <w:lang w:val="en-US" w:eastAsia="zh-CN"/>
        </w:rPr>
        <w:t>,</w:t>
      </w:r>
      <w:r>
        <w:rPr>
          <w:rFonts w:hint="eastAsia"/>
          <w:color w:val="auto"/>
          <w:spacing w:val="-2"/>
        </w:rPr>
        <w:t>013</w:t>
      </w:r>
      <w:r>
        <w:rPr>
          <w:rFonts w:hint="eastAsia"/>
          <w:spacing w:val="-2"/>
        </w:rPr>
        <w:t>万元，增长率</w:t>
      </w:r>
      <w:r>
        <w:rPr>
          <w:rFonts w:hint="eastAsia"/>
          <w:color w:val="auto"/>
          <w:spacing w:val="-2"/>
        </w:rPr>
        <w:t>12.13%</w:t>
      </w:r>
      <w:r>
        <w:rPr>
          <w:rFonts w:hint="eastAsia"/>
          <w:spacing w:val="-2"/>
        </w:rPr>
        <w:t>；财政补贴收入预算数</w:t>
      </w:r>
      <w:r>
        <w:rPr>
          <w:rFonts w:hint="eastAsia"/>
          <w:spacing w:val="-2"/>
          <w:sz w:val="32"/>
          <w:szCs w:val="32"/>
          <w:lang w:val="en-US" w:eastAsia="zh-CN"/>
        </w:rPr>
        <w:t>38,860</w:t>
      </w:r>
      <w:r>
        <w:rPr>
          <w:rFonts w:hint="eastAsia"/>
          <w:spacing w:val="-2"/>
        </w:rPr>
        <w:t>万元，增长率</w:t>
      </w:r>
      <w:r>
        <w:rPr>
          <w:rFonts w:hint="eastAsia"/>
          <w:spacing w:val="-2"/>
          <w:sz w:val="32"/>
          <w:szCs w:val="32"/>
          <w:lang w:val="en-US" w:eastAsia="zh-CN"/>
        </w:rPr>
        <w:t>-3.76%</w:t>
      </w:r>
      <w:r>
        <w:rPr>
          <w:rFonts w:hint="eastAsia"/>
          <w:spacing w:val="-2"/>
        </w:rPr>
        <w:t>；利息收入</w:t>
      </w:r>
      <w:r>
        <w:rPr>
          <w:rFonts w:hint="eastAsia"/>
          <w:color w:val="auto"/>
          <w:spacing w:val="-2"/>
        </w:rPr>
        <w:t>26</w:t>
      </w:r>
      <w:r>
        <w:rPr>
          <w:rFonts w:hint="eastAsia"/>
          <w:spacing w:val="-2"/>
        </w:rPr>
        <w:t>万元，增长率</w:t>
      </w:r>
      <w:r>
        <w:rPr>
          <w:rFonts w:hint="eastAsia"/>
          <w:color w:val="auto"/>
          <w:spacing w:val="-2"/>
        </w:rPr>
        <w:t>44.44%</w:t>
      </w:r>
      <w:r>
        <w:rPr>
          <w:rFonts w:hint="eastAsia"/>
          <w:spacing w:val="-2"/>
        </w:rPr>
        <w:t>；转移收入</w:t>
      </w:r>
      <w:r>
        <w:rPr>
          <w:rFonts w:hint="eastAsia"/>
          <w:color w:val="auto"/>
          <w:spacing w:val="-2"/>
        </w:rPr>
        <w:t>650</w:t>
      </w:r>
      <w:r>
        <w:rPr>
          <w:rFonts w:hint="eastAsia"/>
          <w:spacing w:val="-2"/>
        </w:rPr>
        <w:t>万元，增长率</w:t>
      </w:r>
      <w:r>
        <w:rPr>
          <w:rFonts w:hint="eastAsia"/>
          <w:color w:val="auto"/>
          <w:spacing w:val="-2"/>
        </w:rPr>
        <w:t>132.14%</w:t>
      </w:r>
      <w:r>
        <w:rPr>
          <w:rFonts w:hint="eastAsia"/>
          <w:spacing w:val="-2"/>
        </w:rPr>
        <w:t>；其他收入</w:t>
      </w:r>
      <w:r>
        <w:rPr>
          <w:rFonts w:hint="eastAsia"/>
          <w:color w:val="auto"/>
          <w:spacing w:val="-2"/>
        </w:rPr>
        <w:t>5</w:t>
      </w:r>
      <w:r>
        <w:rPr>
          <w:rFonts w:hint="eastAsia"/>
          <w:spacing w:val="-2"/>
        </w:rPr>
        <w:t>万元，全部属于追回的多发养老金待遇，增长率</w:t>
      </w:r>
      <w:r>
        <w:rPr>
          <w:rFonts w:hint="eastAsia"/>
          <w:color w:val="auto"/>
          <w:spacing w:val="-2"/>
        </w:rPr>
        <w:t>-54.55%</w:t>
      </w:r>
      <w:r>
        <w:rPr>
          <w:rFonts w:hint="eastAsia"/>
          <w:spacing w:val="-2"/>
        </w:rPr>
        <w:t>。综上所述，基金收入预算数</w:t>
      </w:r>
      <w:r>
        <w:rPr>
          <w:rFonts w:hint="eastAsia"/>
          <w:spacing w:val="-2"/>
          <w:sz w:val="32"/>
          <w:szCs w:val="32"/>
          <w:lang w:val="en-US" w:eastAsia="zh-CN"/>
        </w:rPr>
        <w:t>70,554</w:t>
      </w:r>
      <w:r>
        <w:rPr>
          <w:rFonts w:hint="eastAsia"/>
          <w:spacing w:val="-2"/>
        </w:rPr>
        <w:t>万元，增长率</w:t>
      </w:r>
      <w:r>
        <w:rPr>
          <w:rFonts w:hint="eastAsia"/>
          <w:spacing w:val="-2"/>
          <w:sz w:val="32"/>
          <w:szCs w:val="32"/>
          <w:lang w:val="en-US" w:eastAsia="zh-CN"/>
        </w:rPr>
        <w:t>3.23%</w:t>
      </w:r>
      <w:r>
        <w:rPr>
          <w:rFonts w:hint="eastAsia"/>
          <w:spacing w:val="-2"/>
        </w:rPr>
        <w:t>。</w:t>
      </w:r>
    </w:p>
    <w:p>
      <w:pPr>
        <w:adjustRightInd w:val="0"/>
        <w:snapToGrid w:val="0"/>
        <w:spacing w:line="600" w:lineRule="exact"/>
        <w:ind w:firstLine="641"/>
        <w:rPr>
          <w:spacing w:val="-2"/>
        </w:rPr>
      </w:pPr>
      <w:r>
        <w:rPr>
          <w:rFonts w:hint="eastAsia"/>
          <w:spacing w:val="-2"/>
          <w:lang w:eastAsia="zh-CN"/>
        </w:rPr>
        <w:t>2026年</w:t>
      </w:r>
      <w:r>
        <w:rPr>
          <w:rFonts w:hint="eastAsia"/>
          <w:spacing w:val="-2"/>
        </w:rPr>
        <w:t>湘乡市机关事业单位基本养老保险基本养老金支出预算数</w:t>
      </w:r>
      <w:r>
        <w:rPr>
          <w:rFonts w:hint="eastAsia"/>
          <w:spacing w:val="-2"/>
          <w:sz w:val="32"/>
          <w:szCs w:val="32"/>
          <w:lang w:val="en-US" w:eastAsia="zh-CN"/>
        </w:rPr>
        <w:t>69,468</w:t>
      </w:r>
      <w:r>
        <w:rPr>
          <w:rFonts w:hint="eastAsia"/>
          <w:spacing w:val="-2"/>
        </w:rPr>
        <w:t>万元，增长率</w:t>
      </w:r>
      <w:r>
        <w:rPr>
          <w:rFonts w:hint="eastAsia"/>
          <w:color w:val="auto"/>
          <w:spacing w:val="-2"/>
        </w:rPr>
        <w:t>2.38%</w:t>
      </w:r>
      <w:r>
        <w:rPr>
          <w:rFonts w:hint="eastAsia"/>
          <w:spacing w:val="-2"/>
        </w:rPr>
        <w:t>；转移支出预算数</w:t>
      </w:r>
      <w:r>
        <w:rPr>
          <w:rFonts w:hint="eastAsia"/>
          <w:color w:val="auto"/>
          <w:spacing w:val="-2"/>
        </w:rPr>
        <w:t>60</w:t>
      </w:r>
      <w:r>
        <w:rPr>
          <w:rFonts w:hint="eastAsia"/>
          <w:spacing w:val="-2"/>
        </w:rPr>
        <w:t>万元，增长率</w:t>
      </w:r>
      <w:r>
        <w:rPr>
          <w:rFonts w:hint="eastAsia"/>
          <w:color w:val="auto"/>
          <w:spacing w:val="-2"/>
        </w:rPr>
        <w:t>400%</w:t>
      </w:r>
      <w:r>
        <w:rPr>
          <w:rFonts w:hint="eastAsia"/>
          <w:spacing w:val="-2"/>
        </w:rPr>
        <w:t>；其他支出</w:t>
      </w:r>
      <w:r>
        <w:rPr>
          <w:rFonts w:hint="eastAsia"/>
          <w:color w:val="auto"/>
          <w:spacing w:val="-2"/>
        </w:rPr>
        <w:t>345</w:t>
      </w:r>
      <w:r>
        <w:rPr>
          <w:rFonts w:hint="eastAsia"/>
          <w:spacing w:val="-2"/>
        </w:rPr>
        <w:t>万元，全部属于原始点退费资金，增长率</w:t>
      </w:r>
      <w:r>
        <w:rPr>
          <w:rFonts w:hint="eastAsia"/>
          <w:color w:val="auto"/>
          <w:spacing w:val="-2"/>
        </w:rPr>
        <w:t>-9.92%</w:t>
      </w:r>
      <w:r>
        <w:rPr>
          <w:rFonts w:hint="eastAsia"/>
          <w:spacing w:val="-2"/>
        </w:rPr>
        <w:t>。综上所述，基金支出</w:t>
      </w:r>
      <w:r>
        <w:rPr>
          <w:rFonts w:hint="eastAsia"/>
          <w:spacing w:val="-2"/>
          <w:sz w:val="32"/>
          <w:szCs w:val="32"/>
          <w:lang w:val="en-US" w:eastAsia="zh-CN"/>
        </w:rPr>
        <w:t>69,873</w:t>
      </w:r>
      <w:r>
        <w:rPr>
          <w:rFonts w:hint="eastAsia"/>
          <w:spacing w:val="-2"/>
        </w:rPr>
        <w:t>万元，增长率</w:t>
      </w:r>
      <w:r>
        <w:rPr>
          <w:rFonts w:hint="eastAsia"/>
          <w:color w:val="auto"/>
          <w:spacing w:val="-2"/>
        </w:rPr>
        <w:t>2.38%</w:t>
      </w:r>
      <w:r>
        <w:rPr>
          <w:rFonts w:hint="eastAsia"/>
          <w:spacing w:val="-2"/>
        </w:rPr>
        <w:t>。</w:t>
      </w:r>
    </w:p>
    <w:p>
      <w:pPr>
        <w:pStyle w:val="2"/>
        <w:spacing w:after="0" w:line="600" w:lineRule="exact"/>
        <w:ind w:firstLine="641"/>
        <w:rPr>
          <w:rFonts w:eastAsia="仿宋_GB2312"/>
          <w:spacing w:val="-2"/>
          <w:sz w:val="32"/>
          <w:szCs w:val="32"/>
        </w:rPr>
      </w:pPr>
      <w:r>
        <w:rPr>
          <w:rFonts w:hint="eastAsia" w:eastAsia="仿宋_GB2312"/>
          <w:spacing w:val="-2"/>
          <w:sz w:val="32"/>
          <w:szCs w:val="32"/>
          <w:lang w:eastAsia="zh-CN"/>
        </w:rPr>
        <w:t>2026年</w:t>
      </w:r>
      <w:r>
        <w:rPr>
          <w:rFonts w:hint="eastAsia" w:eastAsia="仿宋_GB2312"/>
          <w:spacing w:val="-2"/>
          <w:sz w:val="32"/>
          <w:szCs w:val="32"/>
        </w:rPr>
        <w:t>湘乡市机关事业单位基本养老保险本年收支结余681万元，累计结余3</w:t>
      </w:r>
      <w:r>
        <w:rPr>
          <w:rFonts w:hint="eastAsia" w:eastAsia="仿宋_GB2312"/>
          <w:spacing w:val="-2"/>
          <w:sz w:val="32"/>
          <w:szCs w:val="32"/>
          <w:lang w:val="en-US" w:eastAsia="zh-CN"/>
        </w:rPr>
        <w:t>,</w:t>
      </w:r>
      <w:r>
        <w:rPr>
          <w:rFonts w:hint="eastAsia" w:eastAsia="仿宋_GB2312"/>
          <w:spacing w:val="-2"/>
          <w:sz w:val="32"/>
          <w:szCs w:val="32"/>
        </w:rPr>
        <w:t>109万元，年末基金支付能力月数为0.53个月，原因根据《湖南省人民政府关于机关事业单位工作人员养老保险制度改革的实施意见》（湘政发〔2015〕38号）文件规定，“基金当期发放出现缺口时，由同级财政予以补助，确保参保退休人员基本养老金按时足额发放。”考虑当前财政收支矛盾突出情况，财政对机关养老基金的补助在确保退休人员待遇发放前提下，难以额外安排补助资金保障超过2个月的支付能力。</w:t>
      </w:r>
    </w:p>
    <w:p>
      <w:pPr>
        <w:adjustRightInd w:val="0"/>
        <w:snapToGrid w:val="0"/>
        <w:spacing w:line="600" w:lineRule="exact"/>
        <w:ind w:firstLine="641"/>
        <w:rPr>
          <w:rFonts w:ascii="仿宋_GB2312" w:hAnsi="仿宋_GB2312" w:cs="仿宋_GB2312"/>
        </w:rPr>
      </w:pPr>
      <w:r>
        <w:rPr>
          <w:rFonts w:hint="eastAsia" w:ascii="仿宋_GB2312" w:hAnsi="仿宋_GB2312" w:cs="仿宋_GB2312"/>
        </w:rPr>
        <w:t>（二）预算基本口径及参数</w:t>
      </w:r>
    </w:p>
    <w:p>
      <w:pPr>
        <w:pStyle w:val="2"/>
        <w:spacing w:line="600" w:lineRule="exact"/>
        <w:ind w:firstLine="641"/>
        <w:rPr>
          <w:rFonts w:eastAsia="仿宋_GB2312"/>
          <w:spacing w:val="-2"/>
          <w:sz w:val="32"/>
          <w:szCs w:val="32"/>
          <w:lang w:val="en"/>
        </w:rPr>
      </w:pPr>
      <w:r>
        <w:rPr>
          <w:rFonts w:hint="eastAsia" w:eastAsia="仿宋_GB2312"/>
          <w:spacing w:val="-2"/>
          <w:sz w:val="32"/>
          <w:szCs w:val="32"/>
          <w:lang w:eastAsia="zh-CN"/>
        </w:rPr>
        <w:t>2026年</w:t>
      </w:r>
      <w:r>
        <w:rPr>
          <w:rFonts w:hint="eastAsia" w:eastAsia="仿宋_GB2312"/>
          <w:spacing w:val="-2"/>
          <w:sz w:val="32"/>
          <w:szCs w:val="32"/>
        </w:rPr>
        <w:t>湘乡市机关事业单位基本养老保险参保人数2.61万人，减少671人。其中在职人数1.55万人，退休退职人数1.05万人。缴费基数总额达到129</w:t>
      </w:r>
      <w:r>
        <w:rPr>
          <w:rFonts w:hint="eastAsia" w:eastAsia="仿宋_GB2312"/>
          <w:spacing w:val="-2"/>
          <w:sz w:val="32"/>
          <w:szCs w:val="32"/>
          <w:lang w:val="en-US" w:eastAsia="zh-CN"/>
        </w:rPr>
        <w:t>,</w:t>
      </w:r>
      <w:r>
        <w:rPr>
          <w:rFonts w:hint="eastAsia" w:eastAsia="仿宋_GB2312"/>
          <w:spacing w:val="-2"/>
          <w:sz w:val="32"/>
          <w:szCs w:val="32"/>
        </w:rPr>
        <w:t>220.72万元，缴费费率24%，人均缴费基数83</w:t>
      </w:r>
      <w:r>
        <w:rPr>
          <w:rFonts w:hint="eastAsia" w:eastAsia="仿宋_GB2312"/>
          <w:spacing w:val="-2"/>
          <w:sz w:val="32"/>
          <w:szCs w:val="32"/>
          <w:lang w:val="en-US" w:eastAsia="zh-CN"/>
        </w:rPr>
        <w:t>,</w:t>
      </w:r>
      <w:r>
        <w:rPr>
          <w:rFonts w:hint="eastAsia" w:eastAsia="仿宋_GB2312"/>
          <w:spacing w:val="-2"/>
          <w:sz w:val="32"/>
          <w:szCs w:val="32"/>
        </w:rPr>
        <w:t>148.27元/年，统筹地区职工平均工资85</w:t>
      </w:r>
      <w:r>
        <w:rPr>
          <w:rFonts w:hint="eastAsia" w:eastAsia="仿宋_GB2312"/>
          <w:spacing w:val="-2"/>
          <w:sz w:val="32"/>
          <w:szCs w:val="32"/>
          <w:lang w:val="en-US" w:eastAsia="zh-CN"/>
        </w:rPr>
        <w:t>,</w:t>
      </w:r>
      <w:r>
        <w:rPr>
          <w:rFonts w:hint="eastAsia" w:eastAsia="仿宋_GB2312"/>
          <w:spacing w:val="-2"/>
          <w:sz w:val="32"/>
          <w:szCs w:val="32"/>
        </w:rPr>
        <w:t>524元/年。</w:t>
      </w:r>
    </w:p>
    <w:p>
      <w:pPr>
        <w:adjustRightInd w:val="0"/>
        <w:snapToGrid w:val="0"/>
        <w:spacing w:line="600" w:lineRule="exact"/>
        <w:ind w:left="1" w:firstLine="640" w:firstLineChars="200"/>
        <w:rPr>
          <w:rFonts w:ascii="仿宋_GB2312" w:hAnsi="仿宋_GB2312" w:cs="仿宋_GB2312"/>
        </w:rPr>
      </w:pPr>
      <w:r>
        <w:rPr>
          <w:rFonts w:hint="eastAsia" w:ascii="仿宋_GB2312" w:hAnsi="仿宋_GB2312" w:cs="仿宋_GB2312"/>
        </w:rPr>
        <w:t>（三）各项指标不在审核合理区间的说明</w:t>
      </w:r>
    </w:p>
    <w:p>
      <w:pPr>
        <w:pStyle w:val="2"/>
        <w:spacing w:line="600" w:lineRule="exact"/>
        <w:ind w:firstLine="641"/>
        <w:rPr>
          <w:rFonts w:eastAsia="仿宋_GB2312"/>
          <w:spacing w:val="-2"/>
          <w:sz w:val="32"/>
          <w:szCs w:val="32"/>
        </w:rPr>
      </w:pPr>
      <w:r>
        <w:rPr>
          <w:rFonts w:hint="eastAsia" w:eastAsia="仿宋_GB2312"/>
          <w:spacing w:val="-2"/>
          <w:sz w:val="32"/>
          <w:szCs w:val="32"/>
        </w:rPr>
        <w:t>缴费收入说明：一是由于近年推行职位职级并行政策，每年职级晋升人员大幅度增加再加上年初行政编制和事业编制同时进行薪资调整；二是大量单位将公务员绩效考核资金计入缴费工资中，导致缴费基数增加较大，增长了近1</w:t>
      </w:r>
      <w:r>
        <w:rPr>
          <w:rFonts w:hint="eastAsia" w:eastAsia="仿宋_GB2312"/>
          <w:spacing w:val="-2"/>
          <w:sz w:val="32"/>
          <w:szCs w:val="32"/>
          <w:lang w:val="en-US" w:eastAsia="zh-CN"/>
        </w:rPr>
        <w:t>,</w:t>
      </w:r>
      <w:r>
        <w:rPr>
          <w:rFonts w:hint="eastAsia" w:eastAsia="仿宋_GB2312"/>
          <w:spacing w:val="-2"/>
          <w:sz w:val="32"/>
          <w:szCs w:val="32"/>
        </w:rPr>
        <w:t>500万元，缴费收入超过</w:t>
      </w:r>
      <w:r>
        <w:rPr>
          <w:rFonts w:hint="eastAsia" w:eastAsia="仿宋_GB2312"/>
          <w:spacing w:val="-2"/>
          <w:sz w:val="32"/>
          <w:szCs w:val="32"/>
          <w:lang w:val="en-US" w:eastAsia="zh-CN"/>
        </w:rPr>
        <w:t>2025年</w:t>
      </w:r>
      <w:r>
        <w:rPr>
          <w:rFonts w:hint="eastAsia" w:eastAsia="仿宋_GB2312"/>
          <w:spacing w:val="-2"/>
          <w:sz w:val="32"/>
          <w:szCs w:val="32"/>
        </w:rPr>
        <w:t>数。政府补贴收入说明：主要是一是按照</w:t>
      </w:r>
      <w:r>
        <w:rPr>
          <w:rFonts w:hint="eastAsia" w:eastAsia="仿宋_GB2312"/>
          <w:spacing w:val="-2"/>
          <w:sz w:val="32"/>
          <w:szCs w:val="32"/>
          <w:lang w:val="en-US" w:eastAsia="zh-CN"/>
        </w:rPr>
        <w:t>2024年</w:t>
      </w:r>
      <w:r>
        <w:rPr>
          <w:rFonts w:hint="eastAsia" w:eastAsia="仿宋_GB2312"/>
          <w:spacing w:val="-2"/>
          <w:sz w:val="32"/>
          <w:szCs w:val="32"/>
        </w:rPr>
        <w:t>实行的原始点集中退费政策对</w:t>
      </w:r>
      <w:r>
        <w:rPr>
          <w:rFonts w:hint="eastAsia" w:eastAsia="仿宋_GB2312"/>
          <w:spacing w:val="-2"/>
          <w:sz w:val="32"/>
          <w:szCs w:val="32"/>
          <w:lang w:val="en-US" w:eastAsia="zh-CN"/>
        </w:rPr>
        <w:t>2025年</w:t>
      </w:r>
      <w:r>
        <w:rPr>
          <w:rFonts w:hint="eastAsia" w:eastAsia="仿宋_GB2312"/>
          <w:spacing w:val="-2"/>
          <w:sz w:val="32"/>
          <w:szCs w:val="32"/>
        </w:rPr>
        <w:t>政府补贴进行预算时，包含了近4</w:t>
      </w:r>
      <w:r>
        <w:rPr>
          <w:rFonts w:hint="eastAsia" w:eastAsia="仿宋_GB2312"/>
          <w:spacing w:val="-2"/>
          <w:sz w:val="32"/>
          <w:szCs w:val="32"/>
          <w:lang w:val="en-US" w:eastAsia="zh-CN"/>
        </w:rPr>
        <w:t>,</w:t>
      </w:r>
      <w:r>
        <w:rPr>
          <w:rFonts w:hint="eastAsia" w:eastAsia="仿宋_GB2312"/>
          <w:spacing w:val="-2"/>
          <w:sz w:val="32"/>
          <w:szCs w:val="32"/>
        </w:rPr>
        <w:t>000万的原始点退费资金，</w:t>
      </w:r>
      <w:r>
        <w:rPr>
          <w:rFonts w:hint="eastAsia" w:eastAsia="仿宋_GB2312"/>
          <w:spacing w:val="-2"/>
          <w:sz w:val="32"/>
          <w:szCs w:val="32"/>
          <w:lang w:val="en-US" w:eastAsia="zh-CN"/>
        </w:rPr>
        <w:t>2025年</w:t>
      </w:r>
      <w:r>
        <w:rPr>
          <w:rFonts w:hint="eastAsia" w:eastAsia="仿宋_GB2312"/>
          <w:spacing w:val="-2"/>
          <w:sz w:val="32"/>
          <w:szCs w:val="32"/>
        </w:rPr>
        <w:t>由于财政资金紧张，原始点退费政策改为按新增退休人员逐步办理，</w:t>
      </w:r>
      <w:r>
        <w:rPr>
          <w:rFonts w:hint="eastAsia" w:eastAsia="仿宋_GB2312"/>
          <w:spacing w:val="-2"/>
          <w:sz w:val="32"/>
          <w:szCs w:val="32"/>
          <w:lang w:val="en-US" w:eastAsia="zh-CN"/>
        </w:rPr>
        <w:t>2025年</w:t>
      </w:r>
      <w:r>
        <w:rPr>
          <w:rFonts w:hint="eastAsia" w:eastAsia="仿宋_GB2312"/>
          <w:spacing w:val="-2"/>
          <w:sz w:val="32"/>
          <w:szCs w:val="32"/>
        </w:rPr>
        <w:t>政府补贴收入中的原始点退费资金大幅度减少，减少金额达到4</w:t>
      </w:r>
      <w:r>
        <w:rPr>
          <w:rFonts w:hint="eastAsia" w:eastAsia="仿宋_GB2312"/>
          <w:spacing w:val="-2"/>
          <w:sz w:val="32"/>
          <w:szCs w:val="32"/>
          <w:lang w:val="en-US" w:eastAsia="zh-CN"/>
        </w:rPr>
        <w:t>,</w:t>
      </w:r>
      <w:r>
        <w:rPr>
          <w:rFonts w:hint="eastAsia" w:eastAsia="仿宋_GB2312"/>
          <w:spacing w:val="-2"/>
          <w:sz w:val="32"/>
          <w:szCs w:val="32"/>
        </w:rPr>
        <w:t>000万，</w:t>
      </w:r>
      <w:r>
        <w:rPr>
          <w:rFonts w:hint="eastAsia" w:eastAsia="仿宋_GB2312"/>
          <w:spacing w:val="-2"/>
          <w:sz w:val="32"/>
          <w:szCs w:val="32"/>
          <w:lang w:val="en-US" w:eastAsia="zh-CN"/>
        </w:rPr>
        <w:t>2026年</w:t>
      </w:r>
      <w:r>
        <w:rPr>
          <w:rFonts w:hint="eastAsia" w:eastAsia="仿宋_GB2312"/>
          <w:spacing w:val="-2"/>
          <w:sz w:val="32"/>
          <w:szCs w:val="32"/>
        </w:rPr>
        <w:t>此类资金仍会减少；二是部分待遇人员未能按时进行资格认证，导致养老金支出无法按时发放，每月申请的财政补贴相应减少，以上两点导致政府补贴收入增长率偏低。利息收入说明：主要原因是利息率不变的情况下，划入专户的保险费收入增加导致利息的上涨。转移收入说明：</w:t>
      </w:r>
      <w:r>
        <w:rPr>
          <w:rFonts w:hint="eastAsia" w:eastAsia="仿宋_GB2312"/>
          <w:spacing w:val="-2"/>
          <w:sz w:val="32"/>
          <w:szCs w:val="32"/>
          <w:lang w:val="en-US" w:eastAsia="zh-CN"/>
        </w:rPr>
        <w:t>2025年</w:t>
      </w:r>
      <w:r>
        <w:rPr>
          <w:rFonts w:hint="eastAsia" w:eastAsia="仿宋_GB2312"/>
          <w:spacing w:val="-2"/>
          <w:sz w:val="32"/>
          <w:szCs w:val="32"/>
        </w:rPr>
        <w:t>初开始实行军队总对总转移，导致转移收入大幅度增加，截止到</w:t>
      </w:r>
      <w:r>
        <w:rPr>
          <w:rFonts w:hint="eastAsia" w:eastAsia="仿宋_GB2312"/>
          <w:spacing w:val="-2"/>
          <w:sz w:val="32"/>
          <w:szCs w:val="32"/>
          <w:lang w:val="en-US" w:eastAsia="zh-CN"/>
        </w:rPr>
        <w:t>2025年</w:t>
      </w:r>
      <w:r>
        <w:rPr>
          <w:rFonts w:hint="eastAsia" w:eastAsia="仿宋_GB2312"/>
          <w:spacing w:val="-2"/>
          <w:sz w:val="32"/>
          <w:szCs w:val="32"/>
        </w:rPr>
        <w:t>10月转移已达1</w:t>
      </w:r>
      <w:r>
        <w:rPr>
          <w:rFonts w:hint="eastAsia" w:eastAsia="仿宋_GB2312"/>
          <w:spacing w:val="-2"/>
          <w:sz w:val="32"/>
          <w:szCs w:val="32"/>
          <w:lang w:val="en-US" w:eastAsia="zh-CN"/>
        </w:rPr>
        <w:t>,</w:t>
      </w:r>
      <w:r>
        <w:rPr>
          <w:rFonts w:hint="eastAsia" w:eastAsia="仿宋_GB2312"/>
          <w:spacing w:val="-2"/>
          <w:sz w:val="32"/>
          <w:szCs w:val="32"/>
        </w:rPr>
        <w:t>053万元，</w:t>
      </w:r>
      <w:r>
        <w:rPr>
          <w:rFonts w:hint="eastAsia" w:eastAsia="仿宋_GB2312"/>
          <w:spacing w:val="-2"/>
          <w:sz w:val="32"/>
          <w:szCs w:val="32"/>
          <w:lang w:val="en-US" w:eastAsia="zh-CN"/>
        </w:rPr>
        <w:t>2026年</w:t>
      </w:r>
      <w:r>
        <w:rPr>
          <w:rFonts w:hint="eastAsia" w:eastAsia="仿宋_GB2312"/>
          <w:spacing w:val="-2"/>
          <w:sz w:val="32"/>
          <w:szCs w:val="32"/>
        </w:rPr>
        <w:t>预算转移收入相应增加。其他收入说明：经过对多领、冒领人员的集中清理，今年来稽核人员大幅度减少，截止到</w:t>
      </w:r>
      <w:r>
        <w:rPr>
          <w:rFonts w:hint="eastAsia" w:eastAsia="仿宋_GB2312"/>
          <w:spacing w:val="-2"/>
          <w:sz w:val="32"/>
          <w:szCs w:val="32"/>
          <w:lang w:val="en-US" w:eastAsia="zh-CN"/>
        </w:rPr>
        <w:t>2025年</w:t>
      </w:r>
      <w:r>
        <w:rPr>
          <w:rFonts w:hint="eastAsia" w:eastAsia="仿宋_GB2312"/>
          <w:spacing w:val="-2"/>
          <w:sz w:val="32"/>
          <w:szCs w:val="32"/>
        </w:rPr>
        <w:t>10月实际稽核人员3人，稽核金额4.3万元，</w:t>
      </w:r>
      <w:r>
        <w:rPr>
          <w:rFonts w:hint="eastAsia" w:eastAsia="仿宋_GB2312"/>
          <w:spacing w:val="-2"/>
          <w:sz w:val="32"/>
          <w:szCs w:val="32"/>
          <w:lang w:val="en-US" w:eastAsia="zh-CN"/>
        </w:rPr>
        <w:t>20</w:t>
      </w:r>
      <w:r>
        <w:rPr>
          <w:rFonts w:hint="eastAsia" w:eastAsia="仿宋_GB2312"/>
          <w:spacing w:val="-2"/>
          <w:sz w:val="32"/>
          <w:szCs w:val="32"/>
        </w:rPr>
        <w:t>26预算数相应减少。转移支出说明：按照上级要求，</w:t>
      </w:r>
      <w:r>
        <w:rPr>
          <w:rFonts w:hint="eastAsia" w:eastAsia="仿宋_GB2312"/>
          <w:spacing w:val="-2"/>
          <w:sz w:val="32"/>
          <w:szCs w:val="32"/>
          <w:lang w:val="en-US" w:eastAsia="zh-CN"/>
        </w:rPr>
        <w:t>2025年</w:t>
      </w:r>
      <w:r>
        <w:rPr>
          <w:rFonts w:hint="eastAsia" w:eastAsia="仿宋_GB2312"/>
          <w:spacing w:val="-2"/>
          <w:sz w:val="32"/>
          <w:szCs w:val="32"/>
        </w:rPr>
        <w:t>开始机关开始实施省内保险间转移的统一结算，由于湘乡市属于转出大于转入地区，导致转移支出增加27.82万元，再加上今年较去年省外转出人员增加了4人导致整体转移支出呈现较大的上涨趋势。今年参保人数说明：大批单位处于超编、满编状态，导致新增参保大幅减少，再加上</w:t>
      </w:r>
      <w:r>
        <w:rPr>
          <w:rFonts w:hint="eastAsia" w:eastAsia="仿宋_GB2312"/>
          <w:spacing w:val="-2"/>
          <w:sz w:val="32"/>
          <w:szCs w:val="32"/>
          <w:lang w:val="en-US" w:eastAsia="zh-CN"/>
        </w:rPr>
        <w:t>2025年</w:t>
      </w:r>
      <w:r>
        <w:rPr>
          <w:rFonts w:hint="eastAsia" w:eastAsia="仿宋_GB2312"/>
          <w:spacing w:val="-2"/>
          <w:sz w:val="32"/>
          <w:szCs w:val="32"/>
        </w:rPr>
        <w:t>约有456人办理离职和转出手续，导致</w:t>
      </w:r>
      <w:r>
        <w:rPr>
          <w:rFonts w:hint="eastAsia" w:eastAsia="仿宋_GB2312"/>
          <w:spacing w:val="-2"/>
          <w:sz w:val="32"/>
          <w:szCs w:val="32"/>
          <w:lang w:eastAsia="zh-CN"/>
        </w:rPr>
        <w:t>2025年</w:t>
      </w:r>
      <w:r>
        <w:rPr>
          <w:rFonts w:hint="eastAsia" w:eastAsia="仿宋_GB2312"/>
          <w:spacing w:val="-2"/>
          <w:sz w:val="32"/>
          <w:szCs w:val="32"/>
        </w:rPr>
        <w:t>在职职工人数较</w:t>
      </w:r>
      <w:r>
        <w:rPr>
          <w:rFonts w:hint="eastAsia" w:eastAsia="仿宋_GB2312"/>
          <w:spacing w:val="-2"/>
          <w:sz w:val="32"/>
          <w:szCs w:val="32"/>
          <w:lang w:val="en-US" w:eastAsia="zh-CN"/>
        </w:rPr>
        <w:t>2024年</w:t>
      </w:r>
      <w:r>
        <w:rPr>
          <w:rFonts w:hint="eastAsia" w:eastAsia="仿宋_GB2312"/>
          <w:spacing w:val="-2"/>
          <w:sz w:val="32"/>
          <w:szCs w:val="32"/>
        </w:rPr>
        <w:t>有所减少，</w:t>
      </w:r>
      <w:r>
        <w:rPr>
          <w:rFonts w:hint="eastAsia" w:eastAsia="仿宋_GB2312"/>
          <w:spacing w:val="-2"/>
          <w:sz w:val="32"/>
          <w:szCs w:val="32"/>
          <w:lang w:val="en-US" w:eastAsia="zh-CN"/>
        </w:rPr>
        <w:t>2026年</w:t>
      </w:r>
      <w:r>
        <w:rPr>
          <w:rFonts w:hint="eastAsia" w:eastAsia="仿宋_GB2312"/>
          <w:spacing w:val="-2"/>
          <w:sz w:val="32"/>
          <w:szCs w:val="32"/>
        </w:rPr>
        <w:t>预算数依据此情况测算。</w:t>
      </w:r>
    </w:p>
    <w:p>
      <w:pPr>
        <w:pStyle w:val="2"/>
        <w:spacing w:line="600" w:lineRule="exact"/>
        <w:ind w:firstLine="641"/>
      </w:pPr>
    </w:p>
    <w:sectPr>
      <w:footerReference r:id="rId5"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3YjVkNzJkZDE5ZmNlN2VlMmRhMmY1MmNmODZhZDkifQ=="/>
  </w:docVars>
  <w:rsids>
    <w:rsidRoot w:val="00D569C1"/>
    <w:rsid w:val="001B447C"/>
    <w:rsid w:val="005B5A18"/>
    <w:rsid w:val="006808E7"/>
    <w:rsid w:val="006E7701"/>
    <w:rsid w:val="00722E41"/>
    <w:rsid w:val="00837614"/>
    <w:rsid w:val="0084007C"/>
    <w:rsid w:val="008731CD"/>
    <w:rsid w:val="00911ADA"/>
    <w:rsid w:val="0094327E"/>
    <w:rsid w:val="009561A6"/>
    <w:rsid w:val="009E5206"/>
    <w:rsid w:val="00A34D7F"/>
    <w:rsid w:val="00AC5E81"/>
    <w:rsid w:val="00D05FD2"/>
    <w:rsid w:val="00D569C1"/>
    <w:rsid w:val="00D775CE"/>
    <w:rsid w:val="00E507A3"/>
    <w:rsid w:val="00F9275F"/>
    <w:rsid w:val="08AA425C"/>
    <w:rsid w:val="16BA04BC"/>
    <w:rsid w:val="1BD6553D"/>
    <w:rsid w:val="1C1B77D6"/>
    <w:rsid w:val="29656152"/>
    <w:rsid w:val="2B4F0E68"/>
    <w:rsid w:val="40307330"/>
    <w:rsid w:val="467E5DB6"/>
    <w:rsid w:val="481F61D9"/>
    <w:rsid w:val="58CD0015"/>
    <w:rsid w:val="599B4BF7"/>
    <w:rsid w:val="59CE54CA"/>
    <w:rsid w:val="59F6057D"/>
    <w:rsid w:val="5AE20078"/>
    <w:rsid w:val="5ED30E8D"/>
    <w:rsid w:val="6AE93153"/>
    <w:rsid w:val="71054721"/>
    <w:rsid w:val="75E621C0"/>
    <w:rsid w:val="77B92EF8"/>
    <w:rsid w:val="7A1A1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next w:val="3"/>
    <w:qFormat/>
    <w:uiPriority w:val="99"/>
    <w:pPr>
      <w:tabs>
        <w:tab w:val="center" w:pos="4153"/>
        <w:tab w:val="right" w:pos="8306"/>
      </w:tabs>
      <w:snapToGrid w:val="0"/>
      <w:jc w:val="left"/>
    </w:pPr>
    <w:rPr>
      <w:rFonts w:eastAsia="宋体"/>
      <w:sz w:val="18"/>
      <w:szCs w:val="18"/>
    </w:rPr>
  </w:style>
  <w:style w:type="paragraph" w:styleId="3">
    <w:name w:val="index 5"/>
    <w:basedOn w:val="1"/>
    <w:next w:val="1"/>
    <w:qFormat/>
    <w:uiPriority w:val="0"/>
    <w:pPr>
      <w:ind w:left="168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3020</Words>
  <Characters>3519</Characters>
  <Lines>24</Lines>
  <Paragraphs>6</Paragraphs>
  <TotalTime>41</TotalTime>
  <ScaleCrop>false</ScaleCrop>
  <LinksUpToDate>false</LinksUpToDate>
  <CharactersWithSpaces>3521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2025-12-06T07:06:00Z</dcterms:created>
  <dc:creator>Administrator</dc:creator>
  <cp:lastModifiedBy>y1</cp:lastModifiedBy>
  <cp:lastPrinted>2025-12-08T01:07:00Z</cp:lastPrinted>
  <dcterms:modified xsi:type="dcterms:W3CDTF">2026-01-05T03:08:49Z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DocerSaveRecord">
    <vt:lpwstr>eyJoZGlkIjoiZDNjNmUwMmYyMGQxMmQ3YzU2NmRlOTk5YzliNGY5YjAiLCJ1c2VySWQiOiI0Mzk2MTM5OTkifQ==</vt:lpwstr>
  </property>
  <property fmtid="{D5CDD505-2E9C-101B-9397-08002B2CF9AE}" pid="4" name="ICV">
    <vt:lpwstr>D6A4EF05EC634A85A38F05BB809E8887_13</vt:lpwstr>
  </property>
</Properties>
</file>