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hAnsi="仿宋" w:eastAsia="方正仿宋_GBK" w:cs="仿宋"/>
          <w:sz w:val="32"/>
          <w:szCs w:val="32"/>
          <w:lang w:eastAsia="zh-CN" w:bidi="ar"/>
        </w:rPr>
      </w:pPr>
    </w:p>
    <w:p>
      <w:pPr>
        <w:spacing w:line="219" w:lineRule="auto"/>
        <w:jc w:val="center"/>
        <w:rPr>
          <w:rFonts w:hint="eastAsia" w:ascii="黑体" w:hAnsi="黑体" w:eastAsia="黑体" w:cs="黑体"/>
          <w:b w:val="0"/>
          <w:bCs w:val="0"/>
          <w:sz w:val="44"/>
          <w:szCs w:val="44"/>
          <w:lang w:val="en-US" w:eastAsia="zh-CN"/>
        </w:rPr>
      </w:pPr>
      <w:r>
        <w:rPr>
          <w:rFonts w:hint="eastAsia" w:ascii="黑体" w:hAnsi="黑体" w:eastAsia="黑体" w:cs="黑体"/>
          <w:sz w:val="44"/>
          <w:szCs w:val="44"/>
          <w:lang w:eastAsia="zh-CN"/>
        </w:rPr>
        <w:t>2026年</w:t>
      </w:r>
      <w:r>
        <w:rPr>
          <w:rFonts w:hint="eastAsia" w:ascii="黑体" w:hAnsi="黑体" w:eastAsia="黑体" w:cs="黑体"/>
          <w:sz w:val="44"/>
          <w:szCs w:val="44"/>
          <w:lang w:val="en-US" w:eastAsia="zh-CN"/>
        </w:rPr>
        <w:t>部门</w:t>
      </w:r>
      <w:r>
        <w:rPr>
          <w:rFonts w:hint="eastAsia" w:ascii="黑体" w:hAnsi="黑体" w:eastAsia="黑体" w:cs="黑体"/>
          <w:sz w:val="44"/>
          <w:szCs w:val="44"/>
          <w:lang w:eastAsia="zh-CN"/>
        </w:rPr>
        <w:t>预</w:t>
      </w:r>
      <w:r>
        <w:rPr>
          <w:rFonts w:hint="eastAsia" w:ascii="黑体" w:hAnsi="黑体" w:eastAsia="黑体" w:cs="黑体"/>
          <w:sz w:val="44"/>
          <w:szCs w:val="44"/>
          <w:lang w:val="en-US" w:eastAsia="zh-CN"/>
        </w:rPr>
        <w:t>算</w:t>
      </w:r>
      <w:bookmarkStart w:id="0" w:name="_GoBack"/>
      <w:bookmarkEnd w:id="0"/>
      <w:r>
        <w:rPr>
          <w:rFonts w:hint="eastAsia" w:ascii="黑体" w:hAnsi="黑体" w:eastAsia="黑体" w:cs="黑体"/>
          <w:sz w:val="44"/>
          <w:szCs w:val="44"/>
          <w:lang w:val="en-US" w:eastAsia="zh-CN"/>
        </w:rPr>
        <w:t>编制</w:t>
      </w:r>
      <w:r>
        <w:rPr>
          <w:rFonts w:hint="eastAsia" w:ascii="黑体" w:hAnsi="黑体" w:eastAsia="黑体" w:cs="黑体"/>
          <w:b w:val="0"/>
          <w:bCs w:val="0"/>
          <w:sz w:val="44"/>
          <w:szCs w:val="44"/>
          <w:lang w:val="en-US" w:eastAsia="zh-CN"/>
        </w:rPr>
        <w:t>说明</w:t>
      </w:r>
    </w:p>
    <w:p>
      <w:pPr>
        <w:spacing w:line="322" w:lineRule="auto"/>
        <w:jc w:val="center"/>
        <w:rPr>
          <w:rFonts w:hint="eastAsia" w:ascii="楷体" w:hAnsi="楷体" w:eastAsia="楷体" w:cs="楷体"/>
          <w:b/>
          <w:bCs/>
          <w:sz w:val="32"/>
          <w:szCs w:val="32"/>
          <w:lang w:val="en-US" w:eastAsia="zh-CN"/>
        </w:rPr>
      </w:pPr>
    </w:p>
    <w:p>
      <w:pPr>
        <w:pStyle w:val="4"/>
        <w:keepNext w:val="0"/>
        <w:keepLines w:val="0"/>
        <w:pageBreakBefore w:val="0"/>
        <w:widowControl/>
        <w:kinsoku/>
        <w:wordWrap/>
        <w:overflowPunct w:val="0"/>
        <w:topLinePunct w:val="0"/>
        <w:autoSpaceDE w:val="0"/>
        <w:autoSpaceDN w:val="0"/>
        <w:bidi w:val="0"/>
        <w:adjustRightInd w:val="0"/>
        <w:snapToGrid w:val="0"/>
        <w:spacing w:line="580" w:lineRule="exact"/>
        <w:ind w:firstLine="640" w:firstLineChars="200"/>
        <w:jc w:val="both"/>
        <w:textAlignment w:val="baseline"/>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根据《中华人民共和国预算法》、《中华人民共和国预算法实施条例》</w:t>
      </w:r>
      <w:r>
        <w:rPr>
          <w:rFonts w:hint="eastAsia" w:ascii="方正仿宋_GBK" w:hAnsi="方正仿宋_GBK" w:eastAsia="方正仿宋_GBK" w:cs="方正仿宋_GBK"/>
          <w:sz w:val="32"/>
          <w:szCs w:val="32"/>
          <w:lang w:val="en-US" w:eastAsia="zh-CN"/>
        </w:rPr>
        <w:t>等</w:t>
      </w:r>
      <w:r>
        <w:rPr>
          <w:rFonts w:hint="eastAsia" w:ascii="方正仿宋_GBK" w:hAnsi="方正仿宋_GBK" w:eastAsia="方正仿宋_GBK" w:cs="方正仿宋_GBK"/>
          <w:sz w:val="32"/>
          <w:szCs w:val="32"/>
          <w:lang w:eastAsia="zh-CN"/>
        </w:rPr>
        <w:t>预算管理</w:t>
      </w:r>
      <w:r>
        <w:rPr>
          <w:rFonts w:hint="eastAsia" w:ascii="方正仿宋_GBK" w:hAnsi="方正仿宋_GBK" w:eastAsia="方正仿宋_GBK" w:cs="方正仿宋_GBK"/>
          <w:sz w:val="32"/>
          <w:szCs w:val="32"/>
          <w:lang w:val="en-US" w:eastAsia="zh-CN"/>
        </w:rPr>
        <w:t>政策法规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以及</w:t>
      </w:r>
      <w:r>
        <w:rPr>
          <w:rFonts w:hint="eastAsia" w:ascii="方正仿宋_GBK" w:hAnsi="方正仿宋_GBK" w:eastAsia="方正仿宋_GBK" w:cs="方正仿宋_GBK"/>
          <w:sz w:val="32"/>
          <w:szCs w:val="32"/>
          <w:lang w:eastAsia="zh-CN"/>
        </w:rPr>
        <w:t>市委、市政府相关决策部署，编制202</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eastAsia="zh-CN"/>
        </w:rPr>
        <w:t>年部门预算。现将202</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eastAsia="zh-CN"/>
        </w:rPr>
        <w:t>年部门预算(草案)编制的相关情况说明如下：</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3" w:firstLineChars="200"/>
        <w:contextualSpacing/>
        <w:jc w:val="both"/>
        <w:textAlignment w:val="baseline"/>
        <w:rPr>
          <w:rFonts w:hint="default" w:ascii="楷体" w:hAnsi="楷体" w:eastAsia="楷体" w:cs="楷体"/>
          <w:b/>
          <w:bCs/>
          <w:snapToGrid w:val="0"/>
          <w:color w:val="000000"/>
          <w:sz w:val="32"/>
          <w:szCs w:val="32"/>
          <w:lang w:val="en-US" w:eastAsia="zh-CN" w:bidi="ar-SA"/>
        </w:rPr>
      </w:pPr>
      <w:r>
        <w:rPr>
          <w:rFonts w:hint="eastAsia" w:ascii="楷体" w:hAnsi="楷体" w:eastAsia="楷体" w:cs="楷体"/>
          <w:b/>
          <w:bCs/>
          <w:snapToGrid w:val="0"/>
          <w:color w:val="000000"/>
          <w:sz w:val="32"/>
          <w:szCs w:val="32"/>
          <w:lang w:val="en-US" w:eastAsia="zh-CN" w:bidi="ar-SA"/>
        </w:rPr>
        <w:t>一、部门预算编制内容</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方正仿宋_GBK" w:hAnsi="方正仿宋_GBK" w:eastAsia="方正仿宋_GBK" w:cs="方正仿宋_GBK"/>
          <w:snapToGrid w:val="0"/>
          <w:color w:val="000000"/>
          <w:sz w:val="32"/>
          <w:szCs w:val="32"/>
          <w:lang w:val="en-US" w:eastAsia="zh-CN" w:bidi="ar-SA"/>
        </w:rPr>
      </w:pPr>
      <w:r>
        <w:rPr>
          <w:rFonts w:hint="eastAsia" w:ascii="方正仿宋_GBK" w:hAnsi="方正仿宋_GBK" w:eastAsia="方正仿宋_GBK" w:cs="方正仿宋_GBK"/>
          <w:snapToGrid w:val="0"/>
          <w:color w:val="000000"/>
          <w:sz w:val="32"/>
          <w:szCs w:val="32"/>
          <w:lang w:val="en-US" w:eastAsia="zh-CN" w:bidi="ar-SA"/>
        </w:rPr>
        <w:t>2026年提交本次代表大会审查65家部门预算单位。支出预算合计274,412万元，其中：基本支出166,532万元（人员工资津补贴支出109,345万元，社会保障缴费24,071万元，对个人和家庭的补助支出9,116万元，公用支出24,000万元）；专项支出33,200万元；年定额补助单位及社保专户等支出49,939万元；预留资金24,741万元。</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方正仿宋_GBK" w:hAnsi="方正仿宋_GBK" w:eastAsia="方正仿宋_GBK" w:cs="方正仿宋_GBK"/>
          <w:snapToGrid w:val="0"/>
          <w:color w:val="000000"/>
          <w:sz w:val="32"/>
          <w:szCs w:val="32"/>
          <w:lang w:val="en-US" w:eastAsia="zh-CN" w:bidi="ar-SA"/>
        </w:rPr>
      </w:pPr>
      <w:r>
        <w:rPr>
          <w:rFonts w:hint="eastAsia" w:ascii="方正仿宋_GBK" w:hAnsi="方正仿宋_GBK" w:eastAsia="方正仿宋_GBK" w:cs="方正仿宋_GBK"/>
          <w:snapToGrid w:val="0"/>
          <w:color w:val="000000"/>
          <w:sz w:val="32"/>
          <w:szCs w:val="32"/>
          <w:lang w:val="en-US" w:eastAsia="zh-CN" w:bidi="ar-SA"/>
        </w:rPr>
        <w:t>2026年市直行政事业单位预算收入合计274,412万元，其中：公共财政拨款258,245万元，纳入财政专户管理的收入安排4,471万元，未纳入财政专户管理的收入安排5,256万元，上级财政补助收入安排6,440万元。</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方正仿宋_GBK" w:hAnsi="方正仿宋_GBK" w:eastAsia="方正仿宋_GBK" w:cs="方正仿宋_GBK"/>
          <w:snapToGrid w:val="0"/>
          <w:color w:val="000000"/>
          <w:sz w:val="32"/>
          <w:szCs w:val="32"/>
          <w:lang w:val="en-US" w:eastAsia="zh-CN" w:bidi="ar-SA"/>
        </w:rPr>
      </w:pPr>
      <w:r>
        <w:rPr>
          <w:rFonts w:hint="eastAsia" w:ascii="方正仿宋_GBK" w:hAnsi="方正仿宋_GBK" w:eastAsia="方正仿宋_GBK" w:cs="方正仿宋_GBK"/>
          <w:snapToGrid w:val="0"/>
          <w:color w:val="000000"/>
          <w:sz w:val="32"/>
          <w:szCs w:val="32"/>
          <w:lang w:val="en-US" w:eastAsia="zh-CN" w:bidi="ar-SA"/>
        </w:rPr>
        <w:t>(一)收入预算的编制。部门预算收入主要包括部门及所属事业单位取得的财政拨款收入、各项非税收入、纳入财政专户管理资金收入、未纳入财政专户管理资金收入（事业收入、经营收入、其他收入）和上级补助资金收入。</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方正仿宋_GBK" w:hAnsi="方正仿宋_GBK" w:eastAsia="方正仿宋_GBK" w:cs="方正仿宋_GBK"/>
          <w:snapToGrid w:val="0"/>
          <w:color w:val="000000"/>
          <w:sz w:val="32"/>
          <w:szCs w:val="32"/>
          <w:lang w:val="en-US" w:eastAsia="zh-CN" w:bidi="ar-SA"/>
        </w:rPr>
      </w:pPr>
      <w:r>
        <w:rPr>
          <w:rFonts w:hint="eastAsia" w:ascii="方正仿宋_GBK" w:hAnsi="方正仿宋_GBK" w:eastAsia="方正仿宋_GBK" w:cs="方正仿宋_GBK"/>
          <w:snapToGrid w:val="0"/>
          <w:color w:val="000000"/>
          <w:sz w:val="32"/>
          <w:szCs w:val="32"/>
          <w:lang w:val="en-US" w:eastAsia="zh-CN" w:bidi="ar-SA"/>
        </w:rPr>
        <w:t>(二)支出预算的编制。支出预算包括基本支出和项目支出。</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方正仿宋_GBK" w:hAnsi="方正仿宋_GBK" w:eastAsia="方正仿宋_GBK" w:cs="方正仿宋_GBK"/>
          <w:snapToGrid w:val="0"/>
          <w:color w:val="000000"/>
          <w:sz w:val="32"/>
          <w:szCs w:val="32"/>
          <w:lang w:val="en-US" w:eastAsia="zh-CN" w:bidi="ar-SA"/>
        </w:rPr>
      </w:pPr>
      <w:r>
        <w:rPr>
          <w:rFonts w:hint="eastAsia" w:ascii="方正仿宋_GBK" w:hAnsi="方正仿宋_GBK" w:eastAsia="方正仿宋_GBK" w:cs="方正仿宋_GBK"/>
          <w:snapToGrid w:val="0"/>
          <w:color w:val="000000"/>
          <w:sz w:val="32"/>
          <w:szCs w:val="32"/>
          <w:lang w:val="en-US" w:eastAsia="zh-CN" w:bidi="ar-SA"/>
        </w:rPr>
        <w:t>1、基本支出。包括人员支出和日常公用支出。基本支出按以下方式供给：全额供给的行政事业单位按财政供给人数和供给标准安排，财政定额补助的事业单位提供相关资料重新核定标准安排，自收自支单位在单位收入中安排。</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方正仿宋_GBK" w:hAnsi="方正仿宋_GBK" w:eastAsia="方正仿宋_GBK" w:cs="方正仿宋_GBK"/>
          <w:snapToGrid w:val="0"/>
          <w:color w:val="000000"/>
          <w:sz w:val="32"/>
          <w:szCs w:val="32"/>
          <w:lang w:val="en-US" w:eastAsia="zh-CN" w:bidi="ar-SA"/>
        </w:rPr>
      </w:pPr>
      <w:r>
        <w:rPr>
          <w:rFonts w:hint="eastAsia" w:ascii="方正仿宋_GBK" w:hAnsi="方正仿宋_GBK" w:eastAsia="方正仿宋_GBK" w:cs="方正仿宋_GBK"/>
          <w:snapToGrid w:val="0"/>
          <w:color w:val="000000"/>
          <w:sz w:val="32"/>
          <w:szCs w:val="32"/>
          <w:lang w:val="en-US" w:eastAsia="zh-CN" w:bidi="ar-SA"/>
        </w:rPr>
        <w:t>2、项目支出。严格执行零基预算，</w:t>
      </w:r>
      <w:r>
        <w:rPr>
          <w:rFonts w:hint="eastAsia" w:ascii="方正仿宋_GBK" w:hAnsi="方正仿宋_GBK" w:eastAsia="方正仿宋_GBK" w:cs="方正仿宋_GBK"/>
          <w:color w:val="000000" w:themeColor="text1"/>
          <w:kern w:val="0"/>
          <w:sz w:val="32"/>
          <w:szCs w:val="32"/>
          <w14:textFill>
            <w14:solidFill>
              <w14:schemeClr w14:val="tx1"/>
            </w14:solidFill>
          </w14:textFill>
        </w:rPr>
        <w:t>严格按照以收定支的原则，编制与财力相适应的支出预算，构建应保必保、该压尽压、讲求绩效的资金管理机制，清理压减无效低效政策和项目支出，做实财力、核准支出。</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专项先归零，支出重新核，有保有压算。</w:t>
      </w:r>
      <w:r>
        <w:rPr>
          <w:rFonts w:hint="eastAsia" w:ascii="方正仿宋_GBK" w:hAnsi="方正仿宋_GBK" w:eastAsia="方正仿宋_GBK" w:cs="方正仿宋_GBK"/>
          <w:color w:val="000000" w:themeColor="text1"/>
          <w:kern w:val="0"/>
          <w:sz w:val="32"/>
          <w:szCs w:val="32"/>
          <w14:textFill>
            <w14:solidFill>
              <w14:schemeClr w14:val="tx1"/>
            </w14:solidFill>
          </w14:textFill>
        </w:rPr>
        <w:t>严格落实大事要事保障清单，按照保“三保”、政府债务还本付息支出、大事要事和其他支出的先后顺序实行保障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napToGrid w:val="0"/>
          <w:color w:val="000000"/>
          <w:sz w:val="32"/>
          <w:szCs w:val="32"/>
          <w:lang w:val="en-US" w:eastAsia="zh-CN" w:bidi="ar-SA"/>
        </w:rPr>
        <w:t>清单内事项未按规定保障到位的，不得安排其他事业发展支出，集中有限财力保“三保”和办要事。</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3" w:firstLineChars="200"/>
        <w:contextualSpacing/>
        <w:jc w:val="both"/>
        <w:textAlignment w:val="baseline"/>
        <w:rPr>
          <w:rFonts w:hint="eastAsia" w:ascii="楷体" w:hAnsi="楷体" w:eastAsia="楷体" w:cs="楷体"/>
          <w:b/>
          <w:bCs/>
          <w:snapToGrid w:val="0"/>
          <w:color w:val="000000"/>
          <w:sz w:val="32"/>
          <w:szCs w:val="32"/>
          <w:lang w:val="en-US" w:eastAsia="zh-CN" w:bidi="ar-SA"/>
        </w:rPr>
      </w:pPr>
      <w:r>
        <w:rPr>
          <w:rFonts w:hint="eastAsia" w:ascii="楷体" w:hAnsi="楷体" w:eastAsia="楷体" w:cs="楷体"/>
          <w:b/>
          <w:bCs/>
          <w:snapToGrid w:val="0"/>
          <w:color w:val="000000"/>
          <w:sz w:val="32"/>
          <w:szCs w:val="32"/>
          <w:lang w:val="en-US" w:eastAsia="zh-CN" w:bidi="ar-SA"/>
        </w:rPr>
        <w:t>二、部门预算编制标准</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3" w:firstLineChars="200"/>
        <w:contextualSpacing/>
        <w:jc w:val="both"/>
        <w:textAlignment w:val="baseline"/>
        <w:rPr>
          <w:rFonts w:ascii="楷体" w:hAnsi="楷体" w:eastAsia="楷体" w:cs="楷体"/>
          <w:b/>
          <w:bCs/>
          <w:sz w:val="32"/>
          <w:szCs w:val="32"/>
          <w:lang w:eastAsia="zh-CN"/>
        </w:rPr>
      </w:pPr>
      <w:r>
        <w:rPr>
          <w:rFonts w:ascii="楷体" w:hAnsi="楷体" w:eastAsia="楷体" w:cs="楷体"/>
          <w:b/>
          <w:bCs/>
          <w:sz w:val="32"/>
          <w:szCs w:val="32"/>
          <w:lang w:eastAsia="zh-CN"/>
        </w:rPr>
        <w:t>（一）人员支出：</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1、基本工资：以2025年9月份基本工资额为基数编制。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2、地区津补贴（绩效工资）:在职人员以2025年9月份市委组织部或市人力资源和社会保障局批准的津补贴月标准编制，执行绩效工资的按人力资源和社会保障局批准绩效工资加每人每年1,000元的标准编制。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3、其他津补贴：根据省人力资源和社会保障厅、财政厅的有关规定标准编制。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4、公务员年终一次性奖金：公务员及参照公务员管理的事业人员暂按在编在岗人员2025年9月份月基本工资编制。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5、绩效奖金：根据我市规范公务员工资津贴补贴方案，按湘乡市规范公务员工资津贴补贴局际联席会议规定的津补贴标准编制；年度考核奖按单位范围及标准，按照2025年9月份工资表为基础的实际在职人数7,000元/人、年测算；乡镇机关人员按照2025年9月份工资表为基础的实际在职人数8,400元/人、年测算；教师绩效奖金按照2025年9月份工资表为基础的实际在职人数12,600元/人、年总额控制测算（基础绩效奖按人力资源和社会保障局批准的标准按月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6、社会保障缴费：</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（1）养老保险：按年缴费基数的16%编制;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（2）医疗保险（含生育保险金）:按年缴费基数的8.7%编制;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（3）失业保险：按年缴费基数的0.7%编制;</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4）工伤保险：按年缴费基数的0.6%、0.9%、1.2%、1.4%编制。（一类：行政机关、乡镇街道办事处按0.6%的费率；二类：文教卫有关事业单位，如学校、卫生院按0.9%的费率；三类：水利部门的事业单位，如水库、水闸按1.2%的费率；四类：如林场按1.4%的费率）；</w:t>
      </w:r>
    </w:p>
    <w:p>
      <w:pPr>
        <w:keepNext w:val="0"/>
        <w:keepLines w:val="0"/>
        <w:pageBreakBefore w:val="0"/>
        <w:widowControl/>
        <w:numPr>
          <w:ilvl w:val="0"/>
          <w:numId w:val="0"/>
        </w:numPr>
        <w:pBdr>
          <w:bottom w:val="single" w:color="FFFFFF" w:sz="4" w:space="29"/>
        </w:pBdr>
        <w:tabs>
          <w:tab w:val="left" w:pos="1440"/>
        </w:tabs>
        <w:kinsoku/>
        <w:wordWrap/>
        <w:overflowPunct w:val="0"/>
        <w:topLinePunct w:val="0"/>
        <w:autoSpaceDE w:val="0"/>
        <w:autoSpaceDN w:val="0"/>
        <w:bidi w:val="0"/>
        <w:adjustRightInd w:val="0"/>
        <w:snapToGrid w:val="0"/>
        <w:spacing w:line="580" w:lineRule="exact"/>
        <w:ind w:firstLine="640" w:firstLineChars="200"/>
        <w:contextualSpacing/>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7、住房公积金：按年缴费基数的12%编制。</w:t>
      </w:r>
    </w:p>
    <w:p>
      <w:pPr>
        <w:pStyle w:val="4"/>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outlineLvl w:val="2"/>
        <w:rPr>
          <w:rFonts w:hint="eastAsia" w:ascii="楷体" w:hAnsi="楷体" w:eastAsia="楷体" w:cs="楷体"/>
          <w:b/>
          <w:bCs/>
          <w:lang w:eastAsia="zh-CN"/>
        </w:rPr>
      </w:pPr>
      <w:r>
        <w:rPr>
          <w:rFonts w:ascii="楷体" w:hAnsi="楷体" w:eastAsia="楷体" w:cs="楷体"/>
          <w:b/>
          <w:bCs/>
          <w:lang w:eastAsia="zh-CN"/>
        </w:rPr>
        <w:t>（二）公用支出：</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outlineLvl w:val="2"/>
        <w:rPr>
          <w:rFonts w:hint="default"/>
          <w:lang w:val="en-US" w:eastAsia="zh-CN"/>
        </w:rPr>
      </w:pPr>
      <w:r>
        <w:rPr>
          <w:rFonts w:ascii="宋体" w:hAnsi="宋体" w:eastAsia="宋体" w:cs="宋体"/>
          <w:lang w:eastAsia="zh-CN"/>
        </w:rPr>
        <w:t>1、</w:t>
      </w:r>
      <w:r>
        <w:rPr>
          <w:lang w:eastAsia="zh-CN"/>
        </w:rPr>
        <w:t>公用经费标准：公务员管理单位、参照公务员管理单位及全额事业单位按</w:t>
      </w:r>
      <w:r>
        <w:rPr>
          <w:rFonts w:hint="eastAsia"/>
          <w:lang w:eastAsia="zh-CN"/>
        </w:rPr>
        <w:t>10</w:t>
      </w:r>
      <w:r>
        <w:rPr>
          <w:rFonts w:hint="eastAsia"/>
          <w:lang w:val="en-US" w:eastAsia="zh-CN"/>
        </w:rPr>
        <w:t>,</w:t>
      </w:r>
      <w:r>
        <w:rPr>
          <w:rFonts w:hint="eastAsia"/>
          <w:lang w:eastAsia="zh-CN"/>
        </w:rPr>
        <w:t>800</w:t>
      </w:r>
      <w:r>
        <w:rPr>
          <w:lang w:eastAsia="zh-CN"/>
        </w:rPr>
        <w:t>元/人、年安排；义务教育学校、市直高中、一职按相关标准在上级补助中安排。</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lang w:eastAsia="zh-CN"/>
        </w:rPr>
        <w:t>2.</w:t>
      </w:r>
      <w:r>
        <w:rPr>
          <w:lang w:eastAsia="zh-CN"/>
        </w:rPr>
        <w:t>交通费：按3.2万元/台测算（以公务用车改革领导小组办公室核定的车辆编制数为准）。</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ascii="宋体" w:hAnsi="宋体" w:eastAsia="宋体" w:cs="宋体"/>
          <w:lang w:eastAsia="zh-CN"/>
        </w:rPr>
        <w:t>3</w:t>
      </w:r>
      <w:r>
        <w:rPr>
          <w:rFonts w:ascii="宋体" w:hAnsi="宋体" w:eastAsia="宋体" w:cs="宋体"/>
          <w:lang w:eastAsia="zh-CN"/>
        </w:rPr>
        <w:t>、</w:t>
      </w:r>
      <w:r>
        <w:rPr>
          <w:lang w:eastAsia="zh-CN"/>
        </w:rPr>
        <w:t>均衡性公用经费：20人以下（含20人）的4万元/单位</w:t>
      </w:r>
      <w:r>
        <w:rPr>
          <w:rFonts w:hint="eastAsia"/>
          <w:lang w:eastAsia="zh-CN"/>
        </w:rPr>
        <w:t>。</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ascii="宋体" w:hAnsi="宋体" w:eastAsia="宋体" w:cs="宋体"/>
          <w:lang w:eastAsia="zh-CN"/>
        </w:rPr>
        <w:t>4</w:t>
      </w:r>
      <w:r>
        <w:rPr>
          <w:rFonts w:ascii="宋体" w:hAnsi="宋体" w:eastAsia="宋体" w:cs="宋体"/>
          <w:lang w:eastAsia="zh-CN"/>
        </w:rPr>
        <w:t>、</w:t>
      </w:r>
      <w:r>
        <w:rPr>
          <w:lang w:eastAsia="zh-CN"/>
        </w:rPr>
        <w:t>福利费按在职工资总额的2.5%安排。</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ascii="宋体" w:hAnsi="宋体" w:eastAsia="宋体" w:cs="宋体"/>
          <w:lang w:eastAsia="zh-CN"/>
        </w:rPr>
        <w:t>5</w:t>
      </w:r>
      <w:r>
        <w:rPr>
          <w:rFonts w:ascii="宋体" w:hAnsi="宋体" w:eastAsia="宋体" w:cs="宋体"/>
          <w:lang w:eastAsia="zh-CN"/>
        </w:rPr>
        <w:t>、</w:t>
      </w:r>
      <w:r>
        <w:rPr>
          <w:lang w:eastAsia="zh-CN"/>
        </w:rPr>
        <w:t>工会经费按在职工资总额的2%安排。</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jc w:val="both"/>
        <w:textAlignment w:val="baseline"/>
        <w:outlineLvl w:val="2"/>
        <w:rPr>
          <w:rFonts w:hint="eastAsia" w:ascii="楷体" w:hAnsi="楷体" w:eastAsia="楷体" w:cs="楷体"/>
          <w:sz w:val="32"/>
          <w:szCs w:val="32"/>
          <w:lang w:eastAsia="zh-CN"/>
        </w:rPr>
      </w:pPr>
      <w:r>
        <w:rPr>
          <w:rFonts w:ascii="楷体" w:hAnsi="楷体" w:eastAsia="楷体" w:cs="楷体"/>
          <w:b/>
          <w:bCs/>
          <w:sz w:val="32"/>
          <w:szCs w:val="32"/>
          <w:lang w:eastAsia="zh-CN"/>
        </w:rPr>
        <w:t>（三）对个人和家庭的补助</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jc w:val="both"/>
        <w:textAlignment w:val="baseline"/>
        <w:outlineLvl w:val="2"/>
        <w:rPr>
          <w:rFonts w:hint="eastAsia"/>
          <w:lang w:eastAsia="zh-CN"/>
        </w:rPr>
      </w:pPr>
      <w:r>
        <w:rPr>
          <w:rFonts w:ascii="宋体" w:hAnsi="宋体" w:eastAsia="宋体" w:cs="宋体"/>
          <w:b/>
          <w:bCs/>
          <w:lang w:eastAsia="zh-CN"/>
        </w:rPr>
        <w:t>1、</w:t>
      </w:r>
      <w:r>
        <w:rPr>
          <w:b/>
          <w:bCs/>
          <w:lang w:eastAsia="zh-CN"/>
        </w:rPr>
        <w:t>离休费：</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（1）规范地区津贴补贴：按人力资源和社会保障局批准的标准安排。</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（2）离休补贴：按湘乡市规范公务员工资津贴补贴局际联席会议批准的标准编制。</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3）护理费按《中共中央组织部财政部人力资源社会保障部关于提高离休干部护理费标准的通知》（组通字〔2024〕20号）、《关于全市老干部工作有关问题的会议纪要》（湘乡府阅〔2018〕20号）、《关于提高离休干部护理费标准的通知》（组通字〔2019〕10号）精神执行：生活长期完全不能自理的离休干部护理费标准按每人每月3</w:t>
      </w:r>
      <w:r>
        <w:rPr>
          <w:rFonts w:hint="eastAsia"/>
          <w:lang w:val="en-US" w:eastAsia="zh-CN"/>
        </w:rPr>
        <w:t>,</w:t>
      </w:r>
      <w:r>
        <w:rPr>
          <w:lang w:eastAsia="zh-CN"/>
        </w:rPr>
        <w:t>800元安排。</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（4）离休干部配偶遗孀无固定收入补助：抗战时期的离休干部遗孀生活补助每人每月1</w:t>
      </w:r>
      <w:r>
        <w:rPr>
          <w:rFonts w:hint="eastAsia"/>
          <w:lang w:val="en-US" w:eastAsia="zh-CN"/>
        </w:rPr>
        <w:t>,</w:t>
      </w:r>
      <w:r>
        <w:rPr>
          <w:lang w:eastAsia="zh-CN"/>
        </w:rPr>
        <w:t>600元，配偶每人每月1</w:t>
      </w:r>
      <w:r>
        <w:rPr>
          <w:rFonts w:hint="eastAsia"/>
          <w:lang w:val="en-US" w:eastAsia="zh-CN"/>
        </w:rPr>
        <w:t>,</w:t>
      </w:r>
      <w:r>
        <w:rPr>
          <w:lang w:eastAsia="zh-CN"/>
        </w:rPr>
        <w:t>100元安排，解放战争时期的离休干部遗孀生活补助每人每月1</w:t>
      </w:r>
      <w:r>
        <w:rPr>
          <w:rFonts w:hint="eastAsia"/>
          <w:lang w:val="en-US" w:eastAsia="zh-CN"/>
        </w:rPr>
        <w:t>,</w:t>
      </w:r>
      <w:r>
        <w:rPr>
          <w:lang w:eastAsia="zh-CN"/>
        </w:rPr>
        <w:t>500元，配偶每人每月1</w:t>
      </w:r>
      <w:r>
        <w:rPr>
          <w:rFonts w:hint="eastAsia"/>
          <w:lang w:val="en-US" w:eastAsia="zh-CN"/>
        </w:rPr>
        <w:t>,</w:t>
      </w:r>
      <w:r>
        <w:rPr>
          <w:lang w:eastAsia="zh-CN"/>
        </w:rPr>
        <w:t>050元安排。</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（5）离退休干部交通补助：厅（师）局级离休干部按每人每月200元，处（县）级离休干部按每人每月110元，一般离休干部按每人每月80元安排。</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（6）医疗费：离退休干部服务中心核定的人数，5万元/人、年安排。</w:t>
      </w:r>
      <w:r>
        <w:rPr>
          <w:rFonts w:hint="eastAsia"/>
          <w:lang w:eastAsia="zh-CN"/>
        </w:rPr>
        <w:t>（该项预算统一列入“离休医疗”）</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jc w:val="both"/>
        <w:textAlignment w:val="baseline"/>
        <w:outlineLvl w:val="2"/>
        <w:rPr>
          <w:rFonts w:hint="eastAsia"/>
          <w:lang w:eastAsia="zh-CN"/>
        </w:rPr>
      </w:pPr>
      <w:r>
        <w:rPr>
          <w:rFonts w:ascii="宋体" w:hAnsi="宋体" w:eastAsia="宋体" w:cs="宋体"/>
          <w:b/>
          <w:bCs/>
          <w:lang w:eastAsia="zh-CN"/>
        </w:rPr>
        <w:t>2、</w:t>
      </w:r>
      <w:r>
        <w:rPr>
          <w:b/>
          <w:bCs/>
          <w:lang w:eastAsia="zh-CN"/>
        </w:rPr>
        <w:t>退休费：</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（1）建国初期参加革命工作的部分退休干部生活补贴和医疗补助，按潭老干〔2021〕19号文件执行，生活补贴每人每月1</w:t>
      </w:r>
      <w:r>
        <w:rPr>
          <w:rFonts w:hint="eastAsia"/>
          <w:lang w:val="en-US" w:eastAsia="zh-CN"/>
        </w:rPr>
        <w:t>,</w:t>
      </w:r>
      <w:r>
        <w:rPr>
          <w:lang w:eastAsia="zh-CN"/>
        </w:rPr>
        <w:t>000元，医疗补助每人每年8</w:t>
      </w:r>
      <w:r>
        <w:rPr>
          <w:rFonts w:hint="eastAsia"/>
          <w:lang w:val="en-US" w:eastAsia="zh-CN"/>
        </w:rPr>
        <w:t>,</w:t>
      </w:r>
      <w:r>
        <w:rPr>
          <w:lang w:eastAsia="zh-CN"/>
        </w:rPr>
        <w:t>000元。处（县）级退休干部交通补助每人每月52元。</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lang w:eastAsia="zh-CN"/>
        </w:rPr>
        <w:t>（2）退休人员退休补贴：按照市委、市政府研究决定的标准编制。</w:t>
      </w:r>
    </w:p>
    <w:p>
      <w:pPr>
        <w:pStyle w:val="4"/>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ascii="宋体" w:hAnsi="宋体" w:eastAsia="宋体" w:cs="宋体"/>
          <w:lang w:eastAsia="zh-CN"/>
        </w:rPr>
        <w:t>3、</w:t>
      </w:r>
      <w:r>
        <w:rPr>
          <w:lang w:eastAsia="zh-CN"/>
        </w:rPr>
        <w:t>其他：抚恤金、遗属、落政、编外、伤残等国家规定的补助据实安排。</w:t>
      </w:r>
    </w:p>
    <w:sectPr>
      <w:footerReference r:id="rId3" w:type="default"/>
      <w:footerReference r:id="rId4" w:type="even"/>
      <w:pgSz w:w="11910" w:h="16850"/>
      <w:pgMar w:top="1432" w:right="1569" w:bottom="1320" w:left="1349" w:header="0" w:footer="1046"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FA68290-DDAB-4B81-ACC3-7D838BBB79D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E26D825A-5617-4955-908C-0AA8B305061D}"/>
  </w:font>
  <w:font w:name="方正仿宋_GBK">
    <w:panose1 w:val="03000509000000000000"/>
    <w:charset w:val="86"/>
    <w:family w:val="script"/>
    <w:pitch w:val="default"/>
    <w:sig w:usb0="00000001" w:usb1="080E0000" w:usb2="00000000" w:usb3="00000000" w:csb0="00040000" w:csb1="00000000"/>
    <w:embedRegular r:id="rId3" w:fontKey="{202A1478-14CE-426A-BDDC-A81C81919749}"/>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4" w:fontKey="{4ACCD761-82E6-4D1F-985D-57DBB442D4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方正仿宋_GBK" w:eastAsia="方正仿宋_GBK"/>
        <w:sz w:val="30"/>
        <w:szCs w:val="30"/>
      </w:rPr>
      <w:id w:val="-1762826423"/>
      <w:docPartObj>
        <w:docPartGallery w:val="autotext"/>
      </w:docPartObj>
    </w:sdtPr>
    <w:sdtEndPr>
      <w:rPr>
        <w:rFonts w:hint="eastAsia" w:ascii="方正仿宋_GBK" w:eastAsia="方正仿宋_GBK"/>
        <w:sz w:val="30"/>
        <w:szCs w:val="30"/>
      </w:rPr>
    </w:sdtEndPr>
    <w:sdtContent>
      <w:p>
        <w:pPr>
          <w:pStyle w:val="2"/>
          <w:jc w:val="right"/>
          <w:rPr>
            <w:rFonts w:hint="eastAsia" w:ascii="方正仿宋_GBK" w:eastAsia="方正仿宋_GBK"/>
            <w:sz w:val="30"/>
            <w:szCs w:val="30"/>
          </w:rPr>
        </w:pPr>
        <w:r>
          <w:rPr>
            <w:rFonts w:hint="eastAsia" w:ascii="方正仿宋_GBK" w:eastAsia="方正仿宋_GBK"/>
            <w:sz w:val="30"/>
            <w:szCs w:val="30"/>
          </w:rPr>
          <w:fldChar w:fldCharType="begin"/>
        </w:r>
        <w:r>
          <w:rPr>
            <w:rFonts w:hint="eastAsia" w:ascii="方正仿宋_GBK" w:eastAsia="方正仿宋_GBK"/>
            <w:sz w:val="30"/>
            <w:szCs w:val="30"/>
          </w:rPr>
          <w:instrText xml:space="preserve">PAGE   \* MERGEFORMAT</w:instrText>
        </w:r>
        <w:r>
          <w:rPr>
            <w:rFonts w:hint="eastAsia" w:ascii="方正仿宋_GBK" w:eastAsia="方正仿宋_GBK"/>
            <w:sz w:val="30"/>
            <w:szCs w:val="30"/>
          </w:rPr>
          <w:fldChar w:fldCharType="separate"/>
        </w:r>
        <w:r>
          <w:rPr>
            <w:rFonts w:hint="eastAsia" w:ascii="方正仿宋_GBK" w:eastAsia="方正仿宋_GBK"/>
            <w:sz w:val="30"/>
            <w:szCs w:val="30"/>
            <w:lang w:val="zh-CN" w:eastAsia="zh-CN"/>
          </w:rPr>
          <w:t>2</w:t>
        </w:r>
        <w:r>
          <w:rPr>
            <w:rFonts w:hint="eastAsia" w:ascii="方正仿宋_GBK" w:eastAsia="方正仿宋_GBK"/>
            <w:sz w:val="30"/>
            <w:szCs w:val="30"/>
          </w:rPr>
          <w:fldChar w:fldCharType="end"/>
        </w:r>
      </w:p>
    </w:sdtContent>
  </w:sdt>
  <w:p>
    <w:pPr>
      <w:spacing w:line="232" w:lineRule="auto"/>
      <w:rPr>
        <w:rFonts w:hint="eastAsia" w:ascii="宋体" w:hAnsi="宋体" w:eastAsia="宋体" w:cs="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479764"/>
      <w:docPartObj>
        <w:docPartGallery w:val="autotext"/>
      </w:docPartObj>
    </w:sdtPr>
    <w:sdtEndPr>
      <w:rPr>
        <w:rFonts w:hint="eastAsia" w:ascii="方正仿宋_GBK" w:eastAsia="方正仿宋_GBK"/>
        <w:sz w:val="30"/>
        <w:szCs w:val="30"/>
      </w:rPr>
    </w:sdtEndPr>
    <w:sdtContent>
      <w:p>
        <w:pPr>
          <w:pStyle w:val="2"/>
          <w:rPr>
            <w:rFonts w:hint="eastAsia" w:ascii="方正仿宋_GBK" w:eastAsia="方正仿宋_GBK"/>
            <w:sz w:val="30"/>
            <w:szCs w:val="30"/>
          </w:rPr>
        </w:pPr>
        <w:r>
          <w:rPr>
            <w:rFonts w:hint="eastAsia" w:ascii="方正仿宋_GBK" w:eastAsia="方正仿宋_GBK"/>
            <w:sz w:val="30"/>
            <w:szCs w:val="30"/>
          </w:rPr>
          <w:fldChar w:fldCharType="begin"/>
        </w:r>
        <w:r>
          <w:rPr>
            <w:rFonts w:hint="eastAsia" w:ascii="方正仿宋_GBK" w:eastAsia="方正仿宋_GBK"/>
            <w:sz w:val="30"/>
            <w:szCs w:val="30"/>
          </w:rPr>
          <w:instrText xml:space="preserve">PAGE   \* MERGEFORMAT</w:instrText>
        </w:r>
        <w:r>
          <w:rPr>
            <w:rFonts w:hint="eastAsia" w:ascii="方正仿宋_GBK" w:eastAsia="方正仿宋_GBK"/>
            <w:sz w:val="30"/>
            <w:szCs w:val="30"/>
          </w:rPr>
          <w:fldChar w:fldCharType="separate"/>
        </w:r>
        <w:r>
          <w:rPr>
            <w:rFonts w:hint="eastAsia" w:ascii="方正仿宋_GBK" w:eastAsia="方正仿宋_GBK"/>
            <w:sz w:val="30"/>
            <w:szCs w:val="30"/>
            <w:lang w:val="zh-CN" w:eastAsia="zh-CN"/>
          </w:rPr>
          <w:t>2</w:t>
        </w:r>
        <w:r>
          <w:rPr>
            <w:rFonts w:hint="eastAsia" w:ascii="方正仿宋_GBK" w:eastAsia="方正仿宋_GBK"/>
            <w:sz w:val="30"/>
            <w:szCs w:val="30"/>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mirrorMargins w:val="1"/>
  <w:bordersDoNotSurroundHeader w:val="1"/>
  <w:bordersDoNotSurroundFooter w:val="1"/>
  <w:documentProtection w:enforcement="0"/>
  <w:defaultTabStop w:val="420"/>
  <w:evenAndOddHeaders w:val="1"/>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3YjVkNzJkZDE5ZmNlN2VlMmRhMmY1MmNmODZhZDkifQ=="/>
  </w:docVars>
  <w:rsids>
    <w:rsidRoot w:val="002416A7"/>
    <w:rsid w:val="00005865"/>
    <w:rsid w:val="000F191E"/>
    <w:rsid w:val="002416A7"/>
    <w:rsid w:val="00346B28"/>
    <w:rsid w:val="0042370C"/>
    <w:rsid w:val="005076B2"/>
    <w:rsid w:val="00671FD3"/>
    <w:rsid w:val="009C042A"/>
    <w:rsid w:val="009E4CCA"/>
    <w:rsid w:val="00A1763C"/>
    <w:rsid w:val="00B3447D"/>
    <w:rsid w:val="00C31EB6"/>
    <w:rsid w:val="00CF7E5B"/>
    <w:rsid w:val="00FF23AA"/>
    <w:rsid w:val="018159AF"/>
    <w:rsid w:val="025340A6"/>
    <w:rsid w:val="02B6269E"/>
    <w:rsid w:val="02DA115F"/>
    <w:rsid w:val="033C60ED"/>
    <w:rsid w:val="04A976D4"/>
    <w:rsid w:val="05CA4A9D"/>
    <w:rsid w:val="05DC6FCC"/>
    <w:rsid w:val="06EF7CF4"/>
    <w:rsid w:val="07177643"/>
    <w:rsid w:val="07E922C5"/>
    <w:rsid w:val="08037540"/>
    <w:rsid w:val="090C47E8"/>
    <w:rsid w:val="0C455D69"/>
    <w:rsid w:val="0FC770AD"/>
    <w:rsid w:val="17D03B2D"/>
    <w:rsid w:val="1A9616B5"/>
    <w:rsid w:val="21375BBB"/>
    <w:rsid w:val="21D0782A"/>
    <w:rsid w:val="22610DB2"/>
    <w:rsid w:val="23CB5BA3"/>
    <w:rsid w:val="29811B0D"/>
    <w:rsid w:val="2A311950"/>
    <w:rsid w:val="2C495476"/>
    <w:rsid w:val="2C9D27C1"/>
    <w:rsid w:val="30671662"/>
    <w:rsid w:val="3068099A"/>
    <w:rsid w:val="3102008C"/>
    <w:rsid w:val="33AA5CF6"/>
    <w:rsid w:val="348B2F15"/>
    <w:rsid w:val="382316B2"/>
    <w:rsid w:val="39160F3A"/>
    <w:rsid w:val="3A7962B9"/>
    <w:rsid w:val="3AFC6009"/>
    <w:rsid w:val="3CB5144C"/>
    <w:rsid w:val="3DD4072B"/>
    <w:rsid w:val="40A138FC"/>
    <w:rsid w:val="41C9420B"/>
    <w:rsid w:val="41DF2151"/>
    <w:rsid w:val="453E2B81"/>
    <w:rsid w:val="48097FD7"/>
    <w:rsid w:val="48617BA2"/>
    <w:rsid w:val="4A88634C"/>
    <w:rsid w:val="4F0D23E7"/>
    <w:rsid w:val="4FEA236B"/>
    <w:rsid w:val="504B387A"/>
    <w:rsid w:val="52372A93"/>
    <w:rsid w:val="52F26CA4"/>
    <w:rsid w:val="54D35F3D"/>
    <w:rsid w:val="553D353A"/>
    <w:rsid w:val="56D13CB3"/>
    <w:rsid w:val="570913D5"/>
    <w:rsid w:val="57D20C7C"/>
    <w:rsid w:val="587D0513"/>
    <w:rsid w:val="59DB42D1"/>
    <w:rsid w:val="5A971D22"/>
    <w:rsid w:val="5ACF598C"/>
    <w:rsid w:val="5FD27396"/>
    <w:rsid w:val="600D25FE"/>
    <w:rsid w:val="601979EC"/>
    <w:rsid w:val="642108EC"/>
    <w:rsid w:val="677A0A3F"/>
    <w:rsid w:val="6A45599A"/>
    <w:rsid w:val="6A532552"/>
    <w:rsid w:val="6E8C5638"/>
    <w:rsid w:val="6FAA2939"/>
    <w:rsid w:val="725C5744"/>
    <w:rsid w:val="749A19B6"/>
    <w:rsid w:val="7569343D"/>
    <w:rsid w:val="781C7C62"/>
    <w:rsid w:val="7919364D"/>
    <w:rsid w:val="79E73174"/>
    <w:rsid w:val="7A37070B"/>
    <w:rsid w:val="7A7C21B1"/>
    <w:rsid w:val="7D873AB5"/>
    <w:rsid w:val="7FB5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1"/>
    <w:qFormat/>
    <w:uiPriority w:val="99"/>
    <w:pPr>
      <w:tabs>
        <w:tab w:val="center" w:pos="4153"/>
        <w:tab w:val="right" w:pos="8306"/>
      </w:tabs>
    </w:pPr>
    <w:rPr>
      <w:sz w:val="18"/>
      <w:szCs w:val="18"/>
    </w:rPr>
  </w:style>
  <w:style w:type="paragraph" w:styleId="3">
    <w:name w:val="index 5"/>
    <w:basedOn w:val="1"/>
    <w:next w:val="1"/>
    <w:qFormat/>
    <w:uiPriority w:val="0"/>
    <w:pPr>
      <w:ind w:left="1680"/>
    </w:pPr>
  </w:style>
  <w:style w:type="paragraph" w:styleId="4">
    <w:name w:val="Body Text"/>
    <w:basedOn w:val="1"/>
    <w:semiHidden/>
    <w:qFormat/>
    <w:uiPriority w:val="0"/>
    <w:rPr>
      <w:rFonts w:ascii="仿宋" w:hAnsi="仿宋" w:eastAsia="仿宋" w:cs="仿宋"/>
      <w:sz w:val="32"/>
      <w:szCs w:val="32"/>
    </w:rPr>
  </w:style>
  <w:style w:type="paragraph" w:styleId="5">
    <w:name w:val="endnote text"/>
    <w:basedOn w:val="1"/>
    <w:qFormat/>
    <w:uiPriority w:val="0"/>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cs="Times New Roman"/>
      <w:sz w:val="24"/>
      <w:szCs w:val="24"/>
      <w:lang w:eastAsia="zh-CN"/>
    </w:rPr>
  </w:style>
  <w:style w:type="table" w:customStyle="1" w:styleId="10">
    <w:name w:val="Table Normal"/>
    <w:semiHidden/>
    <w:unhideWhenUsed/>
    <w:qFormat/>
    <w:uiPriority w:val="0"/>
    <w:tblPr>
      <w:tblCellMar>
        <w:top w:w="0" w:type="dxa"/>
        <w:left w:w="0" w:type="dxa"/>
        <w:bottom w:w="0" w:type="dxa"/>
        <w:right w:w="0" w:type="dxa"/>
      </w:tblCellMar>
    </w:tblPr>
  </w:style>
  <w:style w:type="character" w:customStyle="1" w:styleId="11">
    <w:name w:val="页脚 字符"/>
    <w:basedOn w:val="9"/>
    <w:link w:val="2"/>
    <w:qFormat/>
    <w:uiPriority w:val="99"/>
    <w:rPr>
      <w:rFonts w:eastAsia="Arial"/>
      <w:snapToGrid w:val="0"/>
      <w:color w:val="000000"/>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2143</Words>
  <Characters>2363</Characters>
  <Lines>49</Lines>
  <Paragraphs>13</Paragraphs>
  <TotalTime>226</TotalTime>
  <ScaleCrop>false</ScaleCrop>
  <LinksUpToDate>false</LinksUpToDate>
  <CharactersWithSpaces>2363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2025-10-17T03:48:00Z</dcterms:created>
  <dc:creator>xx</dc:creator>
  <cp:lastModifiedBy>y1</cp:lastModifiedBy>
  <cp:lastPrinted>2025-11-14T08:07:00Z</cp:lastPrinted>
  <dcterms:modified xsi:type="dcterms:W3CDTF">2026-01-05T03:22:04Z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2025-08-27T15:30:11Z</vt:filetime>
  </property>
  <property fmtid="{D5CDD505-2E9C-101B-9397-08002B2CF9AE}" pid="4" name="UsrData">
    <vt:lpwstr>68aeb3ff5d57c9001f4b8570wl</vt:lpwstr>
  </property>
  <property fmtid="{D5CDD505-2E9C-101B-9397-08002B2CF9AE}" pid="5" name="KSOTemplateDocerSaveRecord">
    <vt:lpwstr>eyJoZGlkIjoiZDNjNmUwMmYyMGQxMmQ3YzU2NmRlOTk5YzliNGY5YjAiLCJ1c2VySWQiOiI0Mzk2MTM5OTkifQ==</vt:lpwstr>
  </property>
  <property fmtid="{D5CDD505-2E9C-101B-9397-08002B2CF9AE}" pid="6" name="KSOProductBuildVer">
    <vt:lpwstr>2052-11.1.0.14309</vt:lpwstr>
  </property>
  <property fmtid="{D5CDD505-2E9C-101B-9397-08002B2CF9AE}" pid="7" name="ICV">
    <vt:lpwstr>A6123FFD900D48529EBF7A8EFDAA46DB_13</vt:lpwstr>
  </property>
</Properties>
</file>