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16" w:tblpY="189"/>
        <w:tblOverlap w:val="never"/>
        <w:tblW w:w="91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0"/>
        <w:gridCol w:w="1350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color w:val="000000"/>
                <w:sz w:val="44"/>
              </w:rPr>
            </w:pPr>
            <w:r>
              <w:rPr>
                <w:rFonts w:hint="eastAsia" w:ascii="黑体" w:hAnsi="黑体" w:eastAsia="黑体"/>
                <w:color w:val="000000"/>
                <w:sz w:val="44"/>
                <w:lang w:eastAsia="zh-CN"/>
              </w:rPr>
              <w:t>湘乡市</w:t>
            </w:r>
            <w:r>
              <w:rPr>
                <w:rFonts w:hint="eastAsia" w:ascii="黑体" w:hAnsi="黑体" w:eastAsia="黑体"/>
                <w:color w:val="000000"/>
                <w:sz w:val="44"/>
              </w:rPr>
              <w:t>政府信息公开情况统计表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（201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年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统计指标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一、主动公开情况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信访局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（一）主动公开政府信息数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（不同渠道和方式公开相同的信息列为1条）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其中：主动公开规范性文件数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制发规范性文件总数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（二）通过不同渠道和方式公开政府信息的情况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1、政府公报公开政府信息数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49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3、政务微博公开政府信息数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4、政务微信公开政府信息数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二、回应解读情况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（一）回应公众关注热点或重大舆情数 （不同方式回应同一热点或舆情计1次）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（二）通过不同渠道和方式回应解读的情况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1、参加或举办新闻发布会总次数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其中：主要负责同志参加新闻发布会次数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篇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3、政策解读稿件发布数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4、微博微信回应事件数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三、依申请公开情况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（一）收到申请数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1、当面申请数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2、传真申请数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3、网络申请数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4、信函申请数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（二）申请办结数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1、按时办结数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2、延期办结数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（三）申请答复数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1、属于已主动公开范围数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3、同意部分公开答复数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4、不同意公开答复数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其中：涉及国家秘密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涉及商业秘密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涉及个人隐私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危及国家安全、公共安全、经济安全和社会稳定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不是《条例》所指政府信息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法律法规规定的其他情形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5、不属于本行政机关公开数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6、申请信息不存在数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7、告知作出更改补充数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8、告知通过其他途径办理数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四、行政复议数量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（二）被依法纠错数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五、行政诉讼数量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（一）维持具体行政行为或者驳回原告诉讼请求数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（二）依法纠错数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六、举报投诉数量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七、依申请公开信息收取的费用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八、机构建设和保障经费情况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（一）政府信息公开工作专门机构数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（二）设置政府信息公开查阅点数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（三）从事政府信息公开工作人数员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1、专职人员数（不包括政府公报及政府网站工作人员数）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2、兼职人员数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九、政府信息公开会议和培训情况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（一）召开政府信息公开工作会议或专题会议数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（二）举办各类培训班数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（三）接受培训人员数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206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351A2"/>
    <w:rsid w:val="23F11830"/>
    <w:rsid w:val="2F3351A2"/>
    <w:rsid w:val="37345D48"/>
    <w:rsid w:val="59256D42"/>
    <w:rsid w:val="64EC62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2018-03-06T01:40:00Z</dcterms:created>
  <dc:creator>Administrator</dc:creator>
  <cp:lastModifiedBy>我心永恒</cp:lastModifiedBy>
  <cp:lastPrinted>2018-03-29T02:03:00Z</cp:lastPrinted>
  <dcterms:modified xsi:type="dcterms:W3CDTF">2019-03-26T03:58:46Z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