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716" w:tblpY="189"/>
        <w:tblOverlap w:val="never"/>
        <w:tblW w:w="91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0"/>
        <w:gridCol w:w="1350"/>
        <w:gridCol w:w="1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黑体" w:hAnsi="黑体" w:eastAsia="黑体"/>
                <w:color w:val="000000"/>
                <w:sz w:val="44"/>
              </w:rPr>
            </w:pPr>
            <w:r>
              <w:rPr>
                <w:rFonts w:hint="eastAsia" w:ascii="黑体" w:hAnsi="黑体" w:eastAsia="黑体"/>
                <w:color w:val="000000"/>
                <w:sz w:val="44"/>
                <w:lang w:eastAsia="zh-CN"/>
              </w:rPr>
              <w:t>湘乡市</w:t>
            </w:r>
            <w:r>
              <w:rPr>
                <w:rFonts w:hint="eastAsia" w:ascii="黑体" w:hAnsi="黑体" w:eastAsia="黑体"/>
                <w:color w:val="000000"/>
                <w:sz w:val="44"/>
              </w:rPr>
              <w:t>政府信息公开情况统计表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</w:rPr>
              <w:t>（201</w:t>
            </w:r>
            <w:r>
              <w:rPr>
                <w:rFonts w:hint="eastAsia" w:ascii="仿宋_GB2312" w:hAnsi="仿宋_GB2312" w:eastAsia="仿宋_GB2312"/>
                <w:color w:val="000000"/>
                <w:sz w:val="32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/>
                <w:color w:val="000000"/>
                <w:sz w:val="32"/>
              </w:rPr>
              <w:t>年</w:t>
            </w:r>
            <w:r>
              <w:rPr>
                <w:rFonts w:hint="eastAsia" w:ascii="仿宋_GB2312" w:hAnsi="仿宋_GB2312" w:eastAsia="仿宋_GB2312"/>
                <w:color w:val="000000"/>
                <w:sz w:val="32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统计指标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单位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统计数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一、主动公开情况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（一）主动公开政府信息数</w:t>
            </w:r>
          </w:p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（不同渠道和方式公开相同的信息列为1条）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其中：主动公开规范性文件数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制发规范性文件总数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（二）通过不同渠道和方式公开政府信息的情况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1、政府公报公开政府信息数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2、政府网站公开政府信息数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3、政务微博公开政府信息数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4、政务微信公开政府信息数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5、其他方式公开政府信息数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二、回应解读情况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（一）回应公众关注热点或重大舆情数 （不同方式回应同一热点或舆情计1次）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（二）通过不同渠道和方式回应解读的情况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1、参加或举办新闻发布会总次数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其中：主要负责同志参加新闻发布会次数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2、政府网站在线访谈次数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其中：主要负责同志参加政府网站在线访谈次数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篇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3、政策解读稿件发布数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4、微博微信回应事件数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5、其他方式回应事件数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三、依申请公开情况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（一）收到申请数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1、当面申请数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2、传真申请数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3、网络申请数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4、信函申请数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（二）申请办结数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1、按时办结数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2、延期办结数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（三）申请答复数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1、属于已主动公开范围数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2、同意公开答复数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3、同意部分公开答复数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4、不同意公开答复数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其中：涉及国家秘密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 涉及商业秘密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 涉及个人隐私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 危及国家安全、公共安全、经济安全和社会稳定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不是《条例》所指政府信息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法律法规规定的其他情形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5、不属于本行政机关公开数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6、申请信息不存在数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7、告知作出更改补充数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8、告知通过其他途径办理数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四、行政复议数量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（一）维持具体行政行为数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（二）被依法纠错数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（三）其他情形数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五、行政诉讼数量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（一）维持具体行政行为或者驳回原告诉讼请求数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（二）依法纠错数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（三）其他情形数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六、举报投诉数量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七、依申请公开信息收取的费用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万元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八、机构建设和保障经费情况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（一）政府信息公开工作专门机构数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个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（二）设置政府信息公开查阅点数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个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（三）从事政府信息公开工作人数员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1、专职人员数（不包括政府公报及政府网站工作人员数）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2、兼职人员数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（四）政府信息公开专项经费（不包括用于政府公报编辑管理及政府网站建设维护等方面的经费）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万元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九、政府信息公开会议和培训情况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（一）召开政府信息公开工作会议或专题会议数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（二）举办各类培训班数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（三）接受培训人员数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351A2"/>
    <w:rsid w:val="2F3351A2"/>
    <w:rsid w:val="7A0B7FBC"/>
    <w:rsid w:val="7FE409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2018-03-06T01:40:00Z</dcterms:created>
  <dc:creator>Administrator</dc:creator>
  <cp:lastModifiedBy>Administrator</cp:lastModifiedBy>
  <dcterms:modified xsi:type="dcterms:W3CDTF">2018-03-15T01:07:37Z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